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WG4 119</w:t>
        <w:tab/>
        <w:t>C4-235016</w:t>
      </w:r>
    </w:p>
    <w:p>
      <w:pPr>
        <w:pStyle w:val="LSHeader"/>
      </w:pPr>
      <w:r>
        <w:t>Chicago, US, 13 - 17 November, 2023</w:t>
      </w:r>
      <w:r>
        <w:br/>
      </w:r>
    </w:p>
    <w:p w14:paraId="063D4B54" w14:textId="28998B62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</w:t>
      </w:r>
      <w:r w:rsidR="00397BE1">
        <w:rPr>
          <w:i/>
          <w:sz w:val="28"/>
          <w:lang w:eastAsia="en-US"/>
        </w:rPr>
        <w:t>1</w:t>
      </w:r>
      <w:r w:rsidR="00301A3A">
        <w:rPr>
          <w:i/>
          <w:sz w:val="28"/>
          <w:lang w:eastAsia="en-US"/>
        </w:rPr>
        <w:t>613</w:t>
      </w:r>
    </w:p>
    <w:p w14:paraId="787F8A56" w14:textId="3CB0ADBF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130525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6662" w:rsidRPr="00276662">
        <w:rPr>
          <w:rFonts w:ascii="Arial" w:hAnsi="Arial" w:cs="Arial"/>
          <w:b/>
          <w:sz w:val="22"/>
          <w:szCs w:val="22"/>
        </w:rPr>
        <w:t xml:space="preserve">LS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>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0A84AAD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71A5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553498">
        <w:rPr>
          <w:rFonts w:ascii="Arial" w:hAnsi="Arial" w:cs="Arial"/>
          <w:b/>
          <w:sz w:val="22"/>
          <w:szCs w:val="22"/>
        </w:rPr>
        <w:t>3GPP CT4</w:t>
      </w:r>
    </w:p>
    <w:p w14:paraId="590DF498" w14:textId="4BCCAA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301A3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113301B8" w:rsidR="002B50B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The UPF </w:t>
      </w:r>
      <w:r w:rsidR="00553498">
        <w:rPr>
          <w:rFonts w:ascii="Arial" w:eastAsia="Calibri" w:hAnsi="Arial" w:cs="Calibri"/>
          <w:spacing w:val="2"/>
          <w:lang w:val="en-US" w:eastAsia="en-US"/>
        </w:rPr>
        <w:t>is required to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measure and </w:t>
      </w:r>
      <w:r w:rsidR="00235F93" w:rsidRPr="00276662">
        <w:rPr>
          <w:rFonts w:ascii="Arial" w:eastAsia="Calibri" w:hAnsi="Arial" w:cs="Calibri"/>
          <w:spacing w:val="2"/>
          <w:lang w:val="en-US" w:eastAsia="en-US"/>
        </w:rPr>
        <w:t xml:space="preserve">report the average data rate over the 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last </w:t>
      </w:r>
      <w:r w:rsidR="00553498">
        <w:rPr>
          <w:rFonts w:ascii="Arial" w:eastAsia="Calibri" w:hAnsi="Arial" w:cs="Calibri"/>
          <w:spacing w:val="2"/>
          <w:lang w:val="en-US" w:eastAsia="en-US"/>
        </w:rPr>
        <w:t>standardized monitoring averaging window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A726C5">
        <w:rPr>
          <w:rFonts w:ascii="Arial" w:eastAsia="Calibri" w:hAnsi="Arial" w:cs="Calibri"/>
          <w:spacing w:val="2"/>
          <w:lang w:val="en-US" w:eastAsia="en-US"/>
        </w:rPr>
        <w:t>(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e.g. the last </w:t>
      </w:r>
      <w:r w:rsidR="00A91D43">
        <w:rPr>
          <w:rFonts w:ascii="Arial" w:eastAsia="Calibri" w:hAnsi="Arial" w:cs="Calibri"/>
          <w:spacing w:val="2"/>
          <w:lang w:val="en-US" w:eastAsia="en-US"/>
        </w:rPr>
        <w:t>2</w:t>
      </w:r>
      <w:r w:rsidR="00832EB6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235F93">
        <w:rPr>
          <w:rFonts w:ascii="Arial" w:eastAsia="Calibri" w:hAnsi="Arial" w:cs="Calibri"/>
          <w:spacing w:val="2"/>
          <w:lang w:val="en-US" w:eastAsia="en-US"/>
        </w:rPr>
        <w:t>s</w:t>
      </w:r>
      <w:r w:rsidR="00832EB6">
        <w:rPr>
          <w:rFonts w:ascii="Arial" w:eastAsia="Calibri" w:hAnsi="Arial" w:cs="Calibri"/>
          <w:spacing w:val="2"/>
          <w:lang w:val="en-US" w:eastAsia="en-US"/>
        </w:rPr>
        <w:t>econd</w:t>
      </w:r>
      <w:r w:rsidR="00235F93">
        <w:rPr>
          <w:rFonts w:ascii="Arial" w:eastAsia="Calibri" w:hAnsi="Arial" w:cs="Calibri"/>
          <w:spacing w:val="2"/>
          <w:lang w:val="en-US" w:eastAsia="en-US"/>
        </w:rPr>
        <w:t>).</w:t>
      </w:r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2726A96A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The standardized monitoring averaging window is used for </w:t>
      </w:r>
      <w:r w:rsidR="00553498">
        <w:rPr>
          <w:rFonts w:ascii="Arial" w:eastAsia="Calibri" w:hAnsi="Arial" w:cs="Calibri"/>
          <w:spacing w:val="2"/>
          <w:lang w:val="en-US" w:eastAsia="en-US"/>
        </w:rPr>
        <w:t>monitoring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measurement of 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data rate of the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GBR </w:t>
      </w:r>
      <w:r w:rsidR="00FA59BE">
        <w:rPr>
          <w:rFonts w:ascii="Arial" w:eastAsia="Calibri" w:hAnsi="Arial" w:cs="Calibri"/>
          <w:spacing w:val="2"/>
          <w:lang w:val="en-US" w:eastAsia="en-US"/>
        </w:rPr>
        <w:t>and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 Non-GBR QoS Flow. It is assumed that the value of the standardized monitoring averaging window is </w:t>
      </w:r>
      <w:r w:rsidR="00553498">
        <w:rPr>
          <w:rFonts w:ascii="Arial" w:eastAsia="Calibri" w:hAnsi="Arial" w:cs="Calibri"/>
          <w:spacing w:val="2"/>
          <w:lang w:val="en-US" w:eastAsia="en-US"/>
        </w:rPr>
        <w:t xml:space="preserve">to be </w:t>
      </w:r>
      <w:r w:rsidR="00FA59BE">
        <w:rPr>
          <w:rFonts w:ascii="Arial" w:eastAsia="Calibri" w:hAnsi="Arial" w:cs="Calibri"/>
          <w:spacing w:val="2"/>
          <w:lang w:val="en-US" w:eastAsia="en-US"/>
        </w:rPr>
        <w:t xml:space="preserve">defined by </w:t>
      </w:r>
      <w:r w:rsidR="00301A3A">
        <w:rPr>
          <w:rFonts w:ascii="Arial" w:eastAsia="Calibri" w:hAnsi="Arial" w:cs="Calibri"/>
          <w:spacing w:val="2"/>
          <w:lang w:val="en-US" w:eastAsia="en-US"/>
        </w:rPr>
        <w:t>CT4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113DFC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49B552A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</w:t>
      </w:r>
      <w:bookmarkStart w:id="10" w:name="_GoBack"/>
      <w:bookmarkEnd w:id="10"/>
      <w:r w:rsidR="00301A3A">
        <w:rPr>
          <w:rFonts w:ascii="Arial" w:hAnsi="Arial" w:cs="Arial"/>
        </w:rPr>
        <w:t xml:space="preserve">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6DD048D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712B0" w14:textId="77777777" w:rsidR="007F49AA" w:rsidRDefault="007F49AA">
      <w:pPr>
        <w:spacing w:after="0"/>
      </w:pPr>
      <w:r>
        <w:separator/>
      </w:r>
    </w:p>
  </w:endnote>
  <w:endnote w:type="continuationSeparator" w:id="0">
    <w:p w14:paraId="3AC0F861" w14:textId="77777777" w:rsidR="007F49AA" w:rsidRDefault="007F49AA">
      <w:pPr>
        <w:spacing w:after="0"/>
      </w:pPr>
      <w:r>
        <w:continuationSeparator/>
      </w:r>
    </w:p>
  </w:endnote>
  <w:endnote w:type="continuationNotice" w:id="1">
    <w:p w14:paraId="2463CA8B" w14:textId="77777777" w:rsidR="007F49AA" w:rsidRDefault="007F49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47276" w14:textId="77777777" w:rsidR="007F49AA" w:rsidRDefault="007F49AA">
      <w:pPr>
        <w:spacing w:after="0"/>
      </w:pPr>
      <w:r>
        <w:separator/>
      </w:r>
    </w:p>
  </w:footnote>
  <w:footnote w:type="continuationSeparator" w:id="0">
    <w:p w14:paraId="5068611E" w14:textId="77777777" w:rsidR="007F49AA" w:rsidRDefault="007F49AA">
      <w:pPr>
        <w:spacing w:after="0"/>
      </w:pPr>
      <w:r>
        <w:continuationSeparator/>
      </w:r>
    </w:p>
  </w:footnote>
  <w:footnote w:type="continuationNotice" w:id="1">
    <w:p w14:paraId="12739837" w14:textId="77777777" w:rsidR="007F49AA" w:rsidRDefault="007F49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CATT-d4</cp:lastModifiedBy>
  <cp:revision>7</cp:revision>
  <cp:lastPrinted>2002-04-23T16:10:00Z</cp:lastPrinted>
  <dcterms:created xsi:type="dcterms:W3CDTF">2023-10-12T01:52:00Z</dcterms:created>
  <dcterms:modified xsi:type="dcterms:W3CDTF">2023-10-13T03:25:00Z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