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1D745" w14:textId="0047A7EF" w:rsidR="005D4A24" w:rsidRDefault="005D4A24" w:rsidP="005D4A24">
      <w:pPr>
        <w:pStyle w:val="CRCoverPage"/>
        <w:tabs>
          <w:tab w:val="right" w:pos="9639"/>
        </w:tabs>
        <w:spacing w:after="0"/>
        <w:rPr>
          <w:b/>
          <w:i/>
          <w:noProof/>
          <w:sz w:val="28"/>
        </w:rPr>
      </w:pPr>
      <w:r>
        <w:rPr>
          <w:b/>
          <w:noProof/>
          <w:sz w:val="24"/>
        </w:rPr>
        <w:t>3GPP TSG-CT WG</w:t>
      </w:r>
      <w:r w:rsidR="00FB0380">
        <w:rPr>
          <w:b/>
          <w:noProof/>
          <w:sz w:val="24"/>
        </w:rPr>
        <w:t>3</w:t>
      </w:r>
      <w:r>
        <w:rPr>
          <w:b/>
          <w:noProof/>
          <w:sz w:val="24"/>
        </w:rPr>
        <w:t xml:space="preserve"> Meeting #1</w:t>
      </w:r>
      <w:r w:rsidR="008D5B02">
        <w:rPr>
          <w:b/>
          <w:noProof/>
          <w:sz w:val="24"/>
        </w:rPr>
        <w:t>14</w:t>
      </w:r>
      <w:r>
        <w:rPr>
          <w:b/>
          <w:i/>
          <w:noProof/>
          <w:sz w:val="28"/>
        </w:rPr>
        <w:tab/>
      </w:r>
      <w:r>
        <w:rPr>
          <w:b/>
          <w:noProof/>
          <w:sz w:val="24"/>
        </w:rPr>
        <w:t>C</w:t>
      </w:r>
      <w:r w:rsidR="00275AAD">
        <w:rPr>
          <w:b/>
          <w:noProof/>
          <w:sz w:val="24"/>
        </w:rPr>
        <w:t>4</w:t>
      </w:r>
      <w:r>
        <w:rPr>
          <w:b/>
          <w:noProof/>
          <w:sz w:val="24"/>
        </w:rPr>
        <w:t>-2</w:t>
      </w:r>
      <w:r w:rsidR="00181F38">
        <w:rPr>
          <w:b/>
          <w:noProof/>
          <w:sz w:val="24"/>
        </w:rPr>
        <w:t>3</w:t>
      </w:r>
      <w:r w:rsidR="00FB0380">
        <w:rPr>
          <w:b/>
          <w:noProof/>
          <w:sz w:val="24"/>
        </w:rPr>
        <w:t>0</w:t>
      </w:r>
      <w:r w:rsidR="008D5B02">
        <w:rPr>
          <w:b/>
          <w:noProof/>
          <w:sz w:val="24"/>
        </w:rPr>
        <w:t>477</w:t>
      </w:r>
    </w:p>
    <w:p w14:paraId="0DFC6589" w14:textId="0E90318C" w:rsidR="005D4A24" w:rsidRDefault="00181F38" w:rsidP="005D4A24">
      <w:pPr>
        <w:pStyle w:val="CRCoverPage"/>
        <w:outlineLvl w:val="0"/>
        <w:rPr>
          <w:b/>
          <w:noProof/>
          <w:sz w:val="24"/>
        </w:rPr>
      </w:pPr>
      <w:r>
        <w:rPr>
          <w:b/>
          <w:noProof/>
          <w:sz w:val="24"/>
        </w:rPr>
        <w:t>Athens, Greece, 27 February – 3 March 2023</w:t>
      </w:r>
    </w:p>
    <w:p w14:paraId="7146E855" w14:textId="77777777" w:rsidR="00DD40D2" w:rsidRPr="007B5456" w:rsidRDefault="00DD40D2">
      <w:pPr>
        <w:spacing w:after="120"/>
        <w:ind w:left="1985" w:hanging="1985"/>
        <w:rPr>
          <w:rFonts w:ascii="Arial" w:hAnsi="Arial" w:cs="Arial"/>
          <w:bCs/>
        </w:rPr>
      </w:pPr>
    </w:p>
    <w:p w14:paraId="484BE995" w14:textId="2E111D4B"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A004FE">
        <w:rPr>
          <w:rFonts w:ascii="Arial" w:hAnsi="Arial" w:cs="Arial"/>
          <w:b/>
          <w:bCs/>
        </w:rPr>
        <w:t>Qualcomm Incorporated</w:t>
      </w:r>
    </w:p>
    <w:p w14:paraId="234CD7C4" w14:textId="6D1B1893"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A004FE">
        <w:rPr>
          <w:rFonts w:ascii="Arial" w:hAnsi="Arial" w:cs="Arial"/>
          <w:b/>
          <w:bCs/>
        </w:rPr>
        <w:t>Status report on stage 2 work on 5GSAT+Ph2</w:t>
      </w:r>
      <w:r>
        <w:rPr>
          <w:rFonts w:ascii="Arial" w:hAnsi="Arial" w:cs="Arial"/>
          <w:b/>
          <w:bCs/>
        </w:rPr>
        <w:t xml:space="preserve"> </w:t>
      </w:r>
    </w:p>
    <w:p w14:paraId="55FE3D7D" w14:textId="391B2B3D"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A004FE">
        <w:rPr>
          <w:rFonts w:ascii="Arial" w:hAnsi="Arial" w:cs="Arial"/>
          <w:b/>
          <w:bCs/>
        </w:rPr>
        <w:t>8.2</w:t>
      </w:r>
    </w:p>
    <w:p w14:paraId="1589C299" w14:textId="2FF6507D"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t>INFORMATIO</w:t>
      </w:r>
      <w:r w:rsidR="00A004FE">
        <w:rPr>
          <w:rFonts w:ascii="Arial" w:hAnsi="Arial" w:cs="Arial"/>
          <w:b/>
          <w:bCs/>
        </w:rPr>
        <w:t>N</w:t>
      </w:r>
    </w:p>
    <w:p w14:paraId="60FB276B" w14:textId="77777777" w:rsidR="00236D1F" w:rsidRDefault="00236D1F">
      <w:pPr>
        <w:pBdr>
          <w:bottom w:val="single" w:sz="4" w:space="1" w:color="auto"/>
        </w:pBdr>
        <w:rPr>
          <w:rFonts w:ascii="Arial" w:hAnsi="Arial" w:cs="Arial"/>
          <w:b/>
          <w:bCs/>
        </w:rPr>
      </w:pPr>
    </w:p>
    <w:p w14:paraId="1E242AC9" w14:textId="5A76B5D7" w:rsidR="00236D1F" w:rsidRDefault="00236D1F">
      <w:pPr>
        <w:rPr>
          <w:rFonts w:ascii="Arial" w:hAnsi="Arial" w:cs="Arial"/>
          <w:b/>
          <w:bCs/>
        </w:rPr>
      </w:pPr>
    </w:p>
    <w:p w14:paraId="172AEFCB" w14:textId="73295A13" w:rsidR="00E646BE" w:rsidRDefault="00E646BE" w:rsidP="00E646BE">
      <w:pPr>
        <w:pStyle w:val="ListParagraph"/>
        <w:numPr>
          <w:ilvl w:val="0"/>
          <w:numId w:val="4"/>
        </w:numPr>
        <w:rPr>
          <w:rFonts w:ascii="Arial" w:hAnsi="Arial" w:cs="Arial"/>
          <w:b/>
          <w:bCs/>
        </w:rPr>
      </w:pPr>
      <w:r>
        <w:rPr>
          <w:rFonts w:ascii="Arial" w:hAnsi="Arial" w:cs="Arial"/>
          <w:b/>
          <w:bCs/>
        </w:rPr>
        <w:t>Background</w:t>
      </w:r>
    </w:p>
    <w:p w14:paraId="1471887C" w14:textId="31D59784" w:rsidR="00E646BE" w:rsidRDefault="00E646BE" w:rsidP="00E646BE">
      <w:pPr>
        <w:rPr>
          <w:rFonts w:ascii="Arial" w:hAnsi="Arial" w:cs="Arial"/>
          <w:b/>
          <w:bCs/>
        </w:rPr>
      </w:pPr>
    </w:p>
    <w:p w14:paraId="60AE2F13" w14:textId="1D8B8725" w:rsidR="009F24E9" w:rsidRDefault="00E646BE" w:rsidP="00E646BE">
      <w:pPr>
        <w:rPr>
          <w:rFonts w:ascii="Arial" w:hAnsi="Arial" w:cs="Arial"/>
        </w:rPr>
      </w:pPr>
      <w:r>
        <w:rPr>
          <w:rFonts w:ascii="Arial" w:hAnsi="Arial" w:cs="Arial"/>
        </w:rPr>
        <w:t xml:space="preserve">SA2 has completed their Rel-18 </w:t>
      </w:r>
      <w:r w:rsidRPr="00E646BE">
        <w:rPr>
          <w:rFonts w:ascii="Arial" w:hAnsi="Arial" w:cs="Arial"/>
        </w:rPr>
        <w:t>Study on 5GC enhancements for satellite access Phase 2</w:t>
      </w:r>
      <w:r>
        <w:rPr>
          <w:rFonts w:ascii="Arial" w:hAnsi="Arial" w:cs="Arial"/>
        </w:rPr>
        <w:t xml:space="preserve"> and documented the outcomes in TR 23.700-28. Furthermore, SA2 has agreed on normative WI on </w:t>
      </w:r>
      <w:r w:rsidRPr="00E646BE">
        <w:rPr>
          <w:rFonts w:ascii="Arial" w:hAnsi="Arial" w:cs="Arial"/>
        </w:rPr>
        <w:t>5GC enhancements for satellite access Phase 2</w:t>
      </w:r>
      <w:r>
        <w:rPr>
          <w:rFonts w:ascii="Arial" w:hAnsi="Arial" w:cs="Arial"/>
        </w:rPr>
        <w:t xml:space="preserve"> in S2-2211463. Finally, SA2 has agreed on several normative CRs under this WI in </w:t>
      </w:r>
      <w:r w:rsidRPr="00E646BE">
        <w:rPr>
          <w:rFonts w:ascii="Arial" w:hAnsi="Arial" w:cs="Arial"/>
        </w:rPr>
        <w:t>S2-2301766</w:t>
      </w:r>
      <w:r>
        <w:rPr>
          <w:rFonts w:ascii="Arial" w:hAnsi="Arial" w:cs="Arial"/>
        </w:rPr>
        <w:t xml:space="preserve">, </w:t>
      </w:r>
      <w:r w:rsidRPr="00E646BE">
        <w:rPr>
          <w:rFonts w:ascii="Arial" w:hAnsi="Arial" w:cs="Arial"/>
        </w:rPr>
        <w:t>S2-2301853</w:t>
      </w:r>
      <w:r>
        <w:rPr>
          <w:rFonts w:ascii="Arial" w:hAnsi="Arial" w:cs="Arial"/>
        </w:rPr>
        <w:t xml:space="preserve">, </w:t>
      </w:r>
      <w:r w:rsidRPr="00E646BE">
        <w:rPr>
          <w:rFonts w:ascii="Arial" w:hAnsi="Arial" w:cs="Arial"/>
        </w:rPr>
        <w:t>S2-2301767</w:t>
      </w:r>
      <w:r>
        <w:rPr>
          <w:rFonts w:ascii="Arial" w:hAnsi="Arial" w:cs="Arial"/>
        </w:rPr>
        <w:t xml:space="preserve">, </w:t>
      </w:r>
      <w:r w:rsidRPr="00E646BE">
        <w:rPr>
          <w:rFonts w:ascii="Arial" w:hAnsi="Arial" w:cs="Arial"/>
        </w:rPr>
        <w:t>S2-2301768</w:t>
      </w:r>
      <w:r w:rsidR="003C1ED6">
        <w:rPr>
          <w:rFonts w:ascii="Arial" w:hAnsi="Arial" w:cs="Arial"/>
        </w:rPr>
        <w:t xml:space="preserve"> and</w:t>
      </w:r>
      <w:r>
        <w:rPr>
          <w:rFonts w:ascii="Arial" w:hAnsi="Arial" w:cs="Arial"/>
        </w:rPr>
        <w:t xml:space="preserve"> </w:t>
      </w:r>
      <w:r w:rsidRPr="00E646BE">
        <w:rPr>
          <w:rFonts w:ascii="Arial" w:hAnsi="Arial" w:cs="Arial"/>
        </w:rPr>
        <w:t>S2-2301769</w:t>
      </w:r>
      <w:r>
        <w:rPr>
          <w:rFonts w:ascii="Arial" w:hAnsi="Arial" w:cs="Arial"/>
        </w:rPr>
        <w:t xml:space="preserve">. </w:t>
      </w:r>
      <w:r w:rsidR="009F24E9">
        <w:rPr>
          <w:rFonts w:ascii="Arial" w:hAnsi="Arial" w:cs="Arial"/>
        </w:rPr>
        <w:t>Based on these stage 2 accomplishments, the following is clear when to comes to the scope of work in Rel-18:</w:t>
      </w:r>
    </w:p>
    <w:p w14:paraId="56827E69" w14:textId="77777777" w:rsidR="009F24E9" w:rsidRDefault="009F24E9" w:rsidP="00E646BE">
      <w:pPr>
        <w:rPr>
          <w:rFonts w:ascii="Arial" w:hAnsi="Arial" w:cs="Arial"/>
        </w:rPr>
      </w:pPr>
    </w:p>
    <w:p w14:paraId="349E2D00" w14:textId="42029E3E" w:rsidR="009F24E9" w:rsidRDefault="009F24E9" w:rsidP="009F24E9">
      <w:pPr>
        <w:pStyle w:val="ListParagraph"/>
        <w:numPr>
          <w:ilvl w:val="0"/>
          <w:numId w:val="6"/>
        </w:numPr>
        <w:spacing w:after="120"/>
        <w:contextualSpacing w:val="0"/>
        <w:rPr>
          <w:rFonts w:ascii="Arial" w:hAnsi="Arial" w:cs="Arial"/>
        </w:rPr>
      </w:pPr>
      <w:r>
        <w:rPr>
          <w:rFonts w:ascii="Arial" w:hAnsi="Arial" w:cs="Arial"/>
        </w:rPr>
        <w:t>There is a single work</w:t>
      </w:r>
      <w:r w:rsidR="003C1ED6">
        <w:rPr>
          <w:rFonts w:ascii="Arial" w:hAnsi="Arial" w:cs="Arial"/>
        </w:rPr>
        <w:t xml:space="preserve"> item</w:t>
      </w:r>
      <w:r>
        <w:rPr>
          <w:rFonts w:ascii="Arial" w:hAnsi="Arial" w:cs="Arial"/>
        </w:rPr>
        <w:t xml:space="preserve"> for all NTN work in Rel-18 (unlike Rel-17, where we had separate work items for 5GC and EPS, respectively)</w:t>
      </w:r>
    </w:p>
    <w:p w14:paraId="56ADEF15" w14:textId="77777777" w:rsidR="003C1ED6" w:rsidRDefault="009F24E9" w:rsidP="009F24E9">
      <w:pPr>
        <w:pStyle w:val="ListParagraph"/>
        <w:numPr>
          <w:ilvl w:val="0"/>
          <w:numId w:val="6"/>
        </w:numPr>
        <w:spacing w:after="120"/>
        <w:contextualSpacing w:val="0"/>
        <w:rPr>
          <w:rFonts w:ascii="Arial" w:hAnsi="Arial" w:cs="Arial"/>
        </w:rPr>
      </w:pPr>
      <w:r>
        <w:rPr>
          <w:rFonts w:ascii="Arial" w:hAnsi="Arial" w:cs="Arial"/>
        </w:rPr>
        <w:t>The Rel-18 work is focused on supporting the Discontinuous Coverage (DC) mode of deployment. In this mode, for a UE in each location, shorter durations of coverage are followed by longer durations of no coverage (coverage gaps)</w:t>
      </w:r>
      <w:r w:rsidR="003C1ED6">
        <w:rPr>
          <w:rFonts w:ascii="Arial" w:hAnsi="Arial" w:cs="Arial"/>
        </w:rPr>
        <w:t>.</w:t>
      </w:r>
    </w:p>
    <w:p w14:paraId="31407001" w14:textId="46CB886E" w:rsidR="003C1ED6" w:rsidRDefault="003C1ED6" w:rsidP="003C1ED6">
      <w:pPr>
        <w:spacing w:after="120"/>
        <w:rPr>
          <w:rFonts w:ascii="Arial" w:hAnsi="Arial" w:cs="Arial"/>
        </w:rPr>
      </w:pPr>
      <w:r>
        <w:rPr>
          <w:rFonts w:ascii="Arial" w:hAnsi="Arial" w:cs="Arial"/>
        </w:rPr>
        <w:t xml:space="preserve">When it comes to the specific enhancements in Rel-18, the TR conclusions are not fully deterministic, and the details are going to be worked out in the normative phase. </w:t>
      </w:r>
      <w:r w:rsidR="000C2C40">
        <w:rPr>
          <w:rFonts w:ascii="Arial" w:hAnsi="Arial" w:cs="Arial"/>
        </w:rPr>
        <w:t>Based on the TR conclusions and the normative agreements, t</w:t>
      </w:r>
      <w:r>
        <w:rPr>
          <w:rFonts w:ascii="Arial" w:hAnsi="Arial" w:cs="Arial"/>
        </w:rPr>
        <w:t>he following can be said about the main areas of work:</w:t>
      </w:r>
    </w:p>
    <w:p w14:paraId="1F79CA98" w14:textId="514C3BC4" w:rsidR="003C1ED6" w:rsidRPr="003C1ED6" w:rsidRDefault="003C1ED6" w:rsidP="003C1ED6">
      <w:pPr>
        <w:pStyle w:val="ListParagraph"/>
        <w:numPr>
          <w:ilvl w:val="0"/>
          <w:numId w:val="7"/>
        </w:numPr>
        <w:spacing w:after="120"/>
        <w:rPr>
          <w:rFonts w:ascii="Arial" w:hAnsi="Arial" w:cs="Arial"/>
        </w:rPr>
      </w:pPr>
      <w:r w:rsidRPr="003C1ED6">
        <w:rPr>
          <w:rFonts w:ascii="Arial" w:hAnsi="Arial" w:cs="Arial"/>
        </w:rPr>
        <w:t>UE-centric procedures for determining and negotiating UE unreachability period due to discontinuous coverage and for power saving during coverage gaps</w:t>
      </w:r>
    </w:p>
    <w:p w14:paraId="793A6BF3" w14:textId="0953CA2E" w:rsidR="003C1ED6" w:rsidRPr="003C1ED6" w:rsidRDefault="003C1ED6" w:rsidP="00656225">
      <w:pPr>
        <w:pStyle w:val="ListParagraph"/>
        <w:numPr>
          <w:ilvl w:val="1"/>
          <w:numId w:val="7"/>
        </w:numPr>
        <w:spacing w:after="120"/>
        <w:contextualSpacing w:val="0"/>
        <w:rPr>
          <w:rFonts w:ascii="Arial" w:hAnsi="Arial" w:cs="Arial"/>
        </w:rPr>
      </w:pPr>
      <w:r>
        <w:rPr>
          <w:rFonts w:ascii="Arial" w:hAnsi="Arial" w:cs="Arial"/>
        </w:rPr>
        <w:t>The UE can infer the timing and duration of the coverage gaps using internal info and/or info provided by the network (legacy and new). The UE can use legacy procedures (PSM/MICO, eDRX etc.) to enter power saving states. The UE can also inform the network about its upcoming unavailability and its duration. The procedure for this is FFS and may include the unavailability period agreed under the Rel-18 SUECR work item.</w:t>
      </w:r>
    </w:p>
    <w:p w14:paraId="1E5DEF34" w14:textId="3F486800" w:rsidR="003C1ED6" w:rsidRPr="003C1ED6" w:rsidRDefault="003C1ED6" w:rsidP="003C1ED6">
      <w:pPr>
        <w:pStyle w:val="ListParagraph"/>
        <w:numPr>
          <w:ilvl w:val="0"/>
          <w:numId w:val="7"/>
        </w:numPr>
        <w:spacing w:after="120"/>
        <w:rPr>
          <w:rFonts w:ascii="Arial" w:hAnsi="Arial" w:cs="Arial"/>
        </w:rPr>
      </w:pPr>
      <w:r w:rsidRPr="003C1ED6">
        <w:rPr>
          <w:rFonts w:ascii="Arial" w:hAnsi="Arial" w:cs="Arial"/>
        </w:rPr>
        <w:t>Network-centric procedures for determining and negotiating UE unreachability period and for handling unreachable UEs due to discontinuous coverage</w:t>
      </w:r>
    </w:p>
    <w:p w14:paraId="64C045F3" w14:textId="3C4EC041" w:rsidR="003C1ED6" w:rsidRPr="003C1ED6" w:rsidRDefault="003C1ED6" w:rsidP="00656225">
      <w:pPr>
        <w:pStyle w:val="ListParagraph"/>
        <w:numPr>
          <w:ilvl w:val="1"/>
          <w:numId w:val="7"/>
        </w:numPr>
        <w:spacing w:after="120"/>
        <w:contextualSpacing w:val="0"/>
        <w:rPr>
          <w:rFonts w:ascii="Arial" w:hAnsi="Arial" w:cs="Arial"/>
        </w:rPr>
      </w:pPr>
      <w:r>
        <w:rPr>
          <w:rFonts w:ascii="Arial" w:hAnsi="Arial" w:cs="Arial"/>
        </w:rPr>
        <w:t xml:space="preserve">The </w:t>
      </w:r>
      <w:r>
        <w:rPr>
          <w:rFonts w:ascii="Arial" w:hAnsi="Arial" w:cs="Arial"/>
        </w:rPr>
        <w:t>NW</w:t>
      </w:r>
      <w:r>
        <w:rPr>
          <w:rFonts w:ascii="Arial" w:hAnsi="Arial" w:cs="Arial"/>
        </w:rPr>
        <w:t xml:space="preserve"> can infer the timing and duration of the coverage gaps using </w:t>
      </w:r>
      <w:r>
        <w:rPr>
          <w:rFonts w:ascii="Arial" w:hAnsi="Arial" w:cs="Arial"/>
        </w:rPr>
        <w:t>its own info</w:t>
      </w:r>
      <w:r>
        <w:rPr>
          <w:rFonts w:ascii="Arial" w:hAnsi="Arial" w:cs="Arial"/>
        </w:rPr>
        <w:t xml:space="preserve">. The </w:t>
      </w:r>
      <w:r>
        <w:rPr>
          <w:rFonts w:ascii="Arial" w:hAnsi="Arial" w:cs="Arial"/>
        </w:rPr>
        <w:t>NW</w:t>
      </w:r>
      <w:r>
        <w:rPr>
          <w:rFonts w:ascii="Arial" w:hAnsi="Arial" w:cs="Arial"/>
        </w:rPr>
        <w:t xml:space="preserve"> </w:t>
      </w:r>
      <w:r w:rsidR="000C2C40">
        <w:rPr>
          <w:rFonts w:ascii="Arial" w:hAnsi="Arial" w:cs="Arial"/>
        </w:rPr>
        <w:t xml:space="preserve">can </w:t>
      </w:r>
      <w:r>
        <w:rPr>
          <w:rFonts w:ascii="Arial" w:hAnsi="Arial" w:cs="Arial"/>
        </w:rPr>
        <w:t>adjust the legacy timers</w:t>
      </w:r>
      <w:r>
        <w:rPr>
          <w:rFonts w:ascii="Arial" w:hAnsi="Arial" w:cs="Arial"/>
        </w:rPr>
        <w:t xml:space="preserve"> (PSM/MICO, </w:t>
      </w:r>
      <w:r>
        <w:rPr>
          <w:rFonts w:ascii="Arial" w:hAnsi="Arial" w:cs="Arial"/>
        </w:rPr>
        <w:t xml:space="preserve">periodic TAU, </w:t>
      </w:r>
      <w:r>
        <w:rPr>
          <w:rFonts w:ascii="Arial" w:hAnsi="Arial" w:cs="Arial"/>
        </w:rPr>
        <w:t xml:space="preserve">eDRX etc.) </w:t>
      </w:r>
      <w:r>
        <w:rPr>
          <w:rFonts w:ascii="Arial" w:hAnsi="Arial" w:cs="Arial"/>
        </w:rPr>
        <w:t>accordingly</w:t>
      </w:r>
      <w:r>
        <w:rPr>
          <w:rFonts w:ascii="Arial" w:hAnsi="Arial" w:cs="Arial"/>
        </w:rPr>
        <w:t xml:space="preserve">. The </w:t>
      </w:r>
      <w:r>
        <w:rPr>
          <w:rFonts w:ascii="Arial" w:hAnsi="Arial" w:cs="Arial"/>
        </w:rPr>
        <w:t>NW</w:t>
      </w:r>
      <w:r>
        <w:rPr>
          <w:rFonts w:ascii="Arial" w:hAnsi="Arial" w:cs="Arial"/>
        </w:rPr>
        <w:t xml:space="preserve"> can also </w:t>
      </w:r>
      <w:r>
        <w:rPr>
          <w:rFonts w:ascii="Arial" w:hAnsi="Arial" w:cs="Arial"/>
        </w:rPr>
        <w:t xml:space="preserve">handle the UE unreachability based on the estimated coverage gap duration. The NW can use the legacy HLCOM </w:t>
      </w:r>
      <w:r w:rsidR="00656225">
        <w:rPr>
          <w:rFonts w:ascii="Arial" w:hAnsi="Arial" w:cs="Arial"/>
        </w:rPr>
        <w:t>mechanisms</w:t>
      </w:r>
      <w:r>
        <w:rPr>
          <w:rFonts w:ascii="Arial" w:hAnsi="Arial" w:cs="Arial"/>
        </w:rPr>
        <w:t xml:space="preserve"> for handling downlink data delivery during coverage gaps</w:t>
      </w:r>
      <w:r>
        <w:rPr>
          <w:rFonts w:ascii="Arial" w:hAnsi="Arial" w:cs="Arial"/>
        </w:rPr>
        <w:t>.</w:t>
      </w:r>
    </w:p>
    <w:p w14:paraId="14AE6A65" w14:textId="5B324935" w:rsidR="003C1ED6" w:rsidRPr="00656225" w:rsidRDefault="003C1ED6" w:rsidP="00656225">
      <w:pPr>
        <w:pStyle w:val="ListParagraph"/>
        <w:numPr>
          <w:ilvl w:val="0"/>
          <w:numId w:val="7"/>
        </w:numPr>
        <w:spacing w:after="120"/>
        <w:rPr>
          <w:rFonts w:ascii="Arial" w:hAnsi="Arial" w:cs="Arial"/>
        </w:rPr>
      </w:pPr>
      <w:r w:rsidRPr="00656225">
        <w:rPr>
          <w:rFonts w:ascii="Arial" w:hAnsi="Arial" w:cs="Arial"/>
        </w:rPr>
        <w:t>Handling signalling overload due to return to coverage of many UEs at the same time.</w:t>
      </w:r>
    </w:p>
    <w:p w14:paraId="18CF13AB" w14:textId="748347FF" w:rsidR="00656225" w:rsidRPr="00656225" w:rsidRDefault="00656225" w:rsidP="00656225">
      <w:pPr>
        <w:pStyle w:val="ListParagraph"/>
        <w:numPr>
          <w:ilvl w:val="1"/>
          <w:numId w:val="7"/>
        </w:numPr>
        <w:spacing w:after="120"/>
        <w:contextualSpacing w:val="0"/>
        <w:rPr>
          <w:rFonts w:ascii="Arial" w:hAnsi="Arial" w:cs="Arial"/>
        </w:rPr>
      </w:pPr>
      <w:r>
        <w:rPr>
          <w:rFonts w:ascii="Arial" w:hAnsi="Arial" w:cs="Arial"/>
        </w:rPr>
        <w:t xml:space="preserve">The NW may provide a “wait range” to the UE to be used as a backoff during registration procedure upon return to coverage. The TR mentions the possibility of using a mechanism similar to MINT.  </w:t>
      </w:r>
    </w:p>
    <w:p w14:paraId="25FB88D7" w14:textId="450F17D6" w:rsidR="00E646BE" w:rsidRPr="00656225" w:rsidRDefault="003C1ED6" w:rsidP="00656225">
      <w:pPr>
        <w:pStyle w:val="ListParagraph"/>
        <w:numPr>
          <w:ilvl w:val="0"/>
          <w:numId w:val="7"/>
        </w:numPr>
        <w:spacing w:after="120"/>
        <w:rPr>
          <w:rFonts w:ascii="Arial" w:hAnsi="Arial" w:cs="Arial"/>
        </w:rPr>
      </w:pPr>
      <w:r w:rsidRPr="00656225">
        <w:rPr>
          <w:rFonts w:ascii="Arial" w:hAnsi="Arial" w:cs="Arial"/>
        </w:rPr>
        <w:t>Provisioning of satellite coverage information to the UE and to the AMF using a user plane protocol</w:t>
      </w:r>
      <w:r w:rsidR="009F24E9" w:rsidRPr="00656225">
        <w:rPr>
          <w:rFonts w:ascii="Arial" w:hAnsi="Arial" w:cs="Arial"/>
        </w:rPr>
        <w:t xml:space="preserve"> </w:t>
      </w:r>
    </w:p>
    <w:p w14:paraId="6E260EB5" w14:textId="66E19FBE" w:rsidR="00656225" w:rsidRDefault="00656225" w:rsidP="00656225">
      <w:pPr>
        <w:pStyle w:val="ListParagraph"/>
        <w:numPr>
          <w:ilvl w:val="1"/>
          <w:numId w:val="7"/>
        </w:numPr>
        <w:spacing w:after="120"/>
        <w:rPr>
          <w:rFonts w:ascii="Arial" w:hAnsi="Arial" w:cs="Arial"/>
        </w:rPr>
      </w:pPr>
      <w:r>
        <w:rPr>
          <w:rFonts w:ascii="Arial" w:hAnsi="Arial" w:cs="Arial"/>
        </w:rPr>
        <w:t xml:space="preserve">To allow the UE and the NW to determine the timing and duration of coverage gaps, a new coverage information will be available in addition to the legacy info in SIB32. This map-like coverage info will be provided to the UE using a user plane protocol. The possibility of using NDD for delivering the coverage info to the UE </w:t>
      </w:r>
      <w:r w:rsidR="006F3368">
        <w:rPr>
          <w:rFonts w:ascii="Arial" w:hAnsi="Arial" w:cs="Arial"/>
        </w:rPr>
        <w:t>v</w:t>
      </w:r>
      <w:r>
        <w:rPr>
          <w:rFonts w:ascii="Arial" w:hAnsi="Arial" w:cs="Arial"/>
        </w:rPr>
        <w:t>i</w:t>
      </w:r>
      <w:r w:rsidR="006F3368">
        <w:rPr>
          <w:rFonts w:ascii="Arial" w:hAnsi="Arial" w:cs="Arial"/>
        </w:rPr>
        <w:t>a AF i</w:t>
      </w:r>
      <w:r>
        <w:rPr>
          <w:rFonts w:ascii="Arial" w:hAnsi="Arial" w:cs="Arial"/>
        </w:rPr>
        <w:t>s still FFS.</w:t>
      </w:r>
    </w:p>
    <w:p w14:paraId="5C00A0C8" w14:textId="284BDFF0" w:rsidR="00656225" w:rsidRDefault="00656225" w:rsidP="00656225">
      <w:pPr>
        <w:spacing w:after="120"/>
        <w:rPr>
          <w:rFonts w:ascii="Arial" w:hAnsi="Arial" w:cs="Arial"/>
        </w:rPr>
      </w:pPr>
      <w:r>
        <w:rPr>
          <w:rFonts w:ascii="Arial" w:hAnsi="Arial" w:cs="Arial"/>
        </w:rPr>
        <w:t xml:space="preserve">In addition to the above, CT1 should also consider all possible enhancements to the UE procedures for enabling power-efficient operation in </w:t>
      </w:r>
      <w:r w:rsidR="000C2C40">
        <w:rPr>
          <w:rFonts w:ascii="Arial" w:hAnsi="Arial" w:cs="Arial"/>
        </w:rPr>
        <w:t xml:space="preserve">a </w:t>
      </w:r>
      <w:r>
        <w:rPr>
          <w:rFonts w:ascii="Arial" w:hAnsi="Arial" w:cs="Arial"/>
        </w:rPr>
        <w:t xml:space="preserve">network </w:t>
      </w:r>
      <w:r w:rsidR="000C2C40">
        <w:rPr>
          <w:rFonts w:ascii="Arial" w:hAnsi="Arial" w:cs="Arial"/>
        </w:rPr>
        <w:t xml:space="preserve">that </w:t>
      </w:r>
      <w:r>
        <w:rPr>
          <w:rFonts w:ascii="Arial" w:hAnsi="Arial" w:cs="Arial"/>
        </w:rPr>
        <w:t>us</w:t>
      </w:r>
      <w:r w:rsidR="000C2C40">
        <w:rPr>
          <w:rFonts w:ascii="Arial" w:hAnsi="Arial" w:cs="Arial"/>
        </w:rPr>
        <w:t>es</w:t>
      </w:r>
      <w:r>
        <w:rPr>
          <w:rFonts w:ascii="Arial" w:hAnsi="Arial" w:cs="Arial"/>
        </w:rPr>
        <w:t xml:space="preserve"> discontinuous coverage.  </w:t>
      </w:r>
    </w:p>
    <w:p w14:paraId="2319C5C1" w14:textId="02708DF4" w:rsidR="00656225" w:rsidRPr="00656225" w:rsidRDefault="00656225" w:rsidP="00FB0380">
      <w:pPr>
        <w:spacing w:after="120"/>
        <w:rPr>
          <w:rFonts w:ascii="Arial" w:hAnsi="Arial" w:cs="Arial"/>
        </w:rPr>
      </w:pPr>
      <w:r>
        <w:rPr>
          <w:rFonts w:ascii="Arial" w:hAnsi="Arial" w:cs="Arial"/>
        </w:rPr>
        <w:t xml:space="preserve">The Rel-18 new WID </w:t>
      </w:r>
      <w:r w:rsidR="006F3368">
        <w:rPr>
          <w:rFonts w:ascii="Arial" w:hAnsi="Arial" w:cs="Arial"/>
        </w:rPr>
        <w:t xml:space="preserve">proposal </w:t>
      </w:r>
      <w:r>
        <w:rPr>
          <w:rFonts w:ascii="Arial" w:hAnsi="Arial" w:cs="Arial"/>
        </w:rPr>
        <w:t>is available in C</w:t>
      </w:r>
      <w:r w:rsidR="00275AAD">
        <w:rPr>
          <w:rFonts w:ascii="Arial" w:hAnsi="Arial" w:cs="Arial"/>
        </w:rPr>
        <w:t>4</w:t>
      </w:r>
      <w:r>
        <w:rPr>
          <w:rFonts w:ascii="Arial" w:hAnsi="Arial" w:cs="Arial"/>
        </w:rPr>
        <w:t>-230</w:t>
      </w:r>
      <w:r w:rsidR="00275AAD">
        <w:rPr>
          <w:rFonts w:ascii="Arial" w:hAnsi="Arial" w:cs="Arial"/>
        </w:rPr>
        <w:t>478</w:t>
      </w:r>
      <w:r>
        <w:rPr>
          <w:rFonts w:ascii="Arial" w:hAnsi="Arial" w:cs="Arial"/>
        </w:rPr>
        <w:t xml:space="preserve">. </w:t>
      </w:r>
    </w:p>
    <w:p w14:paraId="6A2274D9" w14:textId="3DBD6EB5" w:rsidR="00E646BE" w:rsidRPr="00E646BE" w:rsidRDefault="00E646BE" w:rsidP="00E646BE">
      <w:pPr>
        <w:rPr>
          <w:rFonts w:ascii="Arial" w:hAnsi="Arial" w:cs="Arial"/>
        </w:rPr>
      </w:pPr>
    </w:p>
    <w:sectPr w:rsidR="00E646BE" w:rsidRPr="00E646BE">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C7208" w14:textId="77777777" w:rsidR="007E03D8" w:rsidRDefault="007E03D8">
      <w:r>
        <w:separator/>
      </w:r>
    </w:p>
  </w:endnote>
  <w:endnote w:type="continuationSeparator" w:id="0">
    <w:p w14:paraId="1687978A" w14:textId="77777777" w:rsidR="007E03D8" w:rsidRDefault="007E0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CB317" w14:textId="77777777" w:rsidR="007E03D8" w:rsidRDefault="007E03D8">
      <w:r>
        <w:separator/>
      </w:r>
    </w:p>
  </w:footnote>
  <w:footnote w:type="continuationSeparator" w:id="0">
    <w:p w14:paraId="7930EFFF" w14:textId="77777777" w:rsidR="007E03D8" w:rsidRDefault="007E03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223C27"/>
    <w:multiLevelType w:val="hybridMultilevel"/>
    <w:tmpl w:val="7562B276"/>
    <w:lvl w:ilvl="0" w:tplc="F3801FD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E10C34"/>
    <w:multiLevelType w:val="hybridMultilevel"/>
    <w:tmpl w:val="60D09A42"/>
    <w:lvl w:ilvl="0" w:tplc="0F3A7B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65E7B71"/>
    <w:multiLevelType w:val="hybridMultilevel"/>
    <w:tmpl w:val="DE7A6B3C"/>
    <w:lvl w:ilvl="0" w:tplc="0F3A7B80">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450D510E"/>
    <w:multiLevelType w:val="hybridMultilevel"/>
    <w:tmpl w:val="843ECAEE"/>
    <w:lvl w:ilvl="0" w:tplc="2688AE14">
      <w:start w:val="1"/>
      <w:numFmt w:val="decimal"/>
      <w:lvlText w:val="%1."/>
      <w:lvlJc w:val="left"/>
      <w:pPr>
        <w:ind w:left="1080" w:hanging="720"/>
      </w:pPr>
      <w:rPr>
        <w:rFonts w:hint="default"/>
      </w:rPr>
    </w:lvl>
    <w:lvl w:ilvl="1" w:tplc="F3801FD4">
      <w:start w:val="1"/>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203638385">
    <w:abstractNumId w:val="6"/>
  </w:num>
  <w:num w:numId="2" w16cid:durableId="1633753767">
    <w:abstractNumId w:val="3"/>
  </w:num>
  <w:num w:numId="3" w16cid:durableId="528221516">
    <w:abstractNumId w:val="2"/>
  </w:num>
  <w:num w:numId="4" w16cid:durableId="1636178521">
    <w:abstractNumId w:val="1"/>
  </w:num>
  <w:num w:numId="5" w16cid:durableId="1616407922">
    <w:abstractNumId w:val="0"/>
  </w:num>
  <w:num w:numId="6" w16cid:durableId="32002799">
    <w:abstractNumId w:val="4"/>
  </w:num>
  <w:num w:numId="7" w16cid:durableId="20364961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46686"/>
    <w:rsid w:val="00046FDD"/>
    <w:rsid w:val="00050925"/>
    <w:rsid w:val="00054884"/>
    <w:rsid w:val="00057E1E"/>
    <w:rsid w:val="00072A7C"/>
    <w:rsid w:val="000775E7"/>
    <w:rsid w:val="0007775C"/>
    <w:rsid w:val="00094F23"/>
    <w:rsid w:val="000967F4"/>
    <w:rsid w:val="000C2C40"/>
    <w:rsid w:val="000D6D78"/>
    <w:rsid w:val="000E0429"/>
    <w:rsid w:val="000F6E51"/>
    <w:rsid w:val="00102A24"/>
    <w:rsid w:val="00103FFE"/>
    <w:rsid w:val="0013259C"/>
    <w:rsid w:val="00135831"/>
    <w:rsid w:val="001376A6"/>
    <w:rsid w:val="001424CD"/>
    <w:rsid w:val="0014413C"/>
    <w:rsid w:val="00163D28"/>
    <w:rsid w:val="00166A1B"/>
    <w:rsid w:val="00181F38"/>
    <w:rsid w:val="00192B41"/>
    <w:rsid w:val="00197E4A"/>
    <w:rsid w:val="001A31EF"/>
    <w:rsid w:val="001B01F1"/>
    <w:rsid w:val="001B2414"/>
    <w:rsid w:val="001B5421"/>
    <w:rsid w:val="001B650D"/>
    <w:rsid w:val="001D0B09"/>
    <w:rsid w:val="001E6729"/>
    <w:rsid w:val="002070CB"/>
    <w:rsid w:val="002336BF"/>
    <w:rsid w:val="00235F9B"/>
    <w:rsid w:val="00236BBA"/>
    <w:rsid w:val="00236D1F"/>
    <w:rsid w:val="002407FF"/>
    <w:rsid w:val="00250F58"/>
    <w:rsid w:val="002541D3"/>
    <w:rsid w:val="00256429"/>
    <w:rsid w:val="0026253E"/>
    <w:rsid w:val="00272D61"/>
    <w:rsid w:val="00275AAD"/>
    <w:rsid w:val="002919B7"/>
    <w:rsid w:val="00295D61"/>
    <w:rsid w:val="002B074C"/>
    <w:rsid w:val="002B2FE7"/>
    <w:rsid w:val="002B34EA"/>
    <w:rsid w:val="002B5361"/>
    <w:rsid w:val="002C1BA4"/>
    <w:rsid w:val="002C47B8"/>
    <w:rsid w:val="002E397B"/>
    <w:rsid w:val="002E3AE2"/>
    <w:rsid w:val="002F7CCB"/>
    <w:rsid w:val="00310E70"/>
    <w:rsid w:val="00313F3E"/>
    <w:rsid w:val="00320536"/>
    <w:rsid w:val="00325E33"/>
    <w:rsid w:val="003275E6"/>
    <w:rsid w:val="00354553"/>
    <w:rsid w:val="00392C87"/>
    <w:rsid w:val="003A5FFA"/>
    <w:rsid w:val="003A67E1"/>
    <w:rsid w:val="003C1ED6"/>
    <w:rsid w:val="003D4593"/>
    <w:rsid w:val="003E2C8B"/>
    <w:rsid w:val="003E710B"/>
    <w:rsid w:val="003F1C0E"/>
    <w:rsid w:val="004008D7"/>
    <w:rsid w:val="0040145D"/>
    <w:rsid w:val="00411339"/>
    <w:rsid w:val="004131BD"/>
    <w:rsid w:val="00416CEA"/>
    <w:rsid w:val="00421AFD"/>
    <w:rsid w:val="00432048"/>
    <w:rsid w:val="004518DB"/>
    <w:rsid w:val="004726C5"/>
    <w:rsid w:val="00477EBC"/>
    <w:rsid w:val="004A0A73"/>
    <w:rsid w:val="004A661C"/>
    <w:rsid w:val="004C481F"/>
    <w:rsid w:val="004C4C9B"/>
    <w:rsid w:val="004D2FA0"/>
    <w:rsid w:val="004D6D84"/>
    <w:rsid w:val="004E1010"/>
    <w:rsid w:val="0050202A"/>
    <w:rsid w:val="0052032E"/>
    <w:rsid w:val="005220FF"/>
    <w:rsid w:val="00544D8F"/>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4B34"/>
    <w:rsid w:val="00616E18"/>
    <w:rsid w:val="00623AED"/>
    <w:rsid w:val="0062443C"/>
    <w:rsid w:val="00632157"/>
    <w:rsid w:val="00633971"/>
    <w:rsid w:val="0064121E"/>
    <w:rsid w:val="00656225"/>
    <w:rsid w:val="00660354"/>
    <w:rsid w:val="00665B9B"/>
    <w:rsid w:val="006D3D54"/>
    <w:rsid w:val="006E1A49"/>
    <w:rsid w:val="006F1B00"/>
    <w:rsid w:val="006F3368"/>
    <w:rsid w:val="006F4B7A"/>
    <w:rsid w:val="006F7727"/>
    <w:rsid w:val="00700A59"/>
    <w:rsid w:val="00710142"/>
    <w:rsid w:val="00712E81"/>
    <w:rsid w:val="00723919"/>
    <w:rsid w:val="007261D3"/>
    <w:rsid w:val="007269BB"/>
    <w:rsid w:val="0074596C"/>
    <w:rsid w:val="00762474"/>
    <w:rsid w:val="007814A8"/>
    <w:rsid w:val="00781A62"/>
    <w:rsid w:val="00783C0E"/>
    <w:rsid w:val="00787383"/>
    <w:rsid w:val="00791B51"/>
    <w:rsid w:val="00795AD1"/>
    <w:rsid w:val="007B5456"/>
    <w:rsid w:val="007B5F65"/>
    <w:rsid w:val="007D3C7C"/>
    <w:rsid w:val="007E03D8"/>
    <w:rsid w:val="007F6574"/>
    <w:rsid w:val="00850CD4"/>
    <w:rsid w:val="00854A49"/>
    <w:rsid w:val="008A06BE"/>
    <w:rsid w:val="008A56FD"/>
    <w:rsid w:val="008D3DA6"/>
    <w:rsid w:val="008D5B02"/>
    <w:rsid w:val="008F7444"/>
    <w:rsid w:val="0091399A"/>
    <w:rsid w:val="00926791"/>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D6D9F"/>
    <w:rsid w:val="009E1910"/>
    <w:rsid w:val="009E5DBA"/>
    <w:rsid w:val="009F24E9"/>
    <w:rsid w:val="009F6047"/>
    <w:rsid w:val="00A004FE"/>
    <w:rsid w:val="00A03D2A"/>
    <w:rsid w:val="00A10ADB"/>
    <w:rsid w:val="00A12C91"/>
    <w:rsid w:val="00A144AB"/>
    <w:rsid w:val="00A151A1"/>
    <w:rsid w:val="00A17F01"/>
    <w:rsid w:val="00A24557"/>
    <w:rsid w:val="00A248B2"/>
    <w:rsid w:val="00A27A64"/>
    <w:rsid w:val="00A33852"/>
    <w:rsid w:val="00A37F80"/>
    <w:rsid w:val="00A46B3F"/>
    <w:rsid w:val="00A46F30"/>
    <w:rsid w:val="00A61169"/>
    <w:rsid w:val="00A63024"/>
    <w:rsid w:val="00A63C4A"/>
    <w:rsid w:val="00A82FCC"/>
    <w:rsid w:val="00A906A4"/>
    <w:rsid w:val="00AA574E"/>
    <w:rsid w:val="00AD324E"/>
    <w:rsid w:val="00AD5B51"/>
    <w:rsid w:val="00AD7B78"/>
    <w:rsid w:val="00AF4118"/>
    <w:rsid w:val="00B3526C"/>
    <w:rsid w:val="00B47534"/>
    <w:rsid w:val="00B84B54"/>
    <w:rsid w:val="00B92C7D"/>
    <w:rsid w:val="00B93BB2"/>
    <w:rsid w:val="00B9697B"/>
    <w:rsid w:val="00BA46C7"/>
    <w:rsid w:val="00BA4DA4"/>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A5DB0"/>
    <w:rsid w:val="00CC58ED"/>
    <w:rsid w:val="00CE555E"/>
    <w:rsid w:val="00D02A1D"/>
    <w:rsid w:val="00D145EC"/>
    <w:rsid w:val="00D43C0B"/>
    <w:rsid w:val="00D44A74"/>
    <w:rsid w:val="00D57CD2"/>
    <w:rsid w:val="00D57E66"/>
    <w:rsid w:val="00D73350"/>
    <w:rsid w:val="00D82231"/>
    <w:rsid w:val="00D8756E"/>
    <w:rsid w:val="00D938DD"/>
    <w:rsid w:val="00D974EA"/>
    <w:rsid w:val="00DC0F52"/>
    <w:rsid w:val="00DC4726"/>
    <w:rsid w:val="00DD40D2"/>
    <w:rsid w:val="00DE5BBF"/>
    <w:rsid w:val="00E02334"/>
    <w:rsid w:val="00E03A99"/>
    <w:rsid w:val="00E041CD"/>
    <w:rsid w:val="00E1463F"/>
    <w:rsid w:val="00E3403D"/>
    <w:rsid w:val="00E363A9"/>
    <w:rsid w:val="00E413E0"/>
    <w:rsid w:val="00E53AE3"/>
    <w:rsid w:val="00E5574A"/>
    <w:rsid w:val="00E610B9"/>
    <w:rsid w:val="00E646BE"/>
    <w:rsid w:val="00E64FB2"/>
    <w:rsid w:val="00E81E2C"/>
    <w:rsid w:val="00EB5D2F"/>
    <w:rsid w:val="00EC10EC"/>
    <w:rsid w:val="00ED6080"/>
    <w:rsid w:val="00EE0176"/>
    <w:rsid w:val="00EF0942"/>
    <w:rsid w:val="00EF291F"/>
    <w:rsid w:val="00EF5A8E"/>
    <w:rsid w:val="00F0218C"/>
    <w:rsid w:val="00F0393B"/>
    <w:rsid w:val="00F11FB9"/>
    <w:rsid w:val="00F1342A"/>
    <w:rsid w:val="00F313DD"/>
    <w:rsid w:val="00F378BE"/>
    <w:rsid w:val="00F43120"/>
    <w:rsid w:val="00F763A4"/>
    <w:rsid w:val="00F81BA0"/>
    <w:rsid w:val="00F81CF2"/>
    <w:rsid w:val="00F87FD2"/>
    <w:rsid w:val="00F941B8"/>
    <w:rsid w:val="00FA5FA5"/>
    <w:rsid w:val="00FA79A7"/>
    <w:rsid w:val="00FB0380"/>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basedOn w:val="Normal"/>
    <w:uiPriority w:val="34"/>
    <w:qFormat/>
    <w:rsid w:val="00E646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02409593">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506</Words>
  <Characters>2887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Qualcomm-Amer</cp:lastModifiedBy>
  <cp:revision>5</cp:revision>
  <cp:lastPrinted>2001-04-23T09:30:00Z</cp:lastPrinted>
  <dcterms:created xsi:type="dcterms:W3CDTF">2023-02-20T11:55:00Z</dcterms:created>
  <dcterms:modified xsi:type="dcterms:W3CDTF">2023-02-20T11:57:00Z</dcterms:modified>
</cp:coreProperties>
</file>