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5E0DC" w14:textId="050F85D0" w:rsidR="007713F0" w:rsidRDefault="0011430E" w:rsidP="007713F0">
      <w:pPr>
        <w:pStyle w:val="CRCoverPage"/>
        <w:tabs>
          <w:tab w:val="right" w:pos="9639"/>
        </w:tabs>
        <w:spacing w:after="0"/>
        <w:rPr>
          <w:b/>
          <w:i/>
          <w:noProof/>
          <w:sz w:val="28"/>
        </w:rPr>
      </w:pPr>
      <w:r>
        <w:rPr>
          <w:b/>
          <w:noProof/>
          <w:sz w:val="24"/>
        </w:rPr>
        <w:t>3GPP TSG-CT WG4 Meeting #114</w:t>
      </w:r>
      <w:r w:rsidR="007713F0">
        <w:rPr>
          <w:b/>
          <w:i/>
          <w:noProof/>
          <w:sz w:val="28"/>
        </w:rPr>
        <w:tab/>
      </w:r>
      <w:r w:rsidR="004453B3" w:rsidRPr="004453B3">
        <w:rPr>
          <w:b/>
          <w:noProof/>
          <w:sz w:val="24"/>
        </w:rPr>
        <w:t>C</w:t>
      </w:r>
      <w:r w:rsidR="004453B3" w:rsidRPr="00C423DC">
        <w:rPr>
          <w:b/>
          <w:noProof/>
          <w:sz w:val="24"/>
        </w:rPr>
        <w:t>4-2</w:t>
      </w:r>
      <w:r>
        <w:rPr>
          <w:b/>
          <w:noProof/>
          <w:sz w:val="24"/>
        </w:rPr>
        <w:t>30</w:t>
      </w:r>
      <w:r w:rsidR="007F6D54">
        <w:rPr>
          <w:b/>
          <w:noProof/>
          <w:sz w:val="24"/>
        </w:rPr>
        <w:t>125</w:t>
      </w:r>
    </w:p>
    <w:p w14:paraId="48F04F48" w14:textId="52A9B2C1" w:rsidR="007713F0" w:rsidRDefault="0011430E" w:rsidP="007713F0">
      <w:pPr>
        <w:pStyle w:val="CRCoverPage"/>
        <w:outlineLvl w:val="0"/>
        <w:rPr>
          <w:b/>
          <w:noProof/>
          <w:sz w:val="24"/>
        </w:rPr>
      </w:pPr>
      <w:r>
        <w:rPr>
          <w:b/>
          <w:noProof/>
          <w:sz w:val="24"/>
        </w:rPr>
        <w:t>Athens</w:t>
      </w:r>
      <w:r w:rsidR="007713F0">
        <w:rPr>
          <w:b/>
          <w:noProof/>
          <w:sz w:val="24"/>
        </w:rPr>
        <w:t xml:space="preserve">, </w:t>
      </w:r>
      <w:r>
        <w:rPr>
          <w:b/>
          <w:noProof/>
          <w:sz w:val="24"/>
        </w:rPr>
        <w:t>Greece</w:t>
      </w:r>
      <w:r w:rsidR="007713F0">
        <w:rPr>
          <w:b/>
          <w:noProof/>
          <w:sz w:val="24"/>
        </w:rPr>
        <w:t xml:space="preserve">, </w:t>
      </w:r>
      <w:r>
        <w:rPr>
          <w:b/>
          <w:noProof/>
          <w:sz w:val="24"/>
        </w:rPr>
        <w:t>27</w:t>
      </w:r>
      <w:r w:rsidRPr="0011430E">
        <w:rPr>
          <w:b/>
          <w:noProof/>
          <w:sz w:val="24"/>
          <w:vertAlign w:val="superscript"/>
        </w:rPr>
        <w:t>th</w:t>
      </w:r>
      <w:r>
        <w:rPr>
          <w:b/>
          <w:noProof/>
          <w:sz w:val="24"/>
        </w:rPr>
        <w:t xml:space="preserve"> Feb</w:t>
      </w:r>
      <w:r w:rsidR="007713F0">
        <w:rPr>
          <w:b/>
          <w:noProof/>
          <w:sz w:val="24"/>
        </w:rPr>
        <w:t xml:space="preserve"> – </w:t>
      </w:r>
      <w:r>
        <w:rPr>
          <w:b/>
          <w:noProof/>
          <w:sz w:val="24"/>
        </w:rPr>
        <w:t>3</w:t>
      </w:r>
      <w:r w:rsidRPr="0011430E">
        <w:rPr>
          <w:b/>
          <w:noProof/>
          <w:sz w:val="24"/>
          <w:vertAlign w:val="superscript"/>
        </w:rPr>
        <w:t>rd</w:t>
      </w:r>
      <w:r>
        <w:rPr>
          <w:b/>
          <w:noProof/>
          <w:sz w:val="24"/>
        </w:rPr>
        <w:t xml:space="preserve"> Mar 2023</w:t>
      </w:r>
      <w:r w:rsidR="00E27FE3" w:rsidRPr="00E27FE3">
        <w:rPr>
          <w:i/>
          <w:noProof/>
          <w:sz w:val="22"/>
          <w:szCs w:val="22"/>
        </w:rPr>
        <w:tab/>
      </w:r>
      <w:r w:rsidR="003A495F">
        <w:rPr>
          <w:i/>
          <w:noProof/>
          <w:sz w:val="22"/>
          <w:szCs w:val="22"/>
        </w:rPr>
        <w:tab/>
      </w:r>
      <w:r w:rsidR="003A495F">
        <w:rPr>
          <w:i/>
          <w:noProof/>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A0BF39"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11430E" w:rsidRPr="003B61E9">
        <w:rPr>
          <w:rFonts w:eastAsiaTheme="minorEastAsia"/>
          <w:szCs w:val="22"/>
          <w:lang w:eastAsia="ja-JP"/>
        </w:rPr>
        <w:t xml:space="preserve">Research highlighting potential need for granular level checks using "Additional scope" </w:t>
      </w:r>
      <w:r w:rsidR="007F6D54">
        <w:rPr>
          <w:rFonts w:eastAsiaTheme="minorEastAsia"/>
          <w:szCs w:val="22"/>
          <w:lang w:eastAsia="ja-JP"/>
        </w:rPr>
        <w:t>under the OAuth2.0 Token Access</w:t>
      </w:r>
    </w:p>
    <w:p w14:paraId="65004854" w14:textId="3AAC2F20" w:rsidR="00463675" w:rsidRPr="005F677E" w:rsidRDefault="00463675" w:rsidP="000F4E43">
      <w:pPr>
        <w:pStyle w:val="Title"/>
      </w:pPr>
      <w:r w:rsidRPr="005F677E">
        <w:t>Response to:</w:t>
      </w:r>
      <w:r w:rsidRPr="005F677E">
        <w:tab/>
      </w:r>
      <w:r w:rsidR="0011430E" w:rsidRPr="0011430E">
        <w:t>C4-230037</w:t>
      </w:r>
    </w:p>
    <w:p w14:paraId="56E3B846" w14:textId="4442E4E4" w:rsidR="00463675" w:rsidRPr="005F677E" w:rsidRDefault="00463675" w:rsidP="000F4E43">
      <w:pPr>
        <w:pStyle w:val="Title"/>
      </w:pPr>
      <w:r w:rsidRPr="005F677E">
        <w:t>Release:</w:t>
      </w:r>
      <w:r w:rsidRPr="005F677E">
        <w:tab/>
        <w:t>Release</w:t>
      </w:r>
      <w:r w:rsidR="005F677E" w:rsidRPr="005F677E">
        <w:t xml:space="preserve"> 17</w:t>
      </w:r>
    </w:p>
    <w:p w14:paraId="792135A2" w14:textId="33B82958" w:rsidR="00463675" w:rsidRPr="005F677E" w:rsidRDefault="00463675" w:rsidP="000F4E43">
      <w:pPr>
        <w:pStyle w:val="Title"/>
      </w:pPr>
      <w:r w:rsidRPr="005F677E">
        <w:t>Work Item:</w:t>
      </w:r>
      <w:r w:rsidRPr="005F677E">
        <w:tab/>
      </w:r>
      <w:r w:rsidR="00FA2350">
        <w:t>SBIProtoc18</w:t>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5FEE8494" w:rsidR="00463675" w:rsidRPr="005F677E" w:rsidRDefault="00463675" w:rsidP="000F4E43">
      <w:pPr>
        <w:pStyle w:val="Source"/>
      </w:pPr>
      <w:r w:rsidRPr="005F677E">
        <w:t>To:</w:t>
      </w:r>
      <w:r w:rsidRPr="005F677E">
        <w:tab/>
      </w:r>
      <w:r w:rsidR="0011430E" w:rsidRPr="0011430E">
        <w:rPr>
          <w:b w:val="0"/>
        </w:rPr>
        <w:t>GSMA CVD PoE</w:t>
      </w:r>
      <w:r w:rsidR="00EF721C">
        <w:rPr>
          <w:b w:val="0"/>
        </w:rPr>
        <w:t>, SA3</w:t>
      </w:r>
    </w:p>
    <w:p w14:paraId="033E954A" w14:textId="315C06B1" w:rsidR="00463675" w:rsidRPr="005F677E" w:rsidRDefault="00463675" w:rsidP="000F4E43">
      <w:pPr>
        <w:pStyle w:val="Source"/>
      </w:pPr>
      <w:r w:rsidRPr="005F677E">
        <w:t>Cc:</w:t>
      </w:r>
      <w:r w:rsidRPr="005F677E">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DF35914" w:rsidR="00463675" w:rsidRPr="000F4E43" w:rsidRDefault="00463675" w:rsidP="000F4E43">
      <w:pPr>
        <w:pStyle w:val="Contact"/>
        <w:tabs>
          <w:tab w:val="clear" w:pos="2268"/>
        </w:tabs>
        <w:rPr>
          <w:bCs/>
        </w:rPr>
      </w:pPr>
      <w:r w:rsidRPr="000F4E43">
        <w:t>Name:</w:t>
      </w:r>
      <w:r w:rsidRPr="000F4E43">
        <w:rPr>
          <w:bCs/>
        </w:rPr>
        <w:tab/>
      </w:r>
      <w:r w:rsidR="00FA2350">
        <w:rPr>
          <w:bCs/>
        </w:rPr>
        <w:t>Varini Gupta</w:t>
      </w:r>
    </w:p>
    <w:p w14:paraId="7E748C49" w14:textId="56443A4C" w:rsidR="00463675" w:rsidRPr="000F4E43" w:rsidRDefault="00463675" w:rsidP="000F4E43">
      <w:pPr>
        <w:pStyle w:val="Contact"/>
        <w:tabs>
          <w:tab w:val="clear" w:pos="2268"/>
        </w:tabs>
        <w:rPr>
          <w:bCs/>
        </w:rPr>
      </w:pPr>
      <w:r w:rsidRPr="000F4E43">
        <w:t>Tel. Number:</w:t>
      </w:r>
      <w:r w:rsidRPr="000F4E43">
        <w:rPr>
          <w:bCs/>
        </w:rPr>
        <w:tab/>
      </w:r>
      <w:r w:rsidR="005F677E">
        <w:rPr>
          <w:bCs/>
        </w:rPr>
        <w:t>+</w:t>
      </w:r>
      <w:r w:rsidR="00FA2350">
        <w:rPr>
          <w:bCs/>
        </w:rPr>
        <w:t>91-9900109961</w:t>
      </w:r>
    </w:p>
    <w:p w14:paraId="5836C680" w14:textId="0BCB593B"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FA2350">
        <w:rPr>
          <w:bCs/>
          <w:color w:val="0000FF"/>
          <w:lang w:val="de-DE"/>
        </w:rPr>
        <w:t>varini.gupta@samsung.com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94F0B4B" w:rsidR="00463675" w:rsidRPr="000F4E43" w:rsidRDefault="00463675" w:rsidP="000F4E43">
      <w:pPr>
        <w:pStyle w:val="Title"/>
      </w:pPr>
      <w:r w:rsidRPr="000F4E43">
        <w:t>Attachments:</w:t>
      </w:r>
      <w:r w:rsidRPr="000F4E43">
        <w:tab/>
      </w:r>
      <w:r w:rsidR="00FA2350" w:rsidRPr="00FA2350">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85836D" w14:textId="469018F2" w:rsidR="00FA2350" w:rsidRDefault="00FA2350" w:rsidP="00FA2350">
      <w:pPr>
        <w:jc w:val="both"/>
        <w:rPr>
          <w:rFonts w:ascii="Arial" w:hAnsi="Arial" w:cs="Arial"/>
        </w:rPr>
      </w:pPr>
      <w:r>
        <w:rPr>
          <w:rFonts w:ascii="Arial" w:hAnsi="Arial" w:cs="Arial"/>
        </w:rPr>
        <w:t xml:space="preserve">CT4 thanks GSMA for their LS on </w:t>
      </w:r>
      <w:r w:rsidRPr="00FA2350">
        <w:rPr>
          <w:rFonts w:ascii="Arial" w:hAnsi="Arial" w:cs="Arial"/>
        </w:rPr>
        <w:t>Research highlighting potential need for granular level checks using "Additional scope" under the OAuth2.0 Token Access</w:t>
      </w:r>
      <w:r>
        <w:rPr>
          <w:rFonts w:ascii="Arial" w:hAnsi="Arial" w:cs="Arial"/>
        </w:rPr>
        <w:t>.</w:t>
      </w:r>
    </w:p>
    <w:p w14:paraId="2119C532" w14:textId="74AEDB5D" w:rsidR="00FA2350" w:rsidRDefault="00FA2350">
      <w:pPr>
        <w:rPr>
          <w:rFonts w:ascii="Arial" w:hAnsi="Arial" w:cs="Arial"/>
        </w:rPr>
      </w:pPr>
    </w:p>
    <w:p w14:paraId="73227492" w14:textId="10734847" w:rsidR="00FA2350" w:rsidRDefault="00FA2350">
      <w:pPr>
        <w:rPr>
          <w:rFonts w:ascii="Arial" w:hAnsi="Arial" w:cs="Arial"/>
        </w:rPr>
      </w:pPr>
      <w:r>
        <w:rPr>
          <w:rFonts w:ascii="Arial" w:hAnsi="Arial" w:cs="Arial"/>
        </w:rPr>
        <w:t>CT4 would like to provide following responses:</w:t>
      </w:r>
    </w:p>
    <w:p w14:paraId="31A898D2" w14:textId="3E4180CC" w:rsidR="00FA2350" w:rsidRDefault="00FA2350">
      <w:pPr>
        <w:rPr>
          <w:rFonts w:ascii="Arial" w:hAnsi="Arial" w:cs="Arial"/>
        </w:rPr>
      </w:pPr>
    </w:p>
    <w:p w14:paraId="3DD393D2" w14:textId="30B6AD71" w:rsidR="00F235D2" w:rsidRPr="00F235D2" w:rsidRDefault="00F235D2" w:rsidP="00CF741A">
      <w:pPr>
        <w:pStyle w:val="Heading2"/>
        <w:keepLines/>
        <w:numPr>
          <w:ilvl w:val="1"/>
          <w:numId w:val="18"/>
        </w:numPr>
        <w:spacing w:before="240" w:after="60" w:line="276" w:lineRule="auto"/>
        <w:ind w:right="0"/>
        <w:rPr>
          <w:rFonts w:eastAsiaTheme="minorEastAsia"/>
          <w:sz w:val="20"/>
          <w:lang w:val="en-US"/>
        </w:rPr>
      </w:pPr>
      <w:r w:rsidRPr="00F235D2">
        <w:rPr>
          <w:rFonts w:eastAsiaTheme="minorEastAsia"/>
          <w:sz w:val="20"/>
          <w:lang w:val="en-US"/>
        </w:rPr>
        <w:t>Remedial Steps suggested in the attached research paper</w:t>
      </w:r>
      <w:r w:rsidR="00CF741A">
        <w:rPr>
          <w:rFonts w:eastAsiaTheme="minorEastAsia"/>
          <w:sz w:val="20"/>
          <w:lang w:val="en-US"/>
        </w:rPr>
        <w:t xml:space="preserve"> (</w:t>
      </w:r>
      <w:r w:rsidR="00CF741A" w:rsidRPr="00CF741A">
        <w:rPr>
          <w:rFonts w:eastAsiaTheme="minorEastAsia"/>
          <w:sz w:val="20"/>
          <w:lang w:val="en-US"/>
        </w:rPr>
        <w:t>GSMA CVD –2022-0063</w:t>
      </w:r>
      <w:r w:rsidR="00CF741A">
        <w:rPr>
          <w:rFonts w:eastAsiaTheme="minorEastAsia"/>
          <w:sz w:val="20"/>
          <w:lang w:val="en-US"/>
        </w:rPr>
        <w:t>)</w:t>
      </w:r>
      <w:r w:rsidRPr="00F235D2">
        <w:rPr>
          <w:rFonts w:eastAsiaTheme="minorEastAsia"/>
          <w:sz w:val="20"/>
          <w:lang w:val="en-US"/>
        </w:rPr>
        <w:t>:</w:t>
      </w:r>
    </w:p>
    <w:p w14:paraId="791D1332" w14:textId="3B124C38" w:rsidR="00F235D2" w:rsidRPr="00F235D2" w:rsidRDefault="00F235D2" w:rsidP="00F235D2">
      <w:pPr>
        <w:pStyle w:val="ListParagraph"/>
        <w:numPr>
          <w:ilvl w:val="0"/>
          <w:numId w:val="17"/>
        </w:numPr>
        <w:jc w:val="both"/>
        <w:rPr>
          <w:rFonts w:ascii="Arial" w:hAnsi="Arial" w:cs="Arial"/>
        </w:rPr>
      </w:pPr>
      <w:r w:rsidRPr="00F235D2">
        <w:rPr>
          <w:rFonts w:ascii="Arial" w:hAnsi="Arial" w:cs="Arial"/>
        </w:rPr>
        <w:t>3GPP should investigate "additional scope" and whether OAuth2.0 procedures can be made</w:t>
      </w:r>
      <w:r>
        <w:rPr>
          <w:rFonts w:ascii="Arial" w:hAnsi="Arial" w:cs="Arial"/>
        </w:rPr>
        <w:t xml:space="preserve"> </w:t>
      </w:r>
      <w:r w:rsidRPr="00F235D2">
        <w:rPr>
          <w:rFonts w:ascii="Arial" w:hAnsi="Arial" w:cs="Arial"/>
        </w:rPr>
        <w:t>stricter and use of “additional scope” are mandated and not left optional.</w:t>
      </w:r>
    </w:p>
    <w:p w14:paraId="39DC04B9" w14:textId="351CB7A4" w:rsidR="00F235D2" w:rsidRDefault="00F235D2" w:rsidP="00F235D2">
      <w:pPr>
        <w:pStyle w:val="ListParagraph"/>
        <w:numPr>
          <w:ilvl w:val="1"/>
          <w:numId w:val="17"/>
        </w:numPr>
        <w:jc w:val="both"/>
        <w:rPr>
          <w:rFonts w:ascii="Arial" w:hAnsi="Arial" w:cs="Arial"/>
        </w:rPr>
      </w:pPr>
      <w:r w:rsidRPr="00F235D2">
        <w:rPr>
          <w:rFonts w:ascii="Arial" w:hAnsi="Arial" w:cs="Arial"/>
        </w:rPr>
        <w:t>This will ensure areas that are left open in the OAuth2.0 IETF RFC 6749 are handled in the</w:t>
      </w:r>
      <w:r>
        <w:rPr>
          <w:rFonts w:ascii="Arial" w:hAnsi="Arial" w:cs="Arial"/>
        </w:rPr>
        <w:t xml:space="preserve"> </w:t>
      </w:r>
      <w:r w:rsidRPr="00F235D2">
        <w:rPr>
          <w:rFonts w:ascii="Arial" w:hAnsi="Arial" w:cs="Arial"/>
        </w:rPr>
        <w:t>3GPP specifications.</w:t>
      </w:r>
    </w:p>
    <w:p w14:paraId="1EFE67E1" w14:textId="77777777" w:rsidR="00F235D2" w:rsidRPr="00F235D2" w:rsidRDefault="00F235D2" w:rsidP="00F235D2">
      <w:pPr>
        <w:jc w:val="both"/>
        <w:rPr>
          <w:rFonts w:ascii="Arial" w:hAnsi="Arial" w:cs="Arial"/>
          <w:color w:val="1F3864" w:themeColor="accent1" w:themeShade="80"/>
        </w:rPr>
      </w:pPr>
      <w:r w:rsidRPr="00F235D2">
        <w:rPr>
          <w:rFonts w:ascii="Arial" w:hAnsi="Arial" w:cs="Arial"/>
          <w:color w:val="1F3864" w:themeColor="accent1" w:themeShade="80"/>
        </w:rPr>
        <w:t>[Answer] CT4 has agreed to "highly recommend" defining operation/resource level scopes by NF-Service-Producers in their registered NF-Profile. CT4 feels making it mandatory may be backward incompatible. CT4 additionally invites SA3 to comment if they prefer to make it mandatory.</w:t>
      </w:r>
    </w:p>
    <w:p w14:paraId="29BDE9EB" w14:textId="77777777" w:rsidR="00F235D2" w:rsidRPr="00F235D2" w:rsidRDefault="00F235D2" w:rsidP="00F235D2">
      <w:pPr>
        <w:jc w:val="both"/>
        <w:rPr>
          <w:rFonts w:ascii="Arial" w:hAnsi="Arial" w:cs="Arial"/>
        </w:rPr>
      </w:pPr>
    </w:p>
    <w:p w14:paraId="0D653D8A" w14:textId="4E9B6BB0" w:rsidR="00F235D2" w:rsidRDefault="00F235D2" w:rsidP="00F235D2">
      <w:pPr>
        <w:pStyle w:val="ListParagraph"/>
        <w:numPr>
          <w:ilvl w:val="0"/>
          <w:numId w:val="17"/>
        </w:numPr>
        <w:jc w:val="both"/>
        <w:rPr>
          <w:rFonts w:ascii="Arial" w:hAnsi="Arial" w:cs="Arial"/>
        </w:rPr>
      </w:pPr>
      <w:r w:rsidRPr="00F235D2">
        <w:rPr>
          <w:rFonts w:ascii="Arial" w:hAnsi="Arial" w:cs="Arial"/>
        </w:rPr>
        <w:t>NF to offer its services to only predefined list of consumers marked during the NRF registration.</w:t>
      </w:r>
    </w:p>
    <w:p w14:paraId="3FC1221F" w14:textId="3A9504D4" w:rsidR="00F235D2" w:rsidRPr="00F235D2" w:rsidRDefault="00F235D2" w:rsidP="00F235D2">
      <w:pPr>
        <w:jc w:val="both"/>
        <w:rPr>
          <w:rFonts w:ascii="Arial" w:hAnsi="Arial" w:cs="Arial"/>
          <w:color w:val="1F3864" w:themeColor="accent1" w:themeShade="80"/>
        </w:rPr>
      </w:pPr>
      <w:r w:rsidRPr="00F235D2">
        <w:rPr>
          <w:rFonts w:ascii="Arial" w:hAnsi="Arial" w:cs="Arial"/>
          <w:color w:val="1F3864" w:themeColor="accent1" w:themeShade="80"/>
        </w:rPr>
        <w:t xml:space="preserve">[Answer] CT4 </w:t>
      </w:r>
      <w:r>
        <w:rPr>
          <w:rFonts w:ascii="Arial" w:hAnsi="Arial" w:cs="Arial"/>
          <w:color w:val="1F3864" w:themeColor="accent1" w:themeShade="80"/>
        </w:rPr>
        <w:t xml:space="preserve">already defines resource/operation level scopes </w:t>
      </w:r>
      <w:r w:rsidR="00F35389">
        <w:rPr>
          <w:rFonts w:ascii="Arial" w:hAnsi="Arial" w:cs="Arial"/>
          <w:color w:val="1F3864" w:themeColor="accent1" w:themeShade="80"/>
        </w:rPr>
        <w:t>for a number of</w:t>
      </w:r>
      <w:r>
        <w:rPr>
          <w:rFonts w:ascii="Arial" w:hAnsi="Arial" w:cs="Arial"/>
          <w:color w:val="1F3864" w:themeColor="accent1" w:themeShade="80"/>
        </w:rPr>
        <w:t xml:space="preserve"> APIs. It has agreed to additional</w:t>
      </w:r>
      <w:r w:rsidR="00EC64AC">
        <w:rPr>
          <w:rFonts w:ascii="Arial" w:hAnsi="Arial" w:cs="Arial"/>
          <w:color w:val="1F3864" w:themeColor="accent1" w:themeShade="80"/>
        </w:rPr>
        <w:t>ly</w:t>
      </w:r>
      <w:r>
        <w:rPr>
          <w:rFonts w:ascii="Arial" w:hAnsi="Arial" w:cs="Arial"/>
          <w:color w:val="1F3864" w:themeColor="accent1" w:themeShade="80"/>
        </w:rPr>
        <w:t xml:space="preserve"> </w:t>
      </w:r>
      <w:r w:rsidR="00EC64AC">
        <w:rPr>
          <w:rFonts w:ascii="Arial" w:hAnsi="Arial" w:cs="Arial"/>
          <w:color w:val="1F3864" w:themeColor="accent1" w:themeShade="80"/>
        </w:rPr>
        <w:t xml:space="preserve">define resource/operation level </w:t>
      </w:r>
      <w:r>
        <w:rPr>
          <w:rFonts w:ascii="Arial" w:hAnsi="Arial" w:cs="Arial"/>
          <w:color w:val="1F3864" w:themeColor="accent1" w:themeShade="80"/>
        </w:rPr>
        <w:t xml:space="preserve">scopes for Nudm-sdm, Nudm-UECM and Namf-comm APIs. </w:t>
      </w:r>
      <w:r w:rsidR="00F35389">
        <w:rPr>
          <w:rFonts w:ascii="Arial" w:hAnsi="Arial" w:cs="Arial"/>
          <w:color w:val="1F3864" w:themeColor="accent1" w:themeShade="80"/>
        </w:rPr>
        <w:t>The same will be defined</w:t>
      </w:r>
      <w:r>
        <w:rPr>
          <w:rFonts w:ascii="Arial" w:hAnsi="Arial" w:cs="Arial"/>
          <w:color w:val="1F3864" w:themeColor="accent1" w:themeShade="80"/>
        </w:rPr>
        <w:t xml:space="preserve"> for other APIs in Rel-18, wherever applicable</w:t>
      </w:r>
      <w:r w:rsidR="000D3573">
        <w:rPr>
          <w:rFonts w:ascii="Arial" w:hAnsi="Arial" w:cs="Arial"/>
          <w:color w:val="1F3864" w:themeColor="accent1" w:themeShade="80"/>
        </w:rPr>
        <w:t>,</w:t>
      </w:r>
      <w:r w:rsidR="00F35389">
        <w:rPr>
          <w:rFonts w:ascii="Arial" w:hAnsi="Arial" w:cs="Arial"/>
          <w:color w:val="1F3864" w:themeColor="accent1" w:themeShade="80"/>
        </w:rPr>
        <w:t xml:space="preserve"> via company contributions</w:t>
      </w:r>
      <w:r>
        <w:rPr>
          <w:rFonts w:ascii="Arial" w:hAnsi="Arial" w:cs="Arial"/>
          <w:color w:val="1F3864" w:themeColor="accent1" w:themeShade="80"/>
        </w:rPr>
        <w:t>.</w:t>
      </w:r>
    </w:p>
    <w:p w14:paraId="6D4F11A8" w14:textId="232A6D62" w:rsidR="00F235D2" w:rsidRDefault="00F235D2" w:rsidP="00F235D2">
      <w:pPr>
        <w:jc w:val="both"/>
        <w:rPr>
          <w:rFonts w:ascii="Arial" w:hAnsi="Arial" w:cs="Arial"/>
        </w:rPr>
      </w:pPr>
    </w:p>
    <w:p w14:paraId="2DB3085E" w14:textId="5AC363D8" w:rsidR="002E3FEB" w:rsidRPr="002E3FEB" w:rsidRDefault="002E3FEB" w:rsidP="00F235D2">
      <w:pPr>
        <w:pStyle w:val="ListParagraph"/>
        <w:numPr>
          <w:ilvl w:val="0"/>
          <w:numId w:val="17"/>
        </w:numPr>
        <w:jc w:val="both"/>
        <w:rPr>
          <w:rFonts w:ascii="Arial" w:hAnsi="Arial" w:cs="Arial"/>
        </w:rPr>
      </w:pPr>
      <w:r w:rsidRPr="00F235D2">
        <w:rPr>
          <w:rFonts w:ascii="Arial" w:hAnsi="Arial" w:cs="Arial"/>
        </w:rPr>
        <w:t>Build predefined/desired communication matrix with set of parameters among NF</w:t>
      </w:r>
      <w:r>
        <w:rPr>
          <w:rFonts w:ascii="Arial" w:hAnsi="Arial" w:cs="Arial"/>
        </w:rPr>
        <w:t xml:space="preserve"> </w:t>
      </w:r>
      <w:r w:rsidRPr="00F235D2">
        <w:rPr>
          <w:rFonts w:ascii="Arial" w:hAnsi="Arial" w:cs="Arial"/>
        </w:rPr>
        <w:t>services/</w:t>
      </w:r>
      <w:r>
        <w:rPr>
          <w:rFonts w:ascii="Arial" w:hAnsi="Arial" w:cs="Arial"/>
        </w:rPr>
        <w:t xml:space="preserve"> </w:t>
      </w:r>
      <w:r w:rsidRPr="00F235D2">
        <w:rPr>
          <w:rFonts w:ascii="Arial" w:hAnsi="Arial" w:cs="Arial"/>
        </w:rPr>
        <w:t>Instances/</w:t>
      </w:r>
      <w:r>
        <w:rPr>
          <w:rFonts w:ascii="Arial" w:hAnsi="Arial" w:cs="Arial"/>
        </w:rPr>
        <w:t xml:space="preserve"> </w:t>
      </w:r>
      <w:r w:rsidRPr="00F235D2">
        <w:rPr>
          <w:rFonts w:ascii="Arial" w:hAnsi="Arial" w:cs="Arial"/>
        </w:rPr>
        <w:t>Interfaces.</w:t>
      </w:r>
    </w:p>
    <w:p w14:paraId="52661E5C" w14:textId="574818C0" w:rsidR="00F235D2" w:rsidRDefault="00F235D2" w:rsidP="00F235D2">
      <w:pPr>
        <w:pStyle w:val="ListParagraph"/>
        <w:numPr>
          <w:ilvl w:val="0"/>
          <w:numId w:val="17"/>
        </w:numPr>
        <w:jc w:val="both"/>
        <w:rPr>
          <w:rFonts w:ascii="Arial" w:hAnsi="Arial" w:cs="Arial"/>
        </w:rPr>
      </w:pPr>
      <w:r w:rsidRPr="00F235D2">
        <w:rPr>
          <w:rFonts w:ascii="Arial" w:hAnsi="Arial" w:cs="Arial"/>
        </w:rPr>
        <w:t>Prevent consumer NFs from receiving more data than they require.</w:t>
      </w:r>
    </w:p>
    <w:p w14:paraId="0FB4FAF5" w14:textId="1AA58431" w:rsidR="00A70174" w:rsidRPr="00A70174" w:rsidRDefault="00A70174" w:rsidP="00A70174">
      <w:pPr>
        <w:jc w:val="both"/>
        <w:rPr>
          <w:rFonts w:ascii="Arial" w:hAnsi="Arial" w:cs="Arial"/>
          <w:color w:val="1F3864" w:themeColor="accent1" w:themeShade="80"/>
        </w:rPr>
      </w:pPr>
      <w:r w:rsidRPr="00A70174">
        <w:rPr>
          <w:rFonts w:ascii="Arial" w:hAnsi="Arial" w:cs="Arial"/>
          <w:color w:val="1F3864" w:themeColor="accent1" w:themeShade="80"/>
        </w:rPr>
        <w:t xml:space="preserve">[Answer] CT4 </w:t>
      </w:r>
      <w:r>
        <w:rPr>
          <w:rFonts w:ascii="Arial" w:hAnsi="Arial" w:cs="Arial"/>
          <w:color w:val="1F3864" w:themeColor="accent1" w:themeShade="80"/>
        </w:rPr>
        <w:t xml:space="preserve">intends to further study this aspect in Release-18 and will provide </w:t>
      </w:r>
      <w:r w:rsidR="00EC64AC">
        <w:rPr>
          <w:rFonts w:ascii="Arial" w:hAnsi="Arial" w:cs="Arial"/>
          <w:color w:val="1F3864" w:themeColor="accent1" w:themeShade="80"/>
        </w:rPr>
        <w:t xml:space="preserve">further </w:t>
      </w:r>
      <w:r>
        <w:rPr>
          <w:rFonts w:ascii="Arial" w:hAnsi="Arial" w:cs="Arial"/>
          <w:color w:val="1F3864" w:themeColor="accent1" w:themeShade="80"/>
        </w:rPr>
        <w:t>feedb</w:t>
      </w:r>
      <w:r w:rsidR="00EC64AC">
        <w:rPr>
          <w:rFonts w:ascii="Arial" w:hAnsi="Arial" w:cs="Arial"/>
          <w:color w:val="1F3864" w:themeColor="accent1" w:themeShade="80"/>
        </w:rPr>
        <w:t>ack in future</w:t>
      </w:r>
      <w:r w:rsidRPr="00A70174">
        <w:rPr>
          <w:rFonts w:ascii="Arial" w:hAnsi="Arial" w:cs="Arial"/>
          <w:color w:val="1F3864" w:themeColor="accent1" w:themeShade="80"/>
        </w:rPr>
        <w:t>.</w:t>
      </w:r>
    </w:p>
    <w:p w14:paraId="03EA7318" w14:textId="77777777" w:rsidR="00A70174" w:rsidRPr="00A70174" w:rsidRDefault="00A70174" w:rsidP="00A70174">
      <w:pPr>
        <w:jc w:val="both"/>
        <w:rPr>
          <w:rFonts w:ascii="Arial" w:hAnsi="Arial" w:cs="Arial"/>
        </w:rPr>
      </w:pPr>
    </w:p>
    <w:p w14:paraId="65DC4502" w14:textId="3BDB75C3" w:rsidR="00FA2350" w:rsidRPr="00224FF6" w:rsidRDefault="00F235D2" w:rsidP="00224FF6">
      <w:pPr>
        <w:pStyle w:val="Heading2"/>
        <w:keepLines/>
        <w:tabs>
          <w:tab w:val="num" w:pos="926"/>
        </w:tabs>
        <w:spacing w:before="240" w:after="60" w:line="276" w:lineRule="auto"/>
        <w:ind w:right="0"/>
        <w:rPr>
          <w:rFonts w:eastAsiaTheme="minorEastAsia"/>
          <w:sz w:val="20"/>
          <w:lang w:val="en-US"/>
        </w:rPr>
      </w:pPr>
      <w:r>
        <w:rPr>
          <w:rFonts w:eastAsiaTheme="minorEastAsia"/>
          <w:sz w:val="20"/>
          <w:lang w:val="en-US"/>
        </w:rPr>
        <w:lastRenderedPageBreak/>
        <w:t>1.2</w:t>
      </w:r>
      <w:r w:rsidR="00224FF6" w:rsidRPr="00224FF6">
        <w:rPr>
          <w:rFonts w:eastAsiaTheme="minorEastAsia"/>
          <w:sz w:val="20"/>
          <w:lang w:val="en-US"/>
        </w:rPr>
        <w:t xml:space="preserve"> </w:t>
      </w:r>
      <w:r w:rsidR="00FA2350" w:rsidRPr="00224FF6">
        <w:rPr>
          <w:rFonts w:eastAsiaTheme="minorEastAsia"/>
          <w:sz w:val="20"/>
          <w:lang w:val="en-US"/>
        </w:rPr>
        <w:t>Finding 1: (Excessive Data Exposure via N27 Interface)</w:t>
      </w:r>
    </w:p>
    <w:p w14:paraId="08C7920E" w14:textId="255982E7" w:rsidR="00FA2350" w:rsidRDefault="00FA2350" w:rsidP="00FA2350">
      <w:pPr>
        <w:jc w:val="both"/>
        <w:rPr>
          <w:rFonts w:ascii="Arial" w:hAnsi="Arial" w:cs="Arial"/>
        </w:rPr>
      </w:pPr>
      <w:r w:rsidRPr="00FA2350">
        <w:rPr>
          <w:rFonts w:ascii="Arial" w:hAnsi="Arial" w:cs="Arial"/>
        </w:rPr>
        <w:t>Not restricting the scope details (e.g., between v-NRF and h-NRF) can expose unnecessary network level information. There is potential to abuse the “delete” method. This can lead to  service unavailability (DoS) causing instability to NFs that utilize this data.</w:t>
      </w:r>
    </w:p>
    <w:p w14:paraId="7C77F27C" w14:textId="698101CD" w:rsidR="00BE2CBE" w:rsidRDefault="00BE2CBE" w:rsidP="00FA2350">
      <w:pPr>
        <w:jc w:val="both"/>
        <w:rPr>
          <w:rFonts w:ascii="Arial" w:hAnsi="Arial" w:cs="Arial"/>
          <w:color w:val="1F3864" w:themeColor="accent1" w:themeShade="80"/>
        </w:rPr>
      </w:pPr>
    </w:p>
    <w:p w14:paraId="79C6FFF7" w14:textId="27FE5F0C" w:rsidR="00BE2CBE" w:rsidRPr="00BE2CBE" w:rsidRDefault="002538C9" w:rsidP="00FA2350">
      <w:pPr>
        <w:jc w:val="both"/>
        <w:rPr>
          <w:rFonts w:ascii="Arial" w:hAnsi="Arial" w:cs="Arial"/>
          <w:color w:val="1F3864" w:themeColor="accent1" w:themeShade="80"/>
        </w:rPr>
      </w:pPr>
      <w:r>
        <w:rPr>
          <w:rFonts w:ascii="Arial" w:hAnsi="Arial" w:cs="Arial"/>
          <w:color w:val="1F3864" w:themeColor="accent1" w:themeShade="80"/>
        </w:rPr>
        <w:t>T</w:t>
      </w:r>
      <w:r w:rsidR="00BE2CBE">
        <w:rPr>
          <w:rFonts w:ascii="Arial" w:hAnsi="Arial" w:cs="Arial"/>
          <w:color w:val="1F3864" w:themeColor="accent1" w:themeShade="80"/>
        </w:rPr>
        <w:t xml:space="preserve">he </w:t>
      </w:r>
      <w:r w:rsidR="00C91847">
        <w:rPr>
          <w:rFonts w:ascii="Arial" w:hAnsi="Arial" w:cs="Arial"/>
          <w:color w:val="1F3864" w:themeColor="accent1" w:themeShade="80"/>
        </w:rPr>
        <w:t xml:space="preserve">NFDeregister service operation of </w:t>
      </w:r>
      <w:r w:rsidR="00C91847" w:rsidRPr="00C91847">
        <w:rPr>
          <w:rFonts w:ascii="Arial" w:hAnsi="Arial" w:cs="Arial"/>
          <w:color w:val="1F3864" w:themeColor="accent1" w:themeShade="80"/>
        </w:rPr>
        <w:t>Nnrf_NFManagement service</w:t>
      </w:r>
      <w:r w:rsidR="00C91847">
        <w:rPr>
          <w:rFonts w:ascii="Arial" w:hAnsi="Arial" w:cs="Arial"/>
          <w:color w:val="1F3864" w:themeColor="accent1" w:themeShade="80"/>
        </w:rPr>
        <w:t xml:space="preserve"> </w:t>
      </w:r>
      <w:r w:rsidR="00CF5A1E">
        <w:rPr>
          <w:rFonts w:ascii="Arial" w:hAnsi="Arial" w:cs="Arial"/>
          <w:color w:val="1F3864" w:themeColor="accent1" w:themeShade="80"/>
        </w:rPr>
        <w:t xml:space="preserve">(which involves DELETE method) </w:t>
      </w:r>
      <w:bookmarkStart w:id="0" w:name="_GoBack"/>
      <w:bookmarkEnd w:id="0"/>
      <w:r w:rsidR="00C91847">
        <w:rPr>
          <w:rFonts w:ascii="Arial" w:hAnsi="Arial" w:cs="Arial"/>
          <w:color w:val="1F3864" w:themeColor="accent1" w:themeShade="80"/>
        </w:rPr>
        <w:t xml:space="preserve">is applicable within a PLMN, hence should not be an issue over N27. </w:t>
      </w:r>
      <w:r w:rsidR="005976CE">
        <w:rPr>
          <w:rFonts w:ascii="Arial" w:hAnsi="Arial" w:cs="Arial"/>
          <w:color w:val="1F3864" w:themeColor="accent1" w:themeShade="80"/>
        </w:rPr>
        <w:t>For the</w:t>
      </w:r>
      <w:r w:rsidR="00C91847">
        <w:rPr>
          <w:rFonts w:ascii="Arial" w:hAnsi="Arial" w:cs="Arial"/>
          <w:color w:val="1F3864" w:themeColor="accent1" w:themeShade="80"/>
        </w:rPr>
        <w:t xml:space="preserve"> NFStatusSubscribe service operation</w:t>
      </w:r>
      <w:r w:rsidR="00CE2853">
        <w:rPr>
          <w:rFonts w:ascii="Arial" w:hAnsi="Arial" w:cs="Arial"/>
          <w:color w:val="1F3864" w:themeColor="accent1" w:themeShade="80"/>
        </w:rPr>
        <w:t xml:space="preserve"> </w:t>
      </w:r>
      <w:r w:rsidR="005976CE">
        <w:rPr>
          <w:rFonts w:ascii="Arial" w:hAnsi="Arial" w:cs="Arial"/>
          <w:color w:val="1F3864" w:themeColor="accent1" w:themeShade="80"/>
        </w:rPr>
        <w:t>(</w:t>
      </w:r>
      <w:r w:rsidR="00CE2853">
        <w:rPr>
          <w:rFonts w:ascii="Arial" w:hAnsi="Arial" w:cs="Arial"/>
          <w:color w:val="1F3864" w:themeColor="accent1" w:themeShade="80"/>
        </w:rPr>
        <w:t>which also involves DELETE method</w:t>
      </w:r>
      <w:r w:rsidR="005976CE">
        <w:rPr>
          <w:rFonts w:ascii="Arial" w:hAnsi="Arial" w:cs="Arial"/>
          <w:color w:val="1F3864" w:themeColor="accent1" w:themeShade="80"/>
        </w:rPr>
        <w:t>)</w:t>
      </w:r>
      <w:r w:rsidR="00C91847">
        <w:rPr>
          <w:rFonts w:ascii="Arial" w:hAnsi="Arial" w:cs="Arial"/>
          <w:color w:val="1F3864" w:themeColor="accent1" w:themeShade="80"/>
        </w:rPr>
        <w:t xml:space="preserve">, please review the response </w:t>
      </w:r>
      <w:r w:rsidR="00B331BA">
        <w:rPr>
          <w:rFonts w:ascii="Arial" w:hAnsi="Arial" w:cs="Arial"/>
          <w:color w:val="1F3864" w:themeColor="accent1" w:themeShade="80"/>
        </w:rPr>
        <w:t>in</w:t>
      </w:r>
      <w:r w:rsidR="00D03CAC">
        <w:rPr>
          <w:rFonts w:ascii="Arial" w:hAnsi="Arial" w:cs="Arial"/>
          <w:color w:val="1F3864" w:themeColor="accent1" w:themeShade="80"/>
        </w:rPr>
        <w:t xml:space="preserve"> Clause 1.4</w:t>
      </w:r>
      <w:r w:rsidR="00DE54A5">
        <w:rPr>
          <w:rFonts w:ascii="Arial" w:hAnsi="Arial" w:cs="Arial"/>
          <w:color w:val="1F3864" w:themeColor="accent1" w:themeShade="80"/>
        </w:rPr>
        <w:t xml:space="preserve"> below</w:t>
      </w:r>
      <w:r w:rsidR="00C91847">
        <w:rPr>
          <w:rFonts w:ascii="Arial" w:hAnsi="Arial" w:cs="Arial"/>
          <w:color w:val="1F3864" w:themeColor="accent1" w:themeShade="80"/>
        </w:rPr>
        <w:t>.</w:t>
      </w:r>
    </w:p>
    <w:p w14:paraId="7BB1CAD2" w14:textId="2D133B2B" w:rsidR="00FA2350" w:rsidRPr="00224FF6" w:rsidRDefault="00224FF6" w:rsidP="00224FF6">
      <w:pPr>
        <w:pStyle w:val="Heading2"/>
        <w:keepLines/>
        <w:tabs>
          <w:tab w:val="num" w:pos="926"/>
        </w:tabs>
        <w:spacing w:before="240" w:after="60" w:line="276" w:lineRule="auto"/>
        <w:ind w:right="0"/>
        <w:rPr>
          <w:rFonts w:eastAsiaTheme="minorEastAsia"/>
          <w:sz w:val="20"/>
        </w:rPr>
      </w:pPr>
      <w:r w:rsidRPr="00224FF6">
        <w:rPr>
          <w:rFonts w:eastAsiaTheme="minorEastAsia"/>
          <w:sz w:val="20"/>
        </w:rPr>
        <w:t xml:space="preserve">1.2 </w:t>
      </w:r>
      <w:r w:rsidR="00FA2350" w:rsidRPr="00224FF6">
        <w:rPr>
          <w:rFonts w:eastAsiaTheme="minorEastAsia"/>
          <w:sz w:val="20"/>
        </w:rPr>
        <w:t>Finding 2: (AMF Re-Allocation)</w:t>
      </w:r>
    </w:p>
    <w:p w14:paraId="292D3867" w14:textId="18B19528" w:rsidR="00FA2350" w:rsidRDefault="00FA2350" w:rsidP="00FA2350">
      <w:pPr>
        <w:jc w:val="both"/>
        <w:rPr>
          <w:rFonts w:ascii="Arial" w:hAnsi="Arial" w:cs="Arial"/>
        </w:rPr>
      </w:pPr>
      <w:r w:rsidRPr="00FA2350">
        <w:rPr>
          <w:rFonts w:ascii="Arial" w:hAnsi="Arial" w:cs="Arial"/>
        </w:rPr>
        <w:t>namf-comm services expose the handover API’s to the SMF and PCF although the AMF serving the UE is the only entity that should initiate the handover to another AMF.  With current policy, an SMF or PCF may also initiate this handover. So, attackers without control of an AMF (but control of an SMF or PCF) can abuse this service request.</w:t>
      </w:r>
    </w:p>
    <w:p w14:paraId="6FB3EC2E" w14:textId="647899F1" w:rsidR="001B6AD1" w:rsidRDefault="001B6AD1" w:rsidP="00FA2350">
      <w:pPr>
        <w:jc w:val="both"/>
        <w:rPr>
          <w:rFonts w:ascii="Arial" w:hAnsi="Arial" w:cs="Arial"/>
        </w:rPr>
      </w:pPr>
    </w:p>
    <w:p w14:paraId="01B6AEDC" w14:textId="6CDB2CA1" w:rsidR="001B6AD1" w:rsidRPr="001B6AD1" w:rsidRDefault="001B6AD1" w:rsidP="00FA2350">
      <w:pPr>
        <w:jc w:val="both"/>
        <w:rPr>
          <w:rFonts w:ascii="Arial" w:hAnsi="Arial" w:cs="Arial"/>
          <w:color w:val="1F3864" w:themeColor="accent1" w:themeShade="80"/>
        </w:rPr>
      </w:pPr>
      <w:r w:rsidRPr="001B6AD1">
        <w:rPr>
          <w:rFonts w:ascii="Arial" w:hAnsi="Arial" w:cs="Arial"/>
          <w:color w:val="1F3864" w:themeColor="accent1" w:themeShade="80"/>
        </w:rPr>
        <w:t xml:space="preserve">[Answer] CT4 has agreed to define operation/resource level scopes for namf-comm </w:t>
      </w:r>
      <w:r>
        <w:rPr>
          <w:rFonts w:ascii="Arial" w:hAnsi="Arial" w:cs="Arial"/>
          <w:color w:val="1F3864" w:themeColor="accent1" w:themeShade="80"/>
        </w:rPr>
        <w:t xml:space="preserve">API </w:t>
      </w:r>
      <w:r w:rsidRPr="001B6AD1">
        <w:rPr>
          <w:rFonts w:ascii="Arial" w:hAnsi="Arial" w:cs="Arial"/>
          <w:color w:val="1F3864" w:themeColor="accent1" w:themeShade="80"/>
        </w:rPr>
        <w:t xml:space="preserve">which would restrict the PCF or SMF </w:t>
      </w:r>
      <w:r>
        <w:rPr>
          <w:rFonts w:ascii="Arial" w:hAnsi="Arial" w:cs="Arial"/>
          <w:color w:val="1F3864" w:themeColor="accent1" w:themeShade="80"/>
        </w:rPr>
        <w:t>from ability to initiate such handovers.</w:t>
      </w:r>
    </w:p>
    <w:p w14:paraId="46D99BB6" w14:textId="2FD6DF29" w:rsidR="00FA2350" w:rsidRPr="00224FF6" w:rsidRDefault="00224FF6" w:rsidP="00224FF6">
      <w:pPr>
        <w:pStyle w:val="Heading2"/>
        <w:keepLines/>
        <w:tabs>
          <w:tab w:val="num" w:pos="926"/>
        </w:tabs>
        <w:spacing w:before="240" w:after="60" w:line="276" w:lineRule="auto"/>
        <w:ind w:right="0"/>
        <w:rPr>
          <w:sz w:val="20"/>
          <w:lang w:val="en-US"/>
        </w:rPr>
      </w:pPr>
      <w:r w:rsidRPr="00224FF6">
        <w:rPr>
          <w:rFonts w:eastAsiaTheme="minorEastAsia"/>
          <w:sz w:val="20"/>
          <w:lang w:val="en-US"/>
        </w:rPr>
        <w:t xml:space="preserve">1.3 </w:t>
      </w:r>
      <w:r w:rsidR="00FA2350" w:rsidRPr="00224FF6">
        <w:rPr>
          <w:rFonts w:eastAsiaTheme="minorEastAsia"/>
          <w:sz w:val="20"/>
          <w:lang w:val="en-US"/>
        </w:rPr>
        <w:t>Finding 3: (Subscription Data Management Exposure)</w:t>
      </w:r>
    </w:p>
    <w:p w14:paraId="748D0AE5" w14:textId="77777777" w:rsidR="001B6AD1" w:rsidRDefault="00FA2350" w:rsidP="00FA2350">
      <w:pPr>
        <w:jc w:val="both"/>
        <w:rPr>
          <w:rFonts w:ascii="Arial" w:hAnsi="Arial" w:cs="Arial"/>
        </w:rPr>
      </w:pPr>
      <w:r w:rsidRPr="00FA2350">
        <w:rPr>
          <w:rFonts w:ascii="Arial" w:hAnsi="Arial" w:cs="Arial"/>
        </w:rPr>
        <w:t>APIs handling subscriber data in nudm-sdm are exposed to the SMF and AMF.</w:t>
      </w:r>
      <w:r>
        <w:rPr>
          <w:rFonts w:ascii="Arial" w:hAnsi="Arial" w:cs="Arial"/>
        </w:rPr>
        <w:t xml:space="preserve"> </w:t>
      </w:r>
      <w:r w:rsidRPr="00FA2350">
        <w:rPr>
          <w:rFonts w:ascii="Arial" w:hAnsi="Arial" w:cs="Arial"/>
        </w:rPr>
        <w:t xml:space="preserve">The endpoint POST /{supi}/am-data exposes access and mobility data intended for the internal operation of the AMF. However, the SMF also has access to this endpoint and could retrieve information. </w:t>
      </w:r>
    </w:p>
    <w:p w14:paraId="684CDA6C" w14:textId="77777777" w:rsidR="00724DF3" w:rsidRDefault="00724DF3" w:rsidP="00FA2350">
      <w:pPr>
        <w:jc w:val="both"/>
        <w:rPr>
          <w:rFonts w:ascii="Arial" w:hAnsi="Arial" w:cs="Arial"/>
          <w:color w:val="1F3864" w:themeColor="accent1" w:themeShade="80"/>
        </w:rPr>
      </w:pPr>
    </w:p>
    <w:p w14:paraId="188B715F" w14:textId="221059AC" w:rsidR="001B6AD1" w:rsidRDefault="001B6AD1" w:rsidP="00FA2350">
      <w:pPr>
        <w:jc w:val="both"/>
        <w:rPr>
          <w:rFonts w:ascii="Arial" w:hAnsi="Arial" w:cs="Arial"/>
          <w:color w:val="1F3864" w:themeColor="accent1" w:themeShade="80"/>
        </w:rPr>
      </w:pPr>
      <w:r w:rsidRPr="001B6AD1">
        <w:rPr>
          <w:rFonts w:ascii="Arial" w:hAnsi="Arial" w:cs="Arial"/>
          <w:color w:val="1F3864" w:themeColor="accent1" w:themeShade="80"/>
        </w:rPr>
        <w:t>[Answer] CT4 has agreed to define operation/resource level scopes for</w:t>
      </w:r>
      <w:r>
        <w:rPr>
          <w:rFonts w:ascii="Arial" w:hAnsi="Arial" w:cs="Arial"/>
          <w:color w:val="1F3864" w:themeColor="accent1" w:themeShade="80"/>
        </w:rPr>
        <w:t xml:space="preserve"> </w:t>
      </w:r>
      <w:r w:rsidRPr="001B6AD1">
        <w:rPr>
          <w:rFonts w:ascii="Arial" w:hAnsi="Arial" w:cs="Arial"/>
          <w:color w:val="1F3864" w:themeColor="accent1" w:themeShade="80"/>
        </w:rPr>
        <w:t xml:space="preserve">nudm-sdm </w:t>
      </w:r>
      <w:r w:rsidR="00C46CB9">
        <w:rPr>
          <w:rFonts w:ascii="Arial" w:hAnsi="Arial" w:cs="Arial"/>
          <w:color w:val="1F3864" w:themeColor="accent1" w:themeShade="80"/>
        </w:rPr>
        <w:t xml:space="preserve">which would restrict the </w:t>
      </w:r>
      <w:r w:rsidRPr="001B6AD1">
        <w:rPr>
          <w:rFonts w:ascii="Arial" w:hAnsi="Arial" w:cs="Arial"/>
          <w:color w:val="1F3864" w:themeColor="accent1" w:themeShade="80"/>
        </w:rPr>
        <w:t xml:space="preserve">SMF </w:t>
      </w:r>
      <w:r>
        <w:rPr>
          <w:rFonts w:ascii="Arial" w:hAnsi="Arial" w:cs="Arial"/>
          <w:color w:val="1F3864" w:themeColor="accent1" w:themeShade="80"/>
        </w:rPr>
        <w:t xml:space="preserve">from ability to </w:t>
      </w:r>
      <w:r w:rsidR="00C46CB9">
        <w:rPr>
          <w:rFonts w:ascii="Arial" w:hAnsi="Arial" w:cs="Arial"/>
          <w:color w:val="1F3864" w:themeColor="accent1" w:themeShade="80"/>
        </w:rPr>
        <w:t>retrieve</w:t>
      </w:r>
      <w:r>
        <w:rPr>
          <w:rFonts w:ascii="Arial" w:hAnsi="Arial" w:cs="Arial"/>
          <w:color w:val="1F3864" w:themeColor="accent1" w:themeShade="80"/>
        </w:rPr>
        <w:t xml:space="preserve"> such </w:t>
      </w:r>
      <w:r w:rsidR="00C46CB9">
        <w:rPr>
          <w:rFonts w:ascii="Arial" w:hAnsi="Arial" w:cs="Arial"/>
          <w:color w:val="1F3864" w:themeColor="accent1" w:themeShade="80"/>
        </w:rPr>
        <w:t>information</w:t>
      </w:r>
      <w:r>
        <w:rPr>
          <w:rFonts w:ascii="Arial" w:hAnsi="Arial" w:cs="Arial"/>
          <w:color w:val="1F3864" w:themeColor="accent1" w:themeShade="80"/>
        </w:rPr>
        <w:t>.</w:t>
      </w:r>
    </w:p>
    <w:p w14:paraId="24C50EC7" w14:textId="77777777" w:rsidR="001B6AD1" w:rsidRDefault="001B6AD1" w:rsidP="00FA2350">
      <w:pPr>
        <w:jc w:val="both"/>
        <w:rPr>
          <w:rFonts w:ascii="Arial" w:hAnsi="Arial" w:cs="Arial"/>
        </w:rPr>
      </w:pPr>
    </w:p>
    <w:p w14:paraId="5C88ADE8" w14:textId="30C89292" w:rsidR="00C17800" w:rsidRDefault="00FA2350" w:rsidP="00FA2350">
      <w:pPr>
        <w:jc w:val="both"/>
        <w:rPr>
          <w:rFonts w:ascii="Arial" w:hAnsi="Arial" w:cs="Arial"/>
        </w:rPr>
      </w:pPr>
      <w:r w:rsidRPr="00FA2350">
        <w:rPr>
          <w:rFonts w:ascii="Arial" w:hAnsi="Arial" w:cs="Arial"/>
        </w:rPr>
        <w:t xml:space="preserve">Additionally, an attacker-controlled SMF can maliciously delete a subscription, which will cause instability in the AMF or another NF that utilizes nudm-sdm service's subscriptions. </w:t>
      </w:r>
    </w:p>
    <w:p w14:paraId="0E8DF34C" w14:textId="77777777" w:rsidR="00724DF3" w:rsidRDefault="00724DF3" w:rsidP="00C17800">
      <w:pPr>
        <w:jc w:val="both"/>
        <w:rPr>
          <w:rFonts w:ascii="Arial" w:hAnsi="Arial" w:cs="Arial"/>
          <w:color w:val="1F3864" w:themeColor="accent1" w:themeShade="80"/>
        </w:rPr>
      </w:pPr>
    </w:p>
    <w:p w14:paraId="0477FC79" w14:textId="67645140" w:rsidR="00C17800" w:rsidRPr="00C17800" w:rsidRDefault="00C17800" w:rsidP="00C17800">
      <w:pPr>
        <w:jc w:val="both"/>
        <w:rPr>
          <w:rFonts w:ascii="Arial" w:hAnsi="Arial" w:cs="Arial"/>
          <w:color w:val="1F3864" w:themeColor="accent1" w:themeShade="80"/>
        </w:rPr>
      </w:pPr>
      <w:r w:rsidRPr="00C17800">
        <w:rPr>
          <w:rFonts w:ascii="Arial" w:hAnsi="Arial" w:cs="Arial"/>
          <w:color w:val="1F3864" w:themeColor="accent1" w:themeShade="80"/>
        </w:rPr>
        <w:t>[Answer] When an NF creates a subscription</w:t>
      </w:r>
      <w:r w:rsidR="00F55D5F">
        <w:rPr>
          <w:rFonts w:ascii="Arial" w:hAnsi="Arial" w:cs="Arial"/>
          <w:color w:val="1F3864" w:themeColor="accent1" w:themeShade="80"/>
        </w:rPr>
        <w:t xml:space="preserve"> in UDM</w:t>
      </w:r>
      <w:r w:rsidRPr="00C17800">
        <w:rPr>
          <w:rFonts w:ascii="Arial" w:hAnsi="Arial" w:cs="Arial"/>
          <w:color w:val="1F3864" w:themeColor="accent1" w:themeShade="80"/>
        </w:rPr>
        <w:t xml:space="preserve">, it is assigned a "subscriptionId" by the </w:t>
      </w:r>
      <w:r w:rsidR="007E3EAC">
        <w:rPr>
          <w:rFonts w:ascii="Arial" w:hAnsi="Arial" w:cs="Arial"/>
          <w:color w:val="1F3864" w:themeColor="accent1" w:themeShade="80"/>
        </w:rPr>
        <w:t>UDM</w:t>
      </w:r>
      <w:r w:rsidRPr="00C17800">
        <w:rPr>
          <w:rFonts w:ascii="Arial" w:hAnsi="Arial" w:cs="Arial"/>
          <w:color w:val="1F3864" w:themeColor="accent1" w:themeShade="80"/>
        </w:rPr>
        <w:t>. Use of DELETE method requires knowledge of this "subscriptionID" by the sending NF. It is highly unlikely the malicious NF will know this resource identity assigned to other NFs. Similar resource structure is used in many APIs and malicious NFs may not be able to perform the said DELETE operation.</w:t>
      </w:r>
    </w:p>
    <w:p w14:paraId="579BD833" w14:textId="31E3FE51" w:rsidR="00CE3640" w:rsidRDefault="00CE3640" w:rsidP="00FA2350">
      <w:pPr>
        <w:jc w:val="both"/>
        <w:rPr>
          <w:rFonts w:ascii="Arial" w:hAnsi="Arial" w:cs="Arial"/>
        </w:rPr>
      </w:pPr>
    </w:p>
    <w:p w14:paraId="5CA547C9" w14:textId="7583A793" w:rsidR="00FA2350" w:rsidRDefault="00FA2350" w:rsidP="00FA2350">
      <w:pPr>
        <w:jc w:val="both"/>
        <w:rPr>
          <w:rFonts w:ascii="Arial" w:hAnsi="Arial" w:cs="Arial"/>
        </w:rPr>
      </w:pPr>
      <w:r w:rsidRPr="00FA2350">
        <w:rPr>
          <w:rFonts w:ascii="Arial" w:hAnsi="Arial" w:cs="Arial"/>
        </w:rPr>
        <w:t>A malicious SMF can create a subscription to data it should not access in the nudm-sdm service as well, causing a potential privacy violation.</w:t>
      </w:r>
    </w:p>
    <w:p w14:paraId="0E2EF6FE" w14:textId="77777777" w:rsidR="00724DF3" w:rsidRDefault="00724DF3" w:rsidP="00FA2350">
      <w:pPr>
        <w:jc w:val="both"/>
        <w:rPr>
          <w:rFonts w:ascii="Arial" w:hAnsi="Arial" w:cs="Arial"/>
          <w:color w:val="1F3864" w:themeColor="accent1" w:themeShade="80"/>
        </w:rPr>
      </w:pPr>
    </w:p>
    <w:p w14:paraId="467F0BF9" w14:textId="76BB656D" w:rsidR="00471AFB" w:rsidRPr="00471AFB" w:rsidRDefault="00471AFB" w:rsidP="00FA2350">
      <w:pPr>
        <w:jc w:val="both"/>
        <w:rPr>
          <w:rFonts w:ascii="Arial" w:hAnsi="Arial" w:cs="Arial"/>
          <w:color w:val="1F3864" w:themeColor="accent1" w:themeShade="80"/>
        </w:rPr>
      </w:pPr>
      <w:r w:rsidRPr="00471AFB">
        <w:rPr>
          <w:rFonts w:ascii="Arial" w:hAnsi="Arial" w:cs="Arial"/>
          <w:color w:val="1F3864" w:themeColor="accent1" w:themeShade="80"/>
        </w:rPr>
        <w:t>[</w:t>
      </w:r>
      <w:r>
        <w:rPr>
          <w:rFonts w:ascii="Arial" w:hAnsi="Arial" w:cs="Arial"/>
          <w:color w:val="1F3864" w:themeColor="accent1" w:themeShade="80"/>
        </w:rPr>
        <w:t>Answer</w:t>
      </w:r>
      <w:r w:rsidRPr="00471AFB">
        <w:rPr>
          <w:rFonts w:ascii="Arial" w:hAnsi="Arial" w:cs="Arial"/>
          <w:color w:val="1F3864" w:themeColor="accent1" w:themeShade="80"/>
        </w:rPr>
        <w:t xml:space="preserve">] CT4 </w:t>
      </w:r>
      <w:r w:rsidR="00714108">
        <w:rPr>
          <w:rFonts w:ascii="Arial" w:hAnsi="Arial" w:cs="Arial"/>
          <w:color w:val="1F3864" w:themeColor="accent1" w:themeShade="80"/>
        </w:rPr>
        <w:t>has agreed</w:t>
      </w:r>
      <w:r w:rsidR="00AF7CBB">
        <w:rPr>
          <w:rFonts w:ascii="Arial" w:hAnsi="Arial" w:cs="Arial"/>
          <w:color w:val="1F3864" w:themeColor="accent1" w:themeShade="80"/>
        </w:rPr>
        <w:t xml:space="preserve"> </w:t>
      </w:r>
      <w:r>
        <w:rPr>
          <w:rFonts w:ascii="Arial" w:hAnsi="Arial" w:cs="Arial"/>
          <w:color w:val="1F3864" w:themeColor="accent1" w:themeShade="80"/>
        </w:rPr>
        <w:t>to</w:t>
      </w:r>
      <w:r w:rsidRPr="00471AFB">
        <w:rPr>
          <w:rFonts w:ascii="Arial" w:hAnsi="Arial" w:cs="Arial"/>
          <w:color w:val="1F3864" w:themeColor="accent1" w:themeShade="80"/>
        </w:rPr>
        <w:t xml:space="preserve"> restrict </w:t>
      </w:r>
      <w:r w:rsidR="002E5BE1">
        <w:rPr>
          <w:rFonts w:ascii="Arial" w:hAnsi="Arial" w:cs="Arial"/>
          <w:color w:val="1F3864" w:themeColor="accent1" w:themeShade="80"/>
        </w:rPr>
        <w:t>subscription-</w:t>
      </w:r>
      <w:r w:rsidRPr="00471AFB">
        <w:rPr>
          <w:rFonts w:ascii="Arial" w:hAnsi="Arial" w:cs="Arial"/>
          <w:color w:val="1F3864" w:themeColor="accent1" w:themeShade="80"/>
        </w:rPr>
        <w:t>request</w:t>
      </w:r>
      <w:r w:rsidR="00CE3640">
        <w:rPr>
          <w:rFonts w:ascii="Arial" w:hAnsi="Arial" w:cs="Arial"/>
          <w:color w:val="1F3864" w:themeColor="accent1" w:themeShade="80"/>
        </w:rPr>
        <w:t>s</w:t>
      </w:r>
      <w:r w:rsidR="002E5BE1">
        <w:rPr>
          <w:rFonts w:ascii="Arial" w:hAnsi="Arial" w:cs="Arial"/>
          <w:color w:val="1F3864" w:themeColor="accent1" w:themeShade="80"/>
        </w:rPr>
        <w:t>/notifications</w:t>
      </w:r>
      <w:r w:rsidRPr="00471AFB">
        <w:rPr>
          <w:rFonts w:ascii="Arial" w:hAnsi="Arial" w:cs="Arial"/>
          <w:color w:val="1F3864" w:themeColor="accent1" w:themeShade="80"/>
        </w:rPr>
        <w:t xml:space="preserve"> to </w:t>
      </w:r>
      <w:r w:rsidR="00CE3640">
        <w:rPr>
          <w:rFonts w:ascii="Arial" w:hAnsi="Arial" w:cs="Arial"/>
          <w:color w:val="1F3864" w:themeColor="accent1" w:themeShade="80"/>
        </w:rPr>
        <w:t xml:space="preserve">URIs as per </w:t>
      </w:r>
      <w:r w:rsidRPr="00471AFB">
        <w:rPr>
          <w:rFonts w:ascii="Arial" w:hAnsi="Arial" w:cs="Arial"/>
          <w:color w:val="1F3864" w:themeColor="accent1" w:themeShade="80"/>
        </w:rPr>
        <w:t xml:space="preserve">allowed </w:t>
      </w:r>
      <w:r w:rsidR="00471C78">
        <w:rPr>
          <w:rFonts w:ascii="Arial" w:hAnsi="Arial" w:cs="Arial"/>
          <w:color w:val="1F3864" w:themeColor="accent1" w:themeShade="80"/>
        </w:rPr>
        <w:t>scopes</w:t>
      </w:r>
      <w:r w:rsidRPr="00471AFB">
        <w:rPr>
          <w:rFonts w:ascii="Arial" w:hAnsi="Arial" w:cs="Arial"/>
          <w:color w:val="1F3864" w:themeColor="accent1" w:themeShade="80"/>
        </w:rPr>
        <w:t xml:space="preserve"> </w:t>
      </w:r>
      <w:r w:rsidR="00642A32">
        <w:rPr>
          <w:rFonts w:ascii="Arial" w:hAnsi="Arial" w:cs="Arial"/>
          <w:color w:val="1F3864" w:themeColor="accent1" w:themeShade="80"/>
        </w:rPr>
        <w:t xml:space="preserve">to individual data-sets </w:t>
      </w:r>
      <w:r w:rsidRPr="00471AFB">
        <w:rPr>
          <w:rFonts w:ascii="Arial" w:hAnsi="Arial" w:cs="Arial"/>
          <w:color w:val="1F3864" w:themeColor="accent1" w:themeShade="80"/>
        </w:rPr>
        <w:t>only.</w:t>
      </w:r>
    </w:p>
    <w:p w14:paraId="1DBEDB53" w14:textId="77777777" w:rsidR="005F677E" w:rsidRPr="000F4E43" w:rsidRDefault="005F677E">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5836ED63" w14:textId="77777777" w:rsidR="00D656F6" w:rsidRDefault="00D656F6">
      <w:pPr>
        <w:spacing w:after="120"/>
        <w:ind w:left="1985" w:hanging="1985"/>
        <w:rPr>
          <w:rFonts w:ascii="Arial" w:hAnsi="Arial" w:cs="Arial"/>
          <w:b/>
        </w:rPr>
      </w:pPr>
    </w:p>
    <w:p w14:paraId="7BF3A47C" w14:textId="1F74A050" w:rsidR="00463675" w:rsidRPr="0097715D" w:rsidRDefault="00463675">
      <w:pPr>
        <w:spacing w:after="120"/>
        <w:ind w:left="1985" w:hanging="1985"/>
        <w:rPr>
          <w:rFonts w:ascii="Arial" w:hAnsi="Arial" w:cs="Arial"/>
          <w:b/>
        </w:rPr>
      </w:pPr>
      <w:r w:rsidRPr="0097715D">
        <w:rPr>
          <w:rFonts w:ascii="Arial" w:hAnsi="Arial" w:cs="Arial"/>
          <w:b/>
        </w:rPr>
        <w:t>To S</w:t>
      </w:r>
      <w:r w:rsidR="000F4E43" w:rsidRPr="0097715D">
        <w:rPr>
          <w:rFonts w:ascii="Arial" w:hAnsi="Arial" w:cs="Arial"/>
          <w:b/>
        </w:rPr>
        <w:t>A WG</w:t>
      </w:r>
      <w:r w:rsidR="00D81490">
        <w:rPr>
          <w:rFonts w:ascii="Arial" w:hAnsi="Arial" w:cs="Arial"/>
          <w:b/>
        </w:rPr>
        <w:t>3 group:</w:t>
      </w:r>
    </w:p>
    <w:p w14:paraId="0939DFD5" w14:textId="092158C3" w:rsidR="00463675" w:rsidRPr="0097715D" w:rsidRDefault="00463675" w:rsidP="0097715D">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sidR="00A37DEA">
        <w:rPr>
          <w:rFonts w:ascii="Arial" w:hAnsi="Arial" w:cs="Arial"/>
        </w:rPr>
        <w:t xml:space="preserve">CT4 kindly asks </w:t>
      </w:r>
      <w:r w:rsidR="00DE7CD4">
        <w:rPr>
          <w:rFonts w:ascii="Arial" w:hAnsi="Arial" w:cs="Arial"/>
        </w:rPr>
        <w:t>SA3 to provide additional feedback on Clause 1.1, if any.</w:t>
      </w:r>
    </w:p>
    <w:p w14:paraId="20D0B693" w14:textId="08D758C5" w:rsidR="00D81490" w:rsidRPr="0097715D" w:rsidRDefault="00D81490"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567CEB" w:rsidP="002C130F">
      <w:pPr>
        <w:tabs>
          <w:tab w:val="left" w:pos="5103"/>
        </w:tabs>
        <w:spacing w:after="120"/>
        <w:ind w:left="2268" w:hanging="2268"/>
        <w:rPr>
          <w:rFonts w:ascii="Arial" w:hAnsi="Arial" w:cs="Arial"/>
          <w:bCs/>
        </w:rPr>
      </w:pPr>
      <w:hyperlink r:id="rId8"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CE7D" w16cex:dateUtc="2022-11-17T14: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6F2E3" w14:textId="77777777" w:rsidR="00567CEB" w:rsidRDefault="00567CEB">
      <w:r>
        <w:separator/>
      </w:r>
    </w:p>
  </w:endnote>
  <w:endnote w:type="continuationSeparator" w:id="0">
    <w:p w14:paraId="13B0EDF2" w14:textId="77777777" w:rsidR="00567CEB" w:rsidRDefault="0056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EC86F" w14:textId="77777777" w:rsidR="00567CEB" w:rsidRDefault="00567CEB">
      <w:r>
        <w:separator/>
      </w:r>
    </w:p>
  </w:footnote>
  <w:footnote w:type="continuationSeparator" w:id="0">
    <w:p w14:paraId="4E989CA4" w14:textId="77777777" w:rsidR="00567CEB" w:rsidRDefault="00567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ADB"/>
    <w:rsid w:val="0002446A"/>
    <w:rsid w:val="00027ACA"/>
    <w:rsid w:val="00061460"/>
    <w:rsid w:val="00064681"/>
    <w:rsid w:val="000736AF"/>
    <w:rsid w:val="00074AEA"/>
    <w:rsid w:val="000B1AA1"/>
    <w:rsid w:val="000D3573"/>
    <w:rsid w:val="000F4E43"/>
    <w:rsid w:val="00105899"/>
    <w:rsid w:val="0011430E"/>
    <w:rsid w:val="00160824"/>
    <w:rsid w:val="001608BF"/>
    <w:rsid w:val="00171A81"/>
    <w:rsid w:val="001734EB"/>
    <w:rsid w:val="001A4AF7"/>
    <w:rsid w:val="001B6AD1"/>
    <w:rsid w:val="001F4212"/>
    <w:rsid w:val="00224FF6"/>
    <w:rsid w:val="0023589F"/>
    <w:rsid w:val="002538C9"/>
    <w:rsid w:val="00274F74"/>
    <w:rsid w:val="002C130F"/>
    <w:rsid w:val="002C715E"/>
    <w:rsid w:val="002E3FEB"/>
    <w:rsid w:val="002E5BE1"/>
    <w:rsid w:val="002F7253"/>
    <w:rsid w:val="00304F14"/>
    <w:rsid w:val="00324107"/>
    <w:rsid w:val="00326B06"/>
    <w:rsid w:val="00347947"/>
    <w:rsid w:val="003663C4"/>
    <w:rsid w:val="00367678"/>
    <w:rsid w:val="003743B8"/>
    <w:rsid w:val="003901E1"/>
    <w:rsid w:val="003A495F"/>
    <w:rsid w:val="00401229"/>
    <w:rsid w:val="004234FF"/>
    <w:rsid w:val="00433139"/>
    <w:rsid w:val="00445241"/>
    <w:rsid w:val="004453B3"/>
    <w:rsid w:val="00463675"/>
    <w:rsid w:val="00471AFB"/>
    <w:rsid w:val="00471C78"/>
    <w:rsid w:val="00495A52"/>
    <w:rsid w:val="004B43FA"/>
    <w:rsid w:val="004C3F5A"/>
    <w:rsid w:val="004C4DCF"/>
    <w:rsid w:val="004E676A"/>
    <w:rsid w:val="00506728"/>
    <w:rsid w:val="00507006"/>
    <w:rsid w:val="00567CEB"/>
    <w:rsid w:val="00584B08"/>
    <w:rsid w:val="005976CE"/>
    <w:rsid w:val="005F677E"/>
    <w:rsid w:val="0062189E"/>
    <w:rsid w:val="00642A32"/>
    <w:rsid w:val="00654758"/>
    <w:rsid w:val="0068697A"/>
    <w:rsid w:val="00687A0B"/>
    <w:rsid w:val="006D0B09"/>
    <w:rsid w:val="006E17C7"/>
    <w:rsid w:val="007032C5"/>
    <w:rsid w:val="007116E4"/>
    <w:rsid w:val="00713D0E"/>
    <w:rsid w:val="00714108"/>
    <w:rsid w:val="00724DF3"/>
    <w:rsid w:val="00726FC3"/>
    <w:rsid w:val="007713F0"/>
    <w:rsid w:val="0077485D"/>
    <w:rsid w:val="007C10D5"/>
    <w:rsid w:val="007E3EAC"/>
    <w:rsid w:val="007F6D54"/>
    <w:rsid w:val="0089666F"/>
    <w:rsid w:val="008F5B13"/>
    <w:rsid w:val="0090241A"/>
    <w:rsid w:val="00922A8B"/>
    <w:rsid w:val="00923E7C"/>
    <w:rsid w:val="00934275"/>
    <w:rsid w:val="00970A1C"/>
    <w:rsid w:val="009715AC"/>
    <w:rsid w:val="0097715D"/>
    <w:rsid w:val="009D542F"/>
    <w:rsid w:val="009E4851"/>
    <w:rsid w:val="009F6E85"/>
    <w:rsid w:val="00A0636B"/>
    <w:rsid w:val="00A37DEA"/>
    <w:rsid w:val="00A70174"/>
    <w:rsid w:val="00A7348D"/>
    <w:rsid w:val="00A84452"/>
    <w:rsid w:val="00AB1FA2"/>
    <w:rsid w:val="00AC4B23"/>
    <w:rsid w:val="00AD51BB"/>
    <w:rsid w:val="00AE489C"/>
    <w:rsid w:val="00AE7BE7"/>
    <w:rsid w:val="00AF7CBB"/>
    <w:rsid w:val="00B019ED"/>
    <w:rsid w:val="00B1279C"/>
    <w:rsid w:val="00B144F4"/>
    <w:rsid w:val="00B331BA"/>
    <w:rsid w:val="00BE2CBE"/>
    <w:rsid w:val="00BF7EE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53018"/>
    <w:rsid w:val="00D656F6"/>
    <w:rsid w:val="00D676CD"/>
    <w:rsid w:val="00D752B5"/>
    <w:rsid w:val="00D81490"/>
    <w:rsid w:val="00D84A7A"/>
    <w:rsid w:val="00D940AC"/>
    <w:rsid w:val="00DA5361"/>
    <w:rsid w:val="00DD7585"/>
    <w:rsid w:val="00DE54A5"/>
    <w:rsid w:val="00DE7CD4"/>
    <w:rsid w:val="00DF13CD"/>
    <w:rsid w:val="00E16BBB"/>
    <w:rsid w:val="00E20604"/>
    <w:rsid w:val="00E26ECF"/>
    <w:rsid w:val="00E27FE3"/>
    <w:rsid w:val="00E4207B"/>
    <w:rsid w:val="00E72B30"/>
    <w:rsid w:val="00E74B9D"/>
    <w:rsid w:val="00E76827"/>
    <w:rsid w:val="00EA19B5"/>
    <w:rsid w:val="00EA68B1"/>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63</cp:revision>
  <cp:lastPrinted>2002-04-23T07:10:00Z</cp:lastPrinted>
  <dcterms:created xsi:type="dcterms:W3CDTF">2022-11-17T17:42:00Z</dcterms:created>
  <dcterms:modified xsi:type="dcterms:W3CDTF">2023-02-17T10:33:00Z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