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8FA5B" w14:textId="211878FF" w:rsidR="00FA5FA5" w:rsidRDefault="00FA5FA5" w:rsidP="00FA5FA5">
      <w:pPr>
        <w:pStyle w:val="CRCoverPage"/>
        <w:tabs>
          <w:tab w:val="right" w:pos="9639"/>
        </w:tabs>
        <w:spacing w:after="0"/>
        <w:rPr>
          <w:b/>
          <w:i/>
          <w:noProof/>
          <w:sz w:val="28"/>
        </w:rPr>
      </w:pPr>
      <w:bookmarkStart w:id="0" w:name="_GoBack"/>
      <w:bookmarkEnd w:id="0"/>
      <w:r>
        <w:rPr>
          <w:b/>
          <w:noProof/>
          <w:sz w:val="24"/>
        </w:rPr>
        <w:t>3GPP TSG-CT WG4 Meeting #103-e</w:t>
      </w:r>
      <w:r>
        <w:rPr>
          <w:b/>
          <w:i/>
          <w:noProof/>
          <w:sz w:val="28"/>
        </w:rPr>
        <w:tab/>
      </w:r>
      <w:r w:rsidR="00923CF0">
        <w:rPr>
          <w:b/>
          <w:noProof/>
          <w:sz w:val="24"/>
        </w:rPr>
        <w:t>C4-212010</w:t>
      </w:r>
    </w:p>
    <w:p w14:paraId="48895784" w14:textId="77777777" w:rsidR="00FA5FA5" w:rsidRDefault="00FA5FA5" w:rsidP="00FA5FA5">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7146E855" w14:textId="77777777" w:rsidR="00DD40D2" w:rsidRPr="007B5456" w:rsidRDefault="00DD40D2">
      <w:pPr>
        <w:spacing w:after="120"/>
        <w:ind w:left="1985" w:hanging="1985"/>
        <w:rPr>
          <w:rFonts w:ascii="Arial" w:hAnsi="Arial" w:cs="Arial"/>
          <w:bCs/>
        </w:rPr>
      </w:pPr>
    </w:p>
    <w:p w14:paraId="484BE995" w14:textId="1B47DB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0A2A2A2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Discussion paper on</w:t>
      </w:r>
      <w:r>
        <w:rPr>
          <w:rFonts w:ascii="Arial" w:hAnsi="Arial" w:cs="Arial"/>
          <w:b/>
          <w:bCs/>
        </w:rPr>
        <w:t xml:space="preserve"> </w:t>
      </w:r>
      <w:r w:rsidR="006123BD">
        <w:rPr>
          <w:rFonts w:ascii="Arial" w:hAnsi="Arial" w:cs="Arial"/>
          <w:b/>
          <w:bCs/>
        </w:rPr>
        <w:t>New PLMN ID Header</w:t>
      </w:r>
    </w:p>
    <w:p w14:paraId="3E5009CE" w14:textId="2ECF8150" w:rsidR="00B14A94" w:rsidRDefault="00B14A94" w:rsidP="00B14A94">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55FE3D7D" w14:textId="03339B26" w:rsidR="00236D1F" w:rsidRDefault="00422FFA">
      <w:pPr>
        <w:spacing w:after="120"/>
        <w:ind w:left="1985" w:hanging="1985"/>
        <w:rPr>
          <w:rFonts w:ascii="Arial" w:hAnsi="Arial" w:cs="Arial"/>
          <w:b/>
          <w:bCs/>
        </w:rPr>
      </w:pPr>
      <w:r>
        <w:rPr>
          <w:rFonts w:ascii="Arial" w:hAnsi="Arial" w:cs="Arial"/>
          <w:b/>
          <w:bCs/>
        </w:rPr>
        <w:t>Agenda item:</w:t>
      </w:r>
      <w:r>
        <w:rPr>
          <w:rFonts w:ascii="Arial" w:hAnsi="Arial" w:cs="Arial"/>
          <w:b/>
          <w:bCs/>
        </w:rPr>
        <w:tab/>
        <w:t>6.1.2</w:t>
      </w:r>
      <w:r w:rsidR="003D78E4">
        <w:rPr>
          <w:rFonts w:ascii="Arial" w:hAnsi="Arial" w:cs="Arial"/>
          <w:b/>
          <w:bCs/>
        </w:rPr>
        <w:t xml:space="preserve"> (SBIProtoc17</w:t>
      </w:r>
      <w:r w:rsidR="004C279D">
        <w:rPr>
          <w:rFonts w:ascii="Arial" w:hAnsi="Arial" w:cs="Arial"/>
          <w:b/>
          <w:bCs/>
        </w:rPr>
        <w:t>)</w:t>
      </w:r>
    </w:p>
    <w:p w14:paraId="1589C299" w14:textId="20782D8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DE90935" w14:textId="1FA603D3" w:rsidR="0092048D" w:rsidRDefault="0092048D">
      <w:pPr>
        <w:rPr>
          <w:rFonts w:ascii="Arial" w:hAnsi="Arial" w:cs="Arial"/>
          <w:b/>
          <w:bCs/>
        </w:rPr>
      </w:pPr>
      <w:r>
        <w:rPr>
          <w:rFonts w:ascii="Arial" w:hAnsi="Arial" w:cs="Arial"/>
          <w:b/>
          <w:bCs/>
        </w:rPr>
        <w:t>1. Intro</w:t>
      </w:r>
    </w:p>
    <w:p w14:paraId="77381034" w14:textId="61F53339" w:rsidR="006123BD" w:rsidRDefault="006123BD" w:rsidP="006123BD">
      <w:pPr>
        <w:rPr>
          <w:bCs/>
        </w:rPr>
      </w:pPr>
      <w:r>
        <w:rPr>
          <w:bCs/>
        </w:rPr>
        <w:t xml:space="preserve">CT4 failed to reach agreement </w:t>
      </w:r>
      <w:r w:rsidRPr="006123BD">
        <w:rPr>
          <w:bCs/>
        </w:rPr>
        <w:t>on</w:t>
      </w:r>
      <w:r>
        <w:rPr>
          <w:bCs/>
        </w:rPr>
        <w:t xml:space="preserve"> which NF shall insert the n</w:t>
      </w:r>
      <w:r w:rsidRPr="006123BD">
        <w:rPr>
          <w:bCs/>
        </w:rPr>
        <w:t xml:space="preserve">ew PLMN ID Header </w:t>
      </w:r>
      <w:r>
        <w:rPr>
          <w:bCs/>
        </w:rPr>
        <w:t xml:space="preserve">and in January 2021 CT4 </w:t>
      </w:r>
      <w:r w:rsidRPr="006123BD">
        <w:rPr>
          <w:bCs/>
        </w:rPr>
        <w:t xml:space="preserve">sent </w:t>
      </w:r>
      <w:r>
        <w:rPr>
          <w:bCs/>
        </w:rPr>
        <w:t xml:space="preserve">an </w:t>
      </w:r>
      <w:r w:rsidRPr="006123BD">
        <w:rPr>
          <w:bCs/>
        </w:rPr>
        <w:t>LS to SA3 and GSMA</w:t>
      </w:r>
      <w:r>
        <w:rPr>
          <w:bCs/>
        </w:rPr>
        <w:t xml:space="preserve"> </w:t>
      </w:r>
      <w:r w:rsidRPr="006123BD">
        <w:rPr>
          <w:bCs/>
        </w:rPr>
        <w:t>(C4-210249)</w:t>
      </w:r>
      <w:r>
        <w:rPr>
          <w:bCs/>
        </w:rPr>
        <w:t xml:space="preserve">. In March 2021 </w:t>
      </w:r>
      <w:r w:rsidRPr="006123BD">
        <w:rPr>
          <w:bCs/>
        </w:rPr>
        <w:t>SA3 agreed a Reply-LS on Identification of source PLMN-ID in SBA (S3-211204)</w:t>
      </w:r>
      <w:r>
        <w:rPr>
          <w:bCs/>
        </w:rPr>
        <w:t xml:space="preserve">. But </w:t>
      </w:r>
      <w:r w:rsidRPr="006123BD">
        <w:rPr>
          <w:bCs/>
        </w:rPr>
        <w:t>GSMA reply LS is still pending</w:t>
      </w:r>
      <w:r>
        <w:rPr>
          <w:bCs/>
        </w:rPr>
        <w:t>.</w:t>
      </w:r>
    </w:p>
    <w:p w14:paraId="7338B7EF" w14:textId="77777777" w:rsidR="006123BD" w:rsidRPr="006123BD" w:rsidRDefault="006123BD" w:rsidP="006123BD">
      <w:pPr>
        <w:rPr>
          <w:bCs/>
        </w:rPr>
      </w:pPr>
    </w:p>
    <w:p w14:paraId="3CD29C98" w14:textId="24F8EAA2" w:rsidR="006123BD" w:rsidRDefault="006123BD" w:rsidP="006123BD">
      <w:pPr>
        <w:rPr>
          <w:bCs/>
        </w:rPr>
      </w:pPr>
      <w:r w:rsidRPr="006123BD">
        <w:rPr>
          <w:bCs/>
        </w:rPr>
        <w:t xml:space="preserve">The Reply-LS from SA3 </w:t>
      </w:r>
      <w:r w:rsidR="007E3C44">
        <w:rPr>
          <w:bCs/>
        </w:rPr>
        <w:t>clarifies the following matters.</w:t>
      </w:r>
    </w:p>
    <w:p w14:paraId="5C1B73FA" w14:textId="77777777" w:rsidR="007E3C44" w:rsidRPr="006123BD" w:rsidRDefault="007E3C44" w:rsidP="006123BD">
      <w:pPr>
        <w:rPr>
          <w:bCs/>
        </w:rPr>
      </w:pPr>
    </w:p>
    <w:p w14:paraId="76CE36E0" w14:textId="5E4DCBF8" w:rsidR="006123BD" w:rsidRDefault="006123BD" w:rsidP="006123BD">
      <w:pPr>
        <w:rPr>
          <w:bCs/>
        </w:rPr>
      </w:pPr>
      <w:r w:rsidRPr="006123BD">
        <w:rPr>
          <w:bCs/>
        </w:rPr>
        <w:t>A cSEPP is the only source for pSEPP to learn the PLMN ID of the NFc during the N32-f context establishment and therefore must trust the cSEPP</w:t>
      </w:r>
      <w:r w:rsidR="007E3C44">
        <w:rPr>
          <w:bCs/>
        </w:rPr>
        <w:t xml:space="preserve">. In other words, pSEPP does not have any other means to detect of the incoming message is legit or not. </w:t>
      </w:r>
    </w:p>
    <w:p w14:paraId="1F6768F7" w14:textId="77777777" w:rsidR="007E3C44" w:rsidRDefault="007E3C44" w:rsidP="006123BD">
      <w:pPr>
        <w:rPr>
          <w:bCs/>
        </w:rPr>
      </w:pPr>
    </w:p>
    <w:p w14:paraId="5D327E28" w14:textId="67CF5276" w:rsidR="007E3C44" w:rsidRPr="006123BD" w:rsidRDefault="007E3C44" w:rsidP="006123BD">
      <w:pPr>
        <w:rPr>
          <w:bCs/>
        </w:rPr>
      </w:pPr>
      <w:r>
        <w:rPr>
          <w:bCs/>
        </w:rPr>
        <w:t>SA3 also clarified own view on the below deployment scenarios.</w:t>
      </w:r>
    </w:p>
    <w:p w14:paraId="230D9BB7" w14:textId="77777777" w:rsidR="007E3C44" w:rsidRDefault="007E3C44" w:rsidP="007E3C44">
      <w:pPr>
        <w:rPr>
          <w:bCs/>
        </w:rPr>
      </w:pPr>
    </w:p>
    <w:p w14:paraId="601C3066" w14:textId="6C8EDAE6" w:rsidR="006123BD" w:rsidRPr="006123BD" w:rsidRDefault="006123BD" w:rsidP="007E3C44">
      <w:pPr>
        <w:rPr>
          <w:bCs/>
        </w:rPr>
      </w:pPr>
      <w:r w:rsidRPr="00C76F15">
        <w:rPr>
          <w:bCs/>
          <w:u w:val="single"/>
        </w:rPr>
        <w:t>Scenario 1</w:t>
      </w:r>
      <w:r w:rsidRPr="006123BD">
        <w:rPr>
          <w:bCs/>
        </w:rPr>
        <w:t>: A cSEPP serves an operator network (P</w:t>
      </w:r>
      <w:r w:rsidR="007E3C44">
        <w:rPr>
          <w:bCs/>
        </w:rPr>
        <w:t>LMN), which has multiple PLMN-ID</w:t>
      </w:r>
      <w:r w:rsidRPr="006123BD">
        <w:rPr>
          <w:bCs/>
        </w:rPr>
        <w:t>s:</w:t>
      </w:r>
    </w:p>
    <w:p w14:paraId="3479B12A" w14:textId="40F206A9" w:rsidR="006123BD" w:rsidRPr="006123BD" w:rsidRDefault="006123BD" w:rsidP="007E3C44">
      <w:pPr>
        <w:numPr>
          <w:ilvl w:val="0"/>
          <w:numId w:val="5"/>
        </w:numPr>
        <w:rPr>
          <w:bCs/>
        </w:rPr>
      </w:pPr>
      <w:r w:rsidRPr="006123BD">
        <w:rPr>
          <w:bCs/>
        </w:rPr>
        <w:t>This scenario is not explicitly described in TS 33.501, but can be supported by the current frozen releases</w:t>
      </w:r>
      <w:r w:rsidR="00C76F15">
        <w:rPr>
          <w:bCs/>
        </w:rPr>
        <w:t>.</w:t>
      </w:r>
    </w:p>
    <w:p w14:paraId="20132CDE" w14:textId="03019E6F" w:rsidR="0092048D" w:rsidRDefault="006123BD" w:rsidP="007E3C44">
      <w:pPr>
        <w:numPr>
          <w:ilvl w:val="0"/>
          <w:numId w:val="5"/>
        </w:numPr>
        <w:rPr>
          <w:bCs/>
        </w:rPr>
      </w:pPr>
      <w:r w:rsidRPr="006123BD">
        <w:rPr>
          <w:bCs/>
        </w:rPr>
        <w:t>Separate N32-c and N32-f connections need to be used for different PLMN-IDs</w:t>
      </w:r>
      <w:r w:rsidR="00C76F15">
        <w:rPr>
          <w:bCs/>
        </w:rPr>
        <w:t>.</w:t>
      </w:r>
    </w:p>
    <w:p w14:paraId="1BB5F7AF" w14:textId="77777777" w:rsidR="007E3C44" w:rsidRDefault="007E3C44" w:rsidP="007E3C44">
      <w:pPr>
        <w:rPr>
          <w:bCs/>
        </w:rPr>
      </w:pPr>
    </w:p>
    <w:p w14:paraId="1DCF029B" w14:textId="77777777" w:rsidR="006123BD" w:rsidRPr="006123BD" w:rsidRDefault="006123BD" w:rsidP="007E3C44">
      <w:pPr>
        <w:rPr>
          <w:bCs/>
        </w:rPr>
      </w:pPr>
      <w:r w:rsidRPr="00C76F15">
        <w:rPr>
          <w:bCs/>
          <w:u w:val="single"/>
        </w:rPr>
        <w:t>Scenario 2</w:t>
      </w:r>
      <w:r w:rsidRPr="006123BD">
        <w:rPr>
          <w:bCs/>
        </w:rPr>
        <w:t>: A cSEPP serves multiple operator networks (PLMNs) and each one has one or more PLMN-IDs ("SEPP Hub“):</w:t>
      </w:r>
    </w:p>
    <w:p w14:paraId="29A3A7F0" w14:textId="7027B2F5" w:rsidR="006123BD" w:rsidRPr="006123BD" w:rsidRDefault="006123BD" w:rsidP="007E3C44">
      <w:pPr>
        <w:numPr>
          <w:ilvl w:val="0"/>
          <w:numId w:val="6"/>
        </w:numPr>
        <w:rPr>
          <w:bCs/>
        </w:rPr>
      </w:pPr>
      <w:r w:rsidRPr="006123BD">
        <w:rPr>
          <w:bCs/>
        </w:rPr>
        <w:t>Such a scenario is not described in TS 33.501</w:t>
      </w:r>
      <w:r w:rsidR="00C76F15">
        <w:rPr>
          <w:bCs/>
        </w:rPr>
        <w:t>.</w:t>
      </w:r>
    </w:p>
    <w:p w14:paraId="066E5B70" w14:textId="3E094868" w:rsidR="006123BD" w:rsidRPr="006123BD" w:rsidRDefault="006123BD" w:rsidP="007E3C44">
      <w:pPr>
        <w:numPr>
          <w:ilvl w:val="0"/>
          <w:numId w:val="6"/>
        </w:numPr>
        <w:rPr>
          <w:bCs/>
        </w:rPr>
      </w:pPr>
      <w:r w:rsidRPr="006123BD">
        <w:rPr>
          <w:bCs/>
        </w:rPr>
        <w:t>If separate N32-c and N32-f connections are used for each PLMN-ID, the scenario can be supported</w:t>
      </w:r>
      <w:r w:rsidR="00C76F15">
        <w:rPr>
          <w:bCs/>
        </w:rPr>
        <w:t>.</w:t>
      </w:r>
    </w:p>
    <w:p w14:paraId="52B68279" w14:textId="052BA1D0" w:rsidR="006123BD" w:rsidRPr="006123BD" w:rsidRDefault="006123BD" w:rsidP="007E3C44">
      <w:pPr>
        <w:numPr>
          <w:ilvl w:val="0"/>
          <w:numId w:val="6"/>
        </w:numPr>
        <w:rPr>
          <w:bCs/>
        </w:rPr>
      </w:pPr>
      <w:r w:rsidRPr="006123BD">
        <w:rPr>
          <w:bCs/>
        </w:rPr>
        <w:t>GSMA view is absolutely necessary to resolve this matter</w:t>
      </w:r>
      <w:r w:rsidR="00C76F15">
        <w:rPr>
          <w:bCs/>
        </w:rPr>
        <w:t>.</w:t>
      </w:r>
    </w:p>
    <w:p w14:paraId="2EEBB1B8" w14:textId="77777777" w:rsidR="007E3C44" w:rsidRDefault="007E3C44" w:rsidP="007E3C44">
      <w:pPr>
        <w:rPr>
          <w:bCs/>
        </w:rPr>
      </w:pPr>
    </w:p>
    <w:p w14:paraId="3EB82AEF" w14:textId="77777777" w:rsidR="006123BD" w:rsidRPr="006123BD" w:rsidRDefault="006123BD" w:rsidP="007E3C44">
      <w:pPr>
        <w:rPr>
          <w:bCs/>
        </w:rPr>
      </w:pPr>
      <w:r w:rsidRPr="00C76F15">
        <w:rPr>
          <w:bCs/>
          <w:u w:val="single"/>
        </w:rPr>
        <w:t>Scenario 3</w:t>
      </w:r>
      <w:r w:rsidRPr="006123BD">
        <w:rPr>
          <w:bCs/>
        </w:rPr>
        <w:t>: There are intermediate SEPPs in between a cSEPP and pSEPP and pSEPP (“Chained SEPPs“):</w:t>
      </w:r>
    </w:p>
    <w:p w14:paraId="3A53D789" w14:textId="75EB6ED8" w:rsidR="006123BD" w:rsidRPr="006123BD" w:rsidRDefault="006123BD" w:rsidP="007E3C44">
      <w:pPr>
        <w:numPr>
          <w:ilvl w:val="0"/>
          <w:numId w:val="7"/>
        </w:numPr>
        <w:rPr>
          <w:bCs/>
        </w:rPr>
      </w:pPr>
      <w:r w:rsidRPr="006123BD">
        <w:rPr>
          <w:bCs/>
        </w:rPr>
        <w:t>Such a scenario is not supported by the current frozen releases of TS 33.501</w:t>
      </w:r>
      <w:r w:rsidR="00C76F15">
        <w:rPr>
          <w:bCs/>
        </w:rPr>
        <w:t>.</w:t>
      </w:r>
    </w:p>
    <w:p w14:paraId="3D806BE6" w14:textId="64083CD8" w:rsidR="006123BD" w:rsidRDefault="006123BD" w:rsidP="007E3C44">
      <w:pPr>
        <w:numPr>
          <w:ilvl w:val="0"/>
          <w:numId w:val="7"/>
        </w:numPr>
        <w:rPr>
          <w:bCs/>
        </w:rPr>
      </w:pPr>
      <w:r w:rsidRPr="006123BD">
        <w:rPr>
          <w:bCs/>
        </w:rPr>
        <w:t>Such deployment breaks the assumed trust model in SA3</w:t>
      </w:r>
      <w:r w:rsidR="00C76F15">
        <w:rPr>
          <w:bCs/>
        </w:rPr>
        <w:t>.</w:t>
      </w:r>
    </w:p>
    <w:p w14:paraId="78336BFB" w14:textId="67C26382" w:rsidR="00C76F15" w:rsidRPr="006123BD" w:rsidRDefault="00C76F15" w:rsidP="007E3C44">
      <w:pPr>
        <w:numPr>
          <w:ilvl w:val="0"/>
          <w:numId w:val="7"/>
        </w:numPr>
        <w:rPr>
          <w:bCs/>
        </w:rPr>
      </w:pPr>
      <w:r w:rsidRPr="006123BD">
        <w:rPr>
          <w:bCs/>
        </w:rPr>
        <w:t>GSMA view is absolutely necessary to resolve this matter</w:t>
      </w:r>
      <w:r>
        <w:rPr>
          <w:bCs/>
        </w:rPr>
        <w:t>.</w:t>
      </w:r>
    </w:p>
    <w:p w14:paraId="3F70A45D" w14:textId="77777777" w:rsidR="007E3C44" w:rsidRDefault="007E3C44" w:rsidP="007E3C44">
      <w:pPr>
        <w:rPr>
          <w:bCs/>
        </w:rPr>
      </w:pPr>
    </w:p>
    <w:p w14:paraId="16BB0506" w14:textId="27705EA6" w:rsidR="006123BD" w:rsidRDefault="007E3C44" w:rsidP="007E3C44">
      <w:pPr>
        <w:rPr>
          <w:bCs/>
        </w:rPr>
      </w:pPr>
      <w:r>
        <w:rPr>
          <w:bCs/>
        </w:rPr>
        <w:t xml:space="preserve">In summary, </w:t>
      </w:r>
      <w:r w:rsidR="006123BD" w:rsidRPr="006123BD">
        <w:rPr>
          <w:bCs/>
        </w:rPr>
        <w:t xml:space="preserve">GSMA view is absolutely necessary </w:t>
      </w:r>
      <w:r>
        <w:rPr>
          <w:bCs/>
        </w:rPr>
        <w:t>for</w:t>
      </w:r>
      <w:r w:rsidR="00C76F15">
        <w:rPr>
          <w:bCs/>
        </w:rPr>
        <w:t xml:space="preserve"> comprehensively</w:t>
      </w:r>
      <w:r>
        <w:rPr>
          <w:bCs/>
        </w:rPr>
        <w:t xml:space="preserve"> addressing the problem.</w:t>
      </w:r>
    </w:p>
    <w:p w14:paraId="4960CAB0" w14:textId="77777777" w:rsidR="007E3C44" w:rsidRPr="006123BD" w:rsidRDefault="007E3C44" w:rsidP="007E3C44">
      <w:pPr>
        <w:rPr>
          <w:bCs/>
        </w:rPr>
      </w:pPr>
    </w:p>
    <w:p w14:paraId="35A513E3" w14:textId="5AA136BB" w:rsidR="003053E6" w:rsidRDefault="0092048D" w:rsidP="003053E6">
      <w:r>
        <w:rPr>
          <w:rFonts w:ascii="Arial" w:hAnsi="Arial" w:cs="Arial"/>
          <w:b/>
          <w:bCs/>
        </w:rPr>
        <w:t xml:space="preserve">2. </w:t>
      </w:r>
      <w:r w:rsidR="003053E6">
        <w:rPr>
          <w:rFonts w:ascii="Arial" w:hAnsi="Arial" w:cs="Arial"/>
          <w:b/>
          <w:bCs/>
        </w:rPr>
        <w:t xml:space="preserve">Comparison of </w:t>
      </w:r>
      <w:r w:rsidR="005516B2">
        <w:rPr>
          <w:rFonts w:ascii="Arial" w:hAnsi="Arial" w:cs="Arial"/>
          <w:b/>
          <w:bCs/>
        </w:rPr>
        <w:t xml:space="preserve">the </w:t>
      </w:r>
      <w:r w:rsidR="003053E6">
        <w:rPr>
          <w:rFonts w:ascii="Arial" w:hAnsi="Arial" w:cs="Arial"/>
          <w:b/>
          <w:bCs/>
        </w:rPr>
        <w:t>technical proposals</w:t>
      </w:r>
      <w:r w:rsidR="003053E6" w:rsidRPr="003053E6">
        <w:t xml:space="preserve"> </w:t>
      </w:r>
    </w:p>
    <w:p w14:paraId="292B083B" w14:textId="7F74BD63" w:rsidR="003053E6" w:rsidRDefault="003053E6" w:rsidP="003053E6">
      <w:pPr>
        <w:rPr>
          <w:bCs/>
        </w:rPr>
      </w:pPr>
      <w:r w:rsidRPr="003053E6">
        <w:rPr>
          <w:bCs/>
        </w:rPr>
        <w:t>Two competing technical solutions were discussed at CT4 meeting #101bis-e (25th – 29th January 2021)</w:t>
      </w:r>
      <w:r w:rsidR="00A8473C">
        <w:rPr>
          <w:bCs/>
        </w:rPr>
        <w:t>, which propose similar, but not identical changes to TS 29.500.</w:t>
      </w:r>
    </w:p>
    <w:p w14:paraId="353BC464" w14:textId="77777777" w:rsidR="003053E6" w:rsidRPr="003053E6" w:rsidRDefault="003053E6" w:rsidP="003053E6">
      <w:pPr>
        <w:rPr>
          <w:bCs/>
        </w:rPr>
      </w:pPr>
    </w:p>
    <w:p w14:paraId="72E788B6" w14:textId="77777777" w:rsidR="003053E6" w:rsidRPr="003053E6" w:rsidRDefault="003053E6" w:rsidP="003053E6">
      <w:pPr>
        <w:rPr>
          <w:bCs/>
        </w:rPr>
      </w:pPr>
      <w:r w:rsidRPr="003053E6">
        <w:rPr>
          <w:bCs/>
        </w:rPr>
        <w:t>Ericsson Rel-17 CR in C4-210141 proposes the following:</w:t>
      </w:r>
    </w:p>
    <w:p w14:paraId="3774A0AF" w14:textId="23FAAE4B" w:rsidR="003053E6" w:rsidRPr="003053E6" w:rsidRDefault="003053E6" w:rsidP="003053E6">
      <w:pPr>
        <w:numPr>
          <w:ilvl w:val="0"/>
          <w:numId w:val="8"/>
        </w:numPr>
        <w:rPr>
          <w:bCs/>
        </w:rPr>
      </w:pPr>
      <w:r w:rsidRPr="003053E6">
        <w:rPr>
          <w:bCs/>
        </w:rPr>
        <w:t>NFc adds new optional header containing PLMN ID</w:t>
      </w:r>
      <w:r>
        <w:rPr>
          <w:bCs/>
        </w:rPr>
        <w:t>.</w:t>
      </w:r>
    </w:p>
    <w:p w14:paraId="10452914" w14:textId="62FD284B" w:rsidR="003053E6" w:rsidRPr="003053E6" w:rsidRDefault="003053E6" w:rsidP="003053E6">
      <w:pPr>
        <w:numPr>
          <w:ilvl w:val="0"/>
          <w:numId w:val="8"/>
        </w:numPr>
        <w:rPr>
          <w:bCs/>
        </w:rPr>
      </w:pPr>
      <w:r w:rsidRPr="003053E6">
        <w:rPr>
          <w:bCs/>
        </w:rPr>
        <w:t>If pSEPP receives PLMN ID in a header that was inserted by NFc, the pSEPP removes it and inserts new header with the PLMN ID of the cSEPP, which was received earlier</w:t>
      </w:r>
      <w:r>
        <w:rPr>
          <w:bCs/>
        </w:rPr>
        <w:t>.</w:t>
      </w:r>
    </w:p>
    <w:p w14:paraId="0FBC8428" w14:textId="77777777" w:rsidR="003053E6" w:rsidRDefault="003053E6" w:rsidP="003053E6">
      <w:pPr>
        <w:rPr>
          <w:bCs/>
        </w:rPr>
      </w:pPr>
    </w:p>
    <w:p w14:paraId="48458D07" w14:textId="77777777" w:rsidR="003053E6" w:rsidRPr="003053E6" w:rsidRDefault="003053E6" w:rsidP="003053E6">
      <w:pPr>
        <w:rPr>
          <w:bCs/>
        </w:rPr>
      </w:pPr>
      <w:r w:rsidRPr="003053E6">
        <w:rPr>
          <w:bCs/>
        </w:rPr>
        <w:t>Huawei DISC in C4-210077 and Rel-17 CR in C4-210078 propose the following:</w:t>
      </w:r>
    </w:p>
    <w:p w14:paraId="2F401831" w14:textId="24FFB62A" w:rsidR="003053E6" w:rsidRPr="003053E6" w:rsidRDefault="003053E6" w:rsidP="003053E6">
      <w:pPr>
        <w:numPr>
          <w:ilvl w:val="0"/>
          <w:numId w:val="9"/>
        </w:numPr>
        <w:rPr>
          <w:bCs/>
        </w:rPr>
      </w:pPr>
      <w:r w:rsidRPr="003053E6">
        <w:rPr>
          <w:bCs/>
        </w:rPr>
        <w:t>NFc adds new optional header containing PLMN ID</w:t>
      </w:r>
      <w:r>
        <w:rPr>
          <w:bCs/>
        </w:rPr>
        <w:t>.</w:t>
      </w:r>
    </w:p>
    <w:p w14:paraId="2B02075F" w14:textId="00FC38D6" w:rsidR="0092048D" w:rsidRDefault="003053E6" w:rsidP="003053E6">
      <w:pPr>
        <w:numPr>
          <w:ilvl w:val="0"/>
          <w:numId w:val="9"/>
        </w:numPr>
        <w:rPr>
          <w:bCs/>
        </w:rPr>
      </w:pPr>
      <w:r w:rsidRPr="003053E6">
        <w:rPr>
          <w:bCs/>
        </w:rPr>
        <w:t>pSEPP checks if the PLMN ID in the received message from NFc is valid by comparing it to PLMN ID the pSEPP received earlier from cSEPP and if they differ, the pSEPP discards the message</w:t>
      </w:r>
      <w:r>
        <w:rPr>
          <w:bCs/>
        </w:rPr>
        <w:t>.</w:t>
      </w:r>
    </w:p>
    <w:p w14:paraId="671D1978" w14:textId="77777777" w:rsidR="003053E6" w:rsidRDefault="003053E6" w:rsidP="003053E6">
      <w:pPr>
        <w:rPr>
          <w:bCs/>
        </w:rPr>
      </w:pPr>
    </w:p>
    <w:p w14:paraId="3A6A2FBB" w14:textId="48840F2A" w:rsidR="003053E6" w:rsidRPr="003053E6" w:rsidRDefault="003053E6" w:rsidP="003053E6">
      <w:pPr>
        <w:rPr>
          <w:bCs/>
        </w:rPr>
      </w:pPr>
      <w:r w:rsidRPr="003053E6">
        <w:rPr>
          <w:bCs/>
        </w:rPr>
        <w:t>Let’s compare the</w:t>
      </w:r>
      <w:r>
        <w:rPr>
          <w:bCs/>
        </w:rPr>
        <w:t>se proposals:</w:t>
      </w:r>
    </w:p>
    <w:p w14:paraId="16B5FF4A" w14:textId="726B4028" w:rsidR="003053E6" w:rsidRPr="003053E6" w:rsidRDefault="003053E6" w:rsidP="003053E6">
      <w:pPr>
        <w:numPr>
          <w:ilvl w:val="0"/>
          <w:numId w:val="10"/>
        </w:numPr>
        <w:rPr>
          <w:bCs/>
        </w:rPr>
      </w:pPr>
      <w:r w:rsidRPr="003053E6">
        <w:rPr>
          <w:bCs/>
        </w:rPr>
        <w:lastRenderedPageBreak/>
        <w:t>Proposal (1) from Ericsson and proposal (a) from Huawei are identical, which makes NFc inserted header a common denominator, which is agreeable to all CT4 parties</w:t>
      </w:r>
      <w:r>
        <w:rPr>
          <w:bCs/>
        </w:rPr>
        <w:t>.</w:t>
      </w:r>
    </w:p>
    <w:p w14:paraId="5F0F7201" w14:textId="77777777" w:rsidR="003053E6" w:rsidRPr="003053E6" w:rsidRDefault="003053E6" w:rsidP="003053E6">
      <w:pPr>
        <w:numPr>
          <w:ilvl w:val="0"/>
          <w:numId w:val="10"/>
        </w:numPr>
        <w:rPr>
          <w:bCs/>
        </w:rPr>
      </w:pPr>
      <w:r w:rsidRPr="003053E6">
        <w:rPr>
          <w:bCs/>
        </w:rPr>
        <w:t>Proposals (2) from Ericsson and proposal (b) from Huawei are different:</w:t>
      </w:r>
    </w:p>
    <w:p w14:paraId="6E956C13" w14:textId="17893213" w:rsidR="003053E6" w:rsidRPr="003053E6" w:rsidRDefault="003053E6" w:rsidP="003053E6">
      <w:pPr>
        <w:numPr>
          <w:ilvl w:val="1"/>
          <w:numId w:val="10"/>
        </w:numPr>
        <w:rPr>
          <w:bCs/>
        </w:rPr>
      </w:pPr>
      <w:r w:rsidRPr="003053E6">
        <w:rPr>
          <w:bCs/>
        </w:rPr>
        <w:t>pSEPP always removes PLMN ID header inserted by NFc and replaces it by inserting  new header with the PLMN ID of the cSEPP, which makes NFc inserted header redundant</w:t>
      </w:r>
      <w:r>
        <w:rPr>
          <w:bCs/>
        </w:rPr>
        <w:t>.</w:t>
      </w:r>
    </w:p>
    <w:p w14:paraId="755FFB54" w14:textId="0552B9FB" w:rsidR="003053E6" w:rsidRPr="003053E6" w:rsidRDefault="003053E6" w:rsidP="003053E6">
      <w:pPr>
        <w:numPr>
          <w:ilvl w:val="1"/>
          <w:numId w:val="10"/>
        </w:numPr>
        <w:rPr>
          <w:bCs/>
        </w:rPr>
      </w:pPr>
      <w:r w:rsidRPr="003053E6">
        <w:rPr>
          <w:bCs/>
        </w:rPr>
        <w:t>pSEPP checks if the PLMN ID in the received message from NFc is valid and discards the message if the value is invalid, which appears to be a more resonable way to handle the erroneous scenario</w:t>
      </w:r>
      <w:r>
        <w:rPr>
          <w:bCs/>
        </w:rPr>
        <w:t>.</w:t>
      </w:r>
    </w:p>
    <w:p w14:paraId="7E39AB0A" w14:textId="68D509BA" w:rsidR="003053E6" w:rsidRPr="003053E6" w:rsidRDefault="005516B2" w:rsidP="003053E6">
      <w:pPr>
        <w:numPr>
          <w:ilvl w:val="0"/>
          <w:numId w:val="10"/>
        </w:numPr>
        <w:rPr>
          <w:bCs/>
        </w:rPr>
      </w:pPr>
      <w:r>
        <w:rPr>
          <w:bCs/>
        </w:rPr>
        <w:t>P</w:t>
      </w:r>
      <w:r w:rsidR="003053E6" w:rsidRPr="003053E6">
        <w:rPr>
          <w:bCs/>
        </w:rPr>
        <w:t>roposal</w:t>
      </w:r>
      <w:r>
        <w:rPr>
          <w:bCs/>
        </w:rPr>
        <w:t xml:space="preserve"> in</w:t>
      </w:r>
      <w:r w:rsidRPr="005516B2">
        <w:rPr>
          <w:bCs/>
        </w:rPr>
        <w:t xml:space="preserve"> </w:t>
      </w:r>
      <w:r w:rsidRPr="003053E6">
        <w:rPr>
          <w:bCs/>
        </w:rPr>
        <w:t xml:space="preserve">C4-210078 </w:t>
      </w:r>
      <w:r>
        <w:rPr>
          <w:bCs/>
        </w:rPr>
        <w:t>(Huawei CR)</w:t>
      </w:r>
      <w:r w:rsidR="003053E6" w:rsidRPr="003053E6">
        <w:rPr>
          <w:bCs/>
        </w:rPr>
        <w:t xml:space="preserve"> has the following advantages:</w:t>
      </w:r>
    </w:p>
    <w:p w14:paraId="0563A3A2" w14:textId="51B572B4" w:rsidR="003053E6" w:rsidRPr="003053E6" w:rsidRDefault="003053E6" w:rsidP="003053E6">
      <w:pPr>
        <w:numPr>
          <w:ilvl w:val="1"/>
          <w:numId w:val="10"/>
        </w:numPr>
        <w:rPr>
          <w:bCs/>
        </w:rPr>
      </w:pPr>
      <w:r w:rsidRPr="003053E6">
        <w:rPr>
          <w:bCs/>
        </w:rPr>
        <w:t>Impacts only NFc, while Ericsson proposal impacts both NFc and pSEPP</w:t>
      </w:r>
      <w:r>
        <w:rPr>
          <w:bCs/>
        </w:rPr>
        <w:t>.</w:t>
      </w:r>
    </w:p>
    <w:p w14:paraId="6267057B" w14:textId="38FE36C9" w:rsidR="003053E6" w:rsidRPr="003053E6" w:rsidRDefault="003053E6" w:rsidP="003053E6">
      <w:pPr>
        <w:numPr>
          <w:ilvl w:val="1"/>
          <w:numId w:val="10"/>
        </w:numPr>
        <w:rPr>
          <w:bCs/>
        </w:rPr>
      </w:pPr>
      <w:r w:rsidRPr="003053E6">
        <w:rPr>
          <w:bCs/>
        </w:rPr>
        <w:t>Reduces processing burden on pSEPP, which needs to either forward the message to NFp, or discard it</w:t>
      </w:r>
      <w:r>
        <w:rPr>
          <w:bCs/>
        </w:rPr>
        <w:t>.</w:t>
      </w:r>
    </w:p>
    <w:p w14:paraId="1F2B040F" w14:textId="77777777" w:rsidR="003053E6" w:rsidRDefault="003053E6" w:rsidP="003053E6">
      <w:pPr>
        <w:rPr>
          <w:rFonts w:ascii="Arial" w:hAnsi="Arial" w:cs="Arial"/>
          <w:b/>
          <w:bCs/>
        </w:rPr>
      </w:pPr>
    </w:p>
    <w:p w14:paraId="117EC513" w14:textId="32F89451" w:rsidR="0092048D" w:rsidRDefault="0092048D" w:rsidP="0092048D">
      <w:pPr>
        <w:rPr>
          <w:rFonts w:ascii="Arial" w:hAnsi="Arial" w:cs="Arial"/>
          <w:b/>
          <w:bCs/>
        </w:rPr>
      </w:pPr>
      <w:r>
        <w:rPr>
          <w:rFonts w:ascii="Arial" w:hAnsi="Arial" w:cs="Arial"/>
          <w:b/>
          <w:bCs/>
        </w:rPr>
        <w:t xml:space="preserve">3. </w:t>
      </w:r>
      <w:r w:rsidR="003053E6">
        <w:rPr>
          <w:rFonts w:ascii="Arial" w:hAnsi="Arial" w:cs="Arial"/>
          <w:b/>
          <w:bCs/>
        </w:rPr>
        <w:t>Proposal</w:t>
      </w:r>
    </w:p>
    <w:p w14:paraId="69047C19" w14:textId="5065D9D4" w:rsidR="0092048D" w:rsidRPr="006B5418" w:rsidRDefault="003053E6" w:rsidP="00B0079D">
      <w:pPr>
        <w:rPr>
          <w:rFonts w:ascii="Arial" w:hAnsi="Arial" w:cs="Arial"/>
          <w:color w:val="0000FF"/>
          <w:sz w:val="28"/>
          <w:szCs w:val="28"/>
          <w:lang w:val="en-US"/>
        </w:rPr>
      </w:pPr>
      <w:r>
        <w:rPr>
          <w:bCs/>
        </w:rPr>
        <w:t xml:space="preserve">It is proposed to </w:t>
      </w:r>
      <w:r w:rsidR="00B0079D">
        <w:rPr>
          <w:bCs/>
        </w:rPr>
        <w:t>wait for GSAM reply LS, because GSMA view on the above described scenarios may be different from the ones that are currently supported by TS 33.501.</w:t>
      </w:r>
    </w:p>
    <w:p w14:paraId="30F8C223" w14:textId="77777777" w:rsidR="0092048D" w:rsidRPr="006B5418" w:rsidRDefault="0092048D" w:rsidP="0092048D">
      <w:pPr>
        <w:rPr>
          <w:lang w:val="en-US"/>
        </w:rPr>
      </w:pPr>
    </w:p>
    <w:sectPr w:rsidR="0092048D" w:rsidRPr="006B541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E1FC6" w14:textId="77777777" w:rsidR="00982880" w:rsidRDefault="00982880">
      <w:r>
        <w:separator/>
      </w:r>
    </w:p>
  </w:endnote>
  <w:endnote w:type="continuationSeparator" w:id="0">
    <w:p w14:paraId="6BCBE041" w14:textId="77777777" w:rsidR="00982880" w:rsidRDefault="00982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B7143" w14:textId="77777777" w:rsidR="00982880" w:rsidRDefault="00982880">
      <w:r>
        <w:separator/>
      </w:r>
    </w:p>
  </w:footnote>
  <w:footnote w:type="continuationSeparator" w:id="0">
    <w:p w14:paraId="2BA7393A" w14:textId="77777777" w:rsidR="00982880" w:rsidRDefault="009828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665BE"/>
    <w:multiLevelType w:val="hybridMultilevel"/>
    <w:tmpl w:val="D89EC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B3DDF"/>
    <w:multiLevelType w:val="hybridMultilevel"/>
    <w:tmpl w:val="B8C62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5D3CDC"/>
    <w:multiLevelType w:val="hybridMultilevel"/>
    <w:tmpl w:val="EAA8C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D866CCC"/>
    <w:multiLevelType w:val="hybridMultilevel"/>
    <w:tmpl w:val="2F48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43476B"/>
    <w:multiLevelType w:val="hybridMultilevel"/>
    <w:tmpl w:val="4C1072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965A86"/>
    <w:multiLevelType w:val="hybridMultilevel"/>
    <w:tmpl w:val="18BE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4D5AE5"/>
    <w:multiLevelType w:val="hybridMultilevel"/>
    <w:tmpl w:val="B12C8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9"/>
  </w:num>
  <w:num w:numId="5">
    <w:abstractNumId w:val="8"/>
  </w:num>
  <w:num w:numId="6">
    <w:abstractNumId w:val="1"/>
  </w:num>
  <w:num w:numId="7">
    <w:abstractNumId w:val="2"/>
  </w:num>
  <w:num w:numId="8">
    <w:abstractNumId w:val="5"/>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2191A"/>
    <w:rsid w:val="00030CD4"/>
    <w:rsid w:val="00046686"/>
    <w:rsid w:val="00046FDD"/>
    <w:rsid w:val="00050925"/>
    <w:rsid w:val="00054884"/>
    <w:rsid w:val="00057E1E"/>
    <w:rsid w:val="00072A7C"/>
    <w:rsid w:val="000775E7"/>
    <w:rsid w:val="0007775C"/>
    <w:rsid w:val="00094F23"/>
    <w:rsid w:val="000967F4"/>
    <w:rsid w:val="000E0429"/>
    <w:rsid w:val="000F6E51"/>
    <w:rsid w:val="00102A24"/>
    <w:rsid w:val="0013259C"/>
    <w:rsid w:val="00135831"/>
    <w:rsid w:val="001376A6"/>
    <w:rsid w:val="0014413C"/>
    <w:rsid w:val="00166A1B"/>
    <w:rsid w:val="0018497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8040A"/>
    <w:rsid w:val="002919B7"/>
    <w:rsid w:val="00295D61"/>
    <w:rsid w:val="002B074C"/>
    <w:rsid w:val="002B2FE7"/>
    <w:rsid w:val="002B34EA"/>
    <w:rsid w:val="002B5361"/>
    <w:rsid w:val="002C1BA4"/>
    <w:rsid w:val="002C47B8"/>
    <w:rsid w:val="002E397B"/>
    <w:rsid w:val="002E3AE2"/>
    <w:rsid w:val="002F7CCB"/>
    <w:rsid w:val="003053E6"/>
    <w:rsid w:val="00310E70"/>
    <w:rsid w:val="00313F3E"/>
    <w:rsid w:val="00320536"/>
    <w:rsid w:val="00325E33"/>
    <w:rsid w:val="003275E6"/>
    <w:rsid w:val="00354553"/>
    <w:rsid w:val="00392C87"/>
    <w:rsid w:val="003A5FFA"/>
    <w:rsid w:val="003A67E1"/>
    <w:rsid w:val="003D4593"/>
    <w:rsid w:val="003D78E4"/>
    <w:rsid w:val="003E2C8B"/>
    <w:rsid w:val="003E710B"/>
    <w:rsid w:val="003F1C0E"/>
    <w:rsid w:val="004008D7"/>
    <w:rsid w:val="0040145D"/>
    <w:rsid w:val="00411339"/>
    <w:rsid w:val="004131BD"/>
    <w:rsid w:val="00416CEA"/>
    <w:rsid w:val="00421AFD"/>
    <w:rsid w:val="00422FFA"/>
    <w:rsid w:val="00432048"/>
    <w:rsid w:val="004518DB"/>
    <w:rsid w:val="00477EBC"/>
    <w:rsid w:val="004A0A73"/>
    <w:rsid w:val="004A29AE"/>
    <w:rsid w:val="004A661C"/>
    <w:rsid w:val="004C279D"/>
    <w:rsid w:val="004C4C9B"/>
    <w:rsid w:val="004D2FA0"/>
    <w:rsid w:val="004E1010"/>
    <w:rsid w:val="0050202A"/>
    <w:rsid w:val="0052032E"/>
    <w:rsid w:val="00544D8F"/>
    <w:rsid w:val="005516B2"/>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E7235"/>
    <w:rsid w:val="005F4B34"/>
    <w:rsid w:val="006123BD"/>
    <w:rsid w:val="00616E18"/>
    <w:rsid w:val="00623AED"/>
    <w:rsid w:val="00632157"/>
    <w:rsid w:val="00633971"/>
    <w:rsid w:val="0064121E"/>
    <w:rsid w:val="00660354"/>
    <w:rsid w:val="00665B9B"/>
    <w:rsid w:val="00681A87"/>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A5D0F"/>
    <w:rsid w:val="007B5456"/>
    <w:rsid w:val="007B5F65"/>
    <w:rsid w:val="007D3C7C"/>
    <w:rsid w:val="007E3C44"/>
    <w:rsid w:val="007F6574"/>
    <w:rsid w:val="00850CD4"/>
    <w:rsid w:val="00854A49"/>
    <w:rsid w:val="008A06BE"/>
    <w:rsid w:val="008A56FD"/>
    <w:rsid w:val="008D3DA6"/>
    <w:rsid w:val="008F7444"/>
    <w:rsid w:val="0091399A"/>
    <w:rsid w:val="0092048D"/>
    <w:rsid w:val="00923CF0"/>
    <w:rsid w:val="00926791"/>
    <w:rsid w:val="0093661C"/>
    <w:rsid w:val="00940736"/>
    <w:rsid w:val="00950CF7"/>
    <w:rsid w:val="00960A44"/>
    <w:rsid w:val="009768C3"/>
    <w:rsid w:val="00977C43"/>
    <w:rsid w:val="00982880"/>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28DC"/>
    <w:rsid w:val="00A37F80"/>
    <w:rsid w:val="00A46B3F"/>
    <w:rsid w:val="00A46F30"/>
    <w:rsid w:val="00A61169"/>
    <w:rsid w:val="00A63024"/>
    <w:rsid w:val="00A82FCC"/>
    <w:rsid w:val="00A8473C"/>
    <w:rsid w:val="00A906A4"/>
    <w:rsid w:val="00AA574E"/>
    <w:rsid w:val="00AD324E"/>
    <w:rsid w:val="00AD5B51"/>
    <w:rsid w:val="00AD7B78"/>
    <w:rsid w:val="00AF4118"/>
    <w:rsid w:val="00B0079D"/>
    <w:rsid w:val="00B14A94"/>
    <w:rsid w:val="00B3526C"/>
    <w:rsid w:val="00B47534"/>
    <w:rsid w:val="00B778DB"/>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6F15"/>
    <w:rsid w:val="00CA5DB0"/>
    <w:rsid w:val="00CC58E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45CDA"/>
    <w:rsid w:val="00E53AE3"/>
    <w:rsid w:val="00E5574A"/>
    <w:rsid w:val="00E64FB2"/>
    <w:rsid w:val="00E81E2C"/>
    <w:rsid w:val="00EB5D2F"/>
    <w:rsid w:val="00EC10EC"/>
    <w:rsid w:val="00ED6080"/>
    <w:rsid w:val="00EE0176"/>
    <w:rsid w:val="00EF0942"/>
    <w:rsid w:val="00EF291F"/>
    <w:rsid w:val="00F0218C"/>
    <w:rsid w:val="00F0393B"/>
    <w:rsid w:val="00F313DD"/>
    <w:rsid w:val="00F378BE"/>
    <w:rsid w:val="00F43120"/>
    <w:rsid w:val="00F763A4"/>
    <w:rsid w:val="00F81CF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5397986">
      <w:bodyDiv w:val="1"/>
      <w:marLeft w:val="0"/>
      <w:marRight w:val="0"/>
      <w:marTop w:val="0"/>
      <w:marBottom w:val="0"/>
      <w:divBdr>
        <w:top w:val="none" w:sz="0" w:space="0" w:color="auto"/>
        <w:left w:val="none" w:sz="0" w:space="0" w:color="auto"/>
        <w:bottom w:val="none" w:sz="0" w:space="0" w:color="auto"/>
        <w:right w:val="none" w:sz="0" w:space="0" w:color="auto"/>
      </w:divBdr>
      <w:divsChild>
        <w:div w:id="2045596007">
          <w:marLeft w:val="2102"/>
          <w:marRight w:val="0"/>
          <w:marTop w:val="0"/>
          <w:marBottom w:val="6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6407019">
      <w:bodyDiv w:val="1"/>
      <w:marLeft w:val="0"/>
      <w:marRight w:val="0"/>
      <w:marTop w:val="0"/>
      <w:marBottom w:val="0"/>
      <w:divBdr>
        <w:top w:val="none" w:sz="0" w:space="0" w:color="auto"/>
        <w:left w:val="none" w:sz="0" w:space="0" w:color="auto"/>
        <w:bottom w:val="none" w:sz="0" w:space="0" w:color="auto"/>
        <w:right w:val="none" w:sz="0" w:space="0" w:color="auto"/>
      </w:divBdr>
      <w:divsChild>
        <w:div w:id="309285223">
          <w:marLeft w:val="2102"/>
          <w:marRight w:val="0"/>
          <w:marTop w:val="0"/>
          <w:marBottom w:val="60"/>
          <w:divBdr>
            <w:top w:val="none" w:sz="0" w:space="0" w:color="auto"/>
            <w:left w:val="none" w:sz="0" w:space="0" w:color="auto"/>
            <w:bottom w:val="none" w:sz="0" w:space="0" w:color="auto"/>
            <w:right w:val="none" w:sz="0" w:space="0" w:color="auto"/>
          </w:divBdr>
        </w:div>
        <w:div w:id="2040861624">
          <w:marLeft w:val="2822"/>
          <w:marRight w:val="0"/>
          <w:marTop w:val="0"/>
          <w:marBottom w:val="60"/>
          <w:divBdr>
            <w:top w:val="none" w:sz="0" w:space="0" w:color="auto"/>
            <w:left w:val="none" w:sz="0" w:space="0" w:color="auto"/>
            <w:bottom w:val="none" w:sz="0" w:space="0" w:color="auto"/>
            <w:right w:val="none" w:sz="0" w:space="0" w:color="auto"/>
          </w:divBdr>
        </w:div>
        <w:div w:id="1200049669">
          <w:marLeft w:val="2822"/>
          <w:marRight w:val="0"/>
          <w:marTop w:val="0"/>
          <w:marBottom w:val="60"/>
          <w:divBdr>
            <w:top w:val="none" w:sz="0" w:space="0" w:color="auto"/>
            <w:left w:val="none" w:sz="0" w:space="0" w:color="auto"/>
            <w:bottom w:val="none" w:sz="0" w:space="0" w:color="auto"/>
            <w:right w:val="none" w:sz="0" w:space="0" w:color="auto"/>
          </w:divBdr>
        </w:div>
        <w:div w:id="1631597101">
          <w:marLeft w:val="2822"/>
          <w:marRight w:val="0"/>
          <w:marTop w:val="0"/>
          <w:marBottom w:val="60"/>
          <w:divBdr>
            <w:top w:val="none" w:sz="0" w:space="0" w:color="auto"/>
            <w:left w:val="none" w:sz="0" w:space="0" w:color="auto"/>
            <w:bottom w:val="none" w:sz="0" w:space="0" w:color="auto"/>
            <w:right w:val="none" w:sz="0" w:space="0" w:color="auto"/>
          </w:divBdr>
        </w:div>
        <w:div w:id="254362526">
          <w:marLeft w:val="2102"/>
          <w:marRight w:val="0"/>
          <w:marTop w:val="0"/>
          <w:marBottom w:val="60"/>
          <w:divBdr>
            <w:top w:val="none" w:sz="0" w:space="0" w:color="auto"/>
            <w:left w:val="none" w:sz="0" w:space="0" w:color="auto"/>
            <w:bottom w:val="none" w:sz="0" w:space="0" w:color="auto"/>
            <w:right w:val="none" w:sz="0" w:space="0" w:color="auto"/>
          </w:divBdr>
        </w:div>
        <w:div w:id="1612545603">
          <w:marLeft w:val="2822"/>
          <w:marRight w:val="0"/>
          <w:marTop w:val="0"/>
          <w:marBottom w:val="60"/>
          <w:divBdr>
            <w:top w:val="none" w:sz="0" w:space="0" w:color="auto"/>
            <w:left w:val="none" w:sz="0" w:space="0" w:color="auto"/>
            <w:bottom w:val="none" w:sz="0" w:space="0" w:color="auto"/>
            <w:right w:val="none" w:sz="0" w:space="0" w:color="auto"/>
          </w:divBdr>
        </w:div>
        <w:div w:id="59862572">
          <w:marLeft w:val="2822"/>
          <w:marRight w:val="0"/>
          <w:marTop w:val="0"/>
          <w:marBottom w:val="60"/>
          <w:divBdr>
            <w:top w:val="none" w:sz="0" w:space="0" w:color="auto"/>
            <w:left w:val="none" w:sz="0" w:space="0" w:color="auto"/>
            <w:bottom w:val="none" w:sz="0" w:space="0" w:color="auto"/>
            <w:right w:val="none" w:sz="0" w:space="0" w:color="auto"/>
          </w:divBdr>
        </w:div>
        <w:div w:id="1156339084">
          <w:marLeft w:val="2822"/>
          <w:marRight w:val="0"/>
          <w:marTop w:val="0"/>
          <w:marBottom w:val="6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9102948">
      <w:bodyDiv w:val="1"/>
      <w:marLeft w:val="0"/>
      <w:marRight w:val="0"/>
      <w:marTop w:val="0"/>
      <w:marBottom w:val="0"/>
      <w:divBdr>
        <w:top w:val="none" w:sz="0" w:space="0" w:color="auto"/>
        <w:left w:val="none" w:sz="0" w:space="0" w:color="auto"/>
        <w:bottom w:val="none" w:sz="0" w:space="0" w:color="auto"/>
        <w:right w:val="none" w:sz="0" w:space="0" w:color="auto"/>
      </w:divBdr>
      <w:divsChild>
        <w:div w:id="32005109">
          <w:marLeft w:val="2102"/>
          <w:marRight w:val="0"/>
          <w:marTop w:val="0"/>
          <w:marBottom w:val="60"/>
          <w:divBdr>
            <w:top w:val="none" w:sz="0" w:space="0" w:color="auto"/>
            <w:left w:val="none" w:sz="0" w:space="0" w:color="auto"/>
            <w:bottom w:val="none" w:sz="0" w:space="0" w:color="auto"/>
            <w:right w:val="none" w:sz="0" w:space="0" w:color="auto"/>
          </w:divBdr>
        </w:div>
        <w:div w:id="698359054">
          <w:marLeft w:val="2102"/>
          <w:marRight w:val="0"/>
          <w:marTop w:val="0"/>
          <w:marBottom w:val="60"/>
          <w:divBdr>
            <w:top w:val="none" w:sz="0" w:space="0" w:color="auto"/>
            <w:left w:val="none" w:sz="0" w:space="0" w:color="auto"/>
            <w:bottom w:val="none" w:sz="0" w:space="0" w:color="auto"/>
            <w:right w:val="none" w:sz="0" w:space="0" w:color="auto"/>
          </w:divBdr>
        </w:div>
        <w:div w:id="1772893714">
          <w:marLeft w:val="2102"/>
          <w:marRight w:val="0"/>
          <w:marTop w:val="0"/>
          <w:marBottom w:val="60"/>
          <w:divBdr>
            <w:top w:val="none" w:sz="0" w:space="0" w:color="auto"/>
            <w:left w:val="none" w:sz="0" w:space="0" w:color="auto"/>
            <w:bottom w:val="none" w:sz="0" w:space="0" w:color="auto"/>
            <w:right w:val="none" w:sz="0" w:space="0" w:color="auto"/>
          </w:divBdr>
        </w:div>
        <w:div w:id="132866413">
          <w:marLeft w:val="835"/>
          <w:marRight w:val="0"/>
          <w:marTop w:val="0"/>
          <w:marBottom w:val="0"/>
          <w:divBdr>
            <w:top w:val="none" w:sz="0" w:space="0" w:color="auto"/>
            <w:left w:val="none" w:sz="0" w:space="0" w:color="auto"/>
            <w:bottom w:val="none" w:sz="0" w:space="0" w:color="auto"/>
            <w:right w:val="none" w:sz="0" w:space="0" w:color="auto"/>
          </w:divBdr>
        </w:div>
        <w:div w:id="1980187667">
          <w:marLeft w:val="2102"/>
          <w:marRight w:val="0"/>
          <w:marTop w:val="0"/>
          <w:marBottom w:val="60"/>
          <w:divBdr>
            <w:top w:val="none" w:sz="0" w:space="0" w:color="auto"/>
            <w:left w:val="none" w:sz="0" w:space="0" w:color="auto"/>
            <w:bottom w:val="none" w:sz="0" w:space="0" w:color="auto"/>
            <w:right w:val="none" w:sz="0" w:space="0" w:color="auto"/>
          </w:divBdr>
        </w:div>
        <w:div w:id="1453209707">
          <w:marLeft w:val="2102"/>
          <w:marRight w:val="0"/>
          <w:marTop w:val="0"/>
          <w:marBottom w:val="60"/>
          <w:divBdr>
            <w:top w:val="none" w:sz="0" w:space="0" w:color="auto"/>
            <w:left w:val="none" w:sz="0" w:space="0" w:color="auto"/>
            <w:bottom w:val="none" w:sz="0" w:space="0" w:color="auto"/>
            <w:right w:val="none" w:sz="0" w:space="0" w:color="auto"/>
          </w:divBdr>
        </w:div>
        <w:div w:id="895431391">
          <w:marLeft w:val="2822"/>
          <w:marRight w:val="0"/>
          <w:marTop w:val="0"/>
          <w:marBottom w:val="60"/>
          <w:divBdr>
            <w:top w:val="none" w:sz="0" w:space="0" w:color="auto"/>
            <w:left w:val="none" w:sz="0" w:space="0" w:color="auto"/>
            <w:bottom w:val="none" w:sz="0" w:space="0" w:color="auto"/>
            <w:right w:val="none" w:sz="0" w:space="0" w:color="auto"/>
          </w:divBdr>
        </w:div>
        <w:div w:id="191892044">
          <w:marLeft w:val="2822"/>
          <w:marRight w:val="0"/>
          <w:marTop w:val="0"/>
          <w:marBottom w:val="6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4664435">
      <w:bodyDiv w:val="1"/>
      <w:marLeft w:val="0"/>
      <w:marRight w:val="0"/>
      <w:marTop w:val="0"/>
      <w:marBottom w:val="0"/>
      <w:divBdr>
        <w:top w:val="none" w:sz="0" w:space="0" w:color="auto"/>
        <w:left w:val="none" w:sz="0" w:space="0" w:color="auto"/>
        <w:bottom w:val="none" w:sz="0" w:space="0" w:color="auto"/>
        <w:right w:val="none" w:sz="0" w:space="0" w:color="auto"/>
      </w:divBdr>
      <w:divsChild>
        <w:div w:id="479426840">
          <w:marLeft w:val="835"/>
          <w:marRight w:val="0"/>
          <w:marTop w:val="0"/>
          <w:marBottom w:val="0"/>
          <w:divBdr>
            <w:top w:val="none" w:sz="0" w:space="0" w:color="auto"/>
            <w:left w:val="none" w:sz="0" w:space="0" w:color="auto"/>
            <w:bottom w:val="none" w:sz="0" w:space="0" w:color="auto"/>
            <w:right w:val="none" w:sz="0" w:space="0" w:color="auto"/>
          </w:divBdr>
        </w:div>
        <w:div w:id="1802842629">
          <w:marLeft w:val="835"/>
          <w:marRight w:val="0"/>
          <w:marTop w:val="0"/>
          <w:marBottom w:val="0"/>
          <w:divBdr>
            <w:top w:val="none" w:sz="0" w:space="0" w:color="auto"/>
            <w:left w:val="none" w:sz="0" w:space="0" w:color="auto"/>
            <w:bottom w:val="none" w:sz="0" w:space="0" w:color="auto"/>
            <w:right w:val="none" w:sz="0" w:space="0" w:color="auto"/>
          </w:divBdr>
        </w:div>
        <w:div w:id="39674420">
          <w:marLeft w:val="2102"/>
          <w:marRight w:val="0"/>
          <w:marTop w:val="0"/>
          <w:marBottom w:val="60"/>
          <w:divBdr>
            <w:top w:val="none" w:sz="0" w:space="0" w:color="auto"/>
            <w:left w:val="none" w:sz="0" w:space="0" w:color="auto"/>
            <w:bottom w:val="none" w:sz="0" w:space="0" w:color="auto"/>
            <w:right w:val="none" w:sz="0" w:space="0" w:color="auto"/>
          </w:divBdr>
        </w:div>
        <w:div w:id="827133787">
          <w:marLeft w:val="2102"/>
          <w:marRight w:val="0"/>
          <w:marTop w:val="0"/>
          <w:marBottom w:val="60"/>
          <w:divBdr>
            <w:top w:val="none" w:sz="0" w:space="0" w:color="auto"/>
            <w:left w:val="none" w:sz="0" w:space="0" w:color="auto"/>
            <w:bottom w:val="none" w:sz="0" w:space="0" w:color="auto"/>
            <w:right w:val="none" w:sz="0" w:space="0" w:color="auto"/>
          </w:divBdr>
        </w:div>
        <w:div w:id="219903861">
          <w:marLeft w:val="835"/>
          <w:marRight w:val="0"/>
          <w:marTop w:val="0"/>
          <w:marBottom w:val="0"/>
          <w:divBdr>
            <w:top w:val="none" w:sz="0" w:space="0" w:color="auto"/>
            <w:left w:val="none" w:sz="0" w:space="0" w:color="auto"/>
            <w:bottom w:val="none" w:sz="0" w:space="0" w:color="auto"/>
            <w:right w:val="none" w:sz="0" w:space="0" w:color="auto"/>
          </w:divBdr>
        </w:div>
        <w:div w:id="1677535254">
          <w:marLeft w:val="2102"/>
          <w:marRight w:val="0"/>
          <w:marTop w:val="0"/>
          <w:marBottom w:val="60"/>
          <w:divBdr>
            <w:top w:val="none" w:sz="0" w:space="0" w:color="auto"/>
            <w:left w:val="none" w:sz="0" w:space="0" w:color="auto"/>
            <w:bottom w:val="none" w:sz="0" w:space="0" w:color="auto"/>
            <w:right w:val="none" w:sz="0" w:space="0" w:color="auto"/>
          </w:divBdr>
        </w:div>
        <w:div w:id="1332639293">
          <w:marLeft w:val="2102"/>
          <w:marRight w:val="0"/>
          <w:marTop w:val="0"/>
          <w:marBottom w:val="6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5574810">
      <w:bodyDiv w:val="1"/>
      <w:marLeft w:val="0"/>
      <w:marRight w:val="0"/>
      <w:marTop w:val="0"/>
      <w:marBottom w:val="0"/>
      <w:divBdr>
        <w:top w:val="none" w:sz="0" w:space="0" w:color="auto"/>
        <w:left w:val="none" w:sz="0" w:space="0" w:color="auto"/>
        <w:bottom w:val="none" w:sz="0" w:space="0" w:color="auto"/>
        <w:right w:val="none" w:sz="0" w:space="0" w:color="auto"/>
      </w:divBdr>
      <w:divsChild>
        <w:div w:id="1591429750">
          <w:marLeft w:val="2102"/>
          <w:marRight w:val="0"/>
          <w:marTop w:val="13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896393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8361472">
      <w:bodyDiv w:val="1"/>
      <w:marLeft w:val="0"/>
      <w:marRight w:val="0"/>
      <w:marTop w:val="0"/>
      <w:marBottom w:val="0"/>
      <w:divBdr>
        <w:top w:val="none" w:sz="0" w:space="0" w:color="auto"/>
        <w:left w:val="none" w:sz="0" w:space="0" w:color="auto"/>
        <w:bottom w:val="none" w:sz="0" w:space="0" w:color="auto"/>
        <w:right w:val="none" w:sz="0" w:space="0" w:color="auto"/>
      </w:divBdr>
      <w:divsChild>
        <w:div w:id="52781669">
          <w:marLeft w:val="835"/>
          <w:marRight w:val="0"/>
          <w:marTop w:val="0"/>
          <w:marBottom w:val="0"/>
          <w:divBdr>
            <w:top w:val="none" w:sz="0" w:space="0" w:color="auto"/>
            <w:left w:val="none" w:sz="0" w:space="0" w:color="auto"/>
            <w:bottom w:val="none" w:sz="0" w:space="0" w:color="auto"/>
            <w:right w:val="none" w:sz="0" w:space="0" w:color="auto"/>
          </w:divBdr>
        </w:div>
        <w:div w:id="408844584">
          <w:marLeft w:val="2102"/>
          <w:marRight w:val="0"/>
          <w:marTop w:val="0"/>
          <w:marBottom w:val="60"/>
          <w:divBdr>
            <w:top w:val="none" w:sz="0" w:space="0" w:color="auto"/>
            <w:left w:val="none" w:sz="0" w:space="0" w:color="auto"/>
            <w:bottom w:val="none" w:sz="0" w:space="0" w:color="auto"/>
            <w:right w:val="none" w:sz="0" w:space="0" w:color="auto"/>
          </w:divBdr>
        </w:div>
        <w:div w:id="140273517">
          <w:marLeft w:val="2102"/>
          <w:marRight w:val="0"/>
          <w:marTop w:val="0"/>
          <w:marBottom w:val="60"/>
          <w:divBdr>
            <w:top w:val="none" w:sz="0" w:space="0" w:color="auto"/>
            <w:left w:val="none" w:sz="0" w:space="0" w:color="auto"/>
            <w:bottom w:val="none" w:sz="0" w:space="0" w:color="auto"/>
            <w:right w:val="none" w:sz="0" w:space="0" w:color="auto"/>
          </w:divBdr>
        </w:div>
        <w:div w:id="137117404">
          <w:marLeft w:val="2822"/>
          <w:marRight w:val="0"/>
          <w:marTop w:val="0"/>
          <w:marBottom w:val="60"/>
          <w:divBdr>
            <w:top w:val="none" w:sz="0" w:space="0" w:color="auto"/>
            <w:left w:val="none" w:sz="0" w:space="0" w:color="auto"/>
            <w:bottom w:val="none" w:sz="0" w:space="0" w:color="auto"/>
            <w:right w:val="none" w:sz="0" w:space="0" w:color="auto"/>
          </w:divBdr>
        </w:div>
        <w:div w:id="485753359">
          <w:marLeft w:val="2822"/>
          <w:marRight w:val="0"/>
          <w:marTop w:val="0"/>
          <w:marBottom w:val="60"/>
          <w:divBdr>
            <w:top w:val="none" w:sz="0" w:space="0" w:color="auto"/>
            <w:left w:val="none" w:sz="0" w:space="0" w:color="auto"/>
            <w:bottom w:val="none" w:sz="0" w:space="0" w:color="auto"/>
            <w:right w:val="none" w:sz="0" w:space="0" w:color="auto"/>
          </w:divBdr>
        </w:div>
        <w:div w:id="1327711048">
          <w:marLeft w:val="2102"/>
          <w:marRight w:val="0"/>
          <w:marTop w:val="0"/>
          <w:marBottom w:val="60"/>
          <w:divBdr>
            <w:top w:val="none" w:sz="0" w:space="0" w:color="auto"/>
            <w:left w:val="none" w:sz="0" w:space="0" w:color="auto"/>
            <w:bottom w:val="none" w:sz="0" w:space="0" w:color="auto"/>
            <w:right w:val="none" w:sz="0" w:space="0" w:color="auto"/>
          </w:divBdr>
        </w:div>
        <w:div w:id="100270642">
          <w:marLeft w:val="2822"/>
          <w:marRight w:val="0"/>
          <w:marTop w:val="0"/>
          <w:marBottom w:val="60"/>
          <w:divBdr>
            <w:top w:val="none" w:sz="0" w:space="0" w:color="auto"/>
            <w:left w:val="none" w:sz="0" w:space="0" w:color="auto"/>
            <w:bottom w:val="none" w:sz="0" w:space="0" w:color="auto"/>
            <w:right w:val="none" w:sz="0" w:space="0" w:color="auto"/>
          </w:divBdr>
        </w:div>
        <w:div w:id="1174497784">
          <w:marLeft w:val="2822"/>
          <w:marRight w:val="0"/>
          <w:marTop w:val="0"/>
          <w:marBottom w:val="6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53</cp:revision>
  <cp:lastPrinted>2001-04-23T09:30:00Z</cp:lastPrinted>
  <dcterms:created xsi:type="dcterms:W3CDTF">2019-01-14T13:29:00Z</dcterms:created>
  <dcterms:modified xsi:type="dcterms:W3CDTF">2021-03-30T09:06:00Z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1617095163</vt:lpwstr>
  </property>
</Properties>
</file>