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58FA5B" w14:textId="541C92AC" w:rsidR="00FA5FA5" w:rsidRDefault="00FA5FA5" w:rsidP="00FA5FA5">
      <w:pPr>
        <w:pStyle w:val="CRCoverPage"/>
        <w:tabs>
          <w:tab w:val="right" w:pos="9639"/>
        </w:tabs>
        <w:spacing w:after="0"/>
        <w:rPr>
          <w:b/>
          <w:i/>
          <w:noProof/>
          <w:sz w:val="28"/>
        </w:rPr>
      </w:pPr>
      <w:r>
        <w:rPr>
          <w:b/>
          <w:noProof/>
          <w:sz w:val="24"/>
        </w:rPr>
        <w:t>3GPP TSG-CT WG4 Meeting #103-e</w:t>
      </w:r>
      <w:r>
        <w:rPr>
          <w:b/>
          <w:i/>
          <w:noProof/>
          <w:sz w:val="28"/>
        </w:rPr>
        <w:tab/>
      </w:r>
      <w:r w:rsidR="008B7637">
        <w:rPr>
          <w:b/>
          <w:noProof/>
          <w:sz w:val="24"/>
        </w:rPr>
        <w:t>C4-212009</w:t>
      </w:r>
    </w:p>
    <w:p w14:paraId="48895784" w14:textId="586AB163" w:rsidR="00FA5FA5" w:rsidRDefault="00FA5FA5" w:rsidP="00FA5FA5">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p w14:paraId="7146E855" w14:textId="77777777" w:rsidR="00DD40D2" w:rsidRPr="007B5456" w:rsidRDefault="00DD40D2">
      <w:pPr>
        <w:spacing w:after="120"/>
        <w:ind w:left="1985" w:hanging="1985"/>
        <w:rPr>
          <w:rFonts w:ascii="Arial" w:hAnsi="Arial" w:cs="Arial"/>
          <w:bCs/>
        </w:rPr>
      </w:pPr>
    </w:p>
    <w:p w14:paraId="484BE995" w14:textId="1B47DBD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C279D">
        <w:rPr>
          <w:rFonts w:ascii="Arial" w:hAnsi="Arial" w:cs="Arial"/>
          <w:b/>
          <w:bCs/>
        </w:rPr>
        <w:t>Huawei</w:t>
      </w:r>
    </w:p>
    <w:p w14:paraId="234CD7C4" w14:textId="088E4B8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4C279D">
        <w:rPr>
          <w:rFonts w:ascii="Arial" w:hAnsi="Arial" w:cs="Arial"/>
          <w:b/>
          <w:bCs/>
        </w:rPr>
        <w:t>Discussion paper on</w:t>
      </w:r>
      <w:r>
        <w:rPr>
          <w:rFonts w:ascii="Arial" w:hAnsi="Arial" w:cs="Arial"/>
          <w:b/>
          <w:bCs/>
        </w:rPr>
        <w:t xml:space="preserve"> </w:t>
      </w:r>
      <w:r w:rsidR="004D45B9">
        <w:rPr>
          <w:rFonts w:ascii="Arial" w:hAnsi="Arial" w:cs="Arial"/>
          <w:b/>
          <w:bCs/>
        </w:rPr>
        <w:t>OAuth misalignment between stage 2 and stage 3</w:t>
      </w:r>
      <w:r>
        <w:rPr>
          <w:rFonts w:ascii="Arial" w:hAnsi="Arial" w:cs="Arial"/>
          <w:b/>
          <w:bCs/>
        </w:rPr>
        <w:t xml:space="preserve"> </w:t>
      </w:r>
    </w:p>
    <w:p w14:paraId="0409FC2C" w14:textId="5BA18CFF" w:rsidR="008B7637" w:rsidRDefault="008B7637" w:rsidP="008B7637">
      <w:pPr>
        <w:spacing w:after="120"/>
        <w:ind w:left="1985" w:hanging="1985"/>
        <w:rPr>
          <w:rFonts w:ascii="Arial" w:hAnsi="Arial" w:cs="Arial"/>
          <w:b/>
          <w:bCs/>
          <w:lang w:val="en-US" w:eastAsia="zh-CN"/>
        </w:rPr>
      </w:pPr>
      <w:r>
        <w:rPr>
          <w:rFonts w:ascii="Arial" w:hAnsi="Arial" w:cs="Arial"/>
          <w:b/>
          <w:bCs/>
          <w:lang w:val="en-US"/>
        </w:rPr>
        <w:t>Release:</w:t>
      </w:r>
      <w:r>
        <w:rPr>
          <w:rFonts w:ascii="Arial" w:hAnsi="Arial" w:cs="Arial"/>
          <w:b/>
          <w:bCs/>
          <w:lang w:val="en-US"/>
        </w:rPr>
        <w:tab/>
        <w:t>Rel-17</w:t>
      </w:r>
    </w:p>
    <w:p w14:paraId="55FE3D7D" w14:textId="3E105588" w:rsidR="00236D1F" w:rsidRDefault="008B7637">
      <w:pPr>
        <w:spacing w:after="120"/>
        <w:ind w:left="1985" w:hanging="1985"/>
        <w:rPr>
          <w:rFonts w:ascii="Arial" w:hAnsi="Arial" w:cs="Arial"/>
          <w:b/>
          <w:bCs/>
        </w:rPr>
      </w:pPr>
      <w:r>
        <w:rPr>
          <w:rFonts w:ascii="Arial" w:hAnsi="Arial" w:cs="Arial"/>
          <w:b/>
          <w:bCs/>
        </w:rPr>
        <w:t>Agenda item:</w:t>
      </w:r>
      <w:r>
        <w:rPr>
          <w:rFonts w:ascii="Arial" w:hAnsi="Arial" w:cs="Arial"/>
          <w:b/>
          <w:bCs/>
        </w:rPr>
        <w:tab/>
        <w:t>6.3.2</w:t>
      </w:r>
      <w:r w:rsidR="001856A9">
        <w:rPr>
          <w:rFonts w:ascii="Arial" w:hAnsi="Arial" w:cs="Arial"/>
          <w:b/>
          <w:bCs/>
        </w:rPr>
        <w:t xml:space="preserve"> (TEI17-NRF</w:t>
      </w:r>
      <w:r w:rsidR="004C279D">
        <w:rPr>
          <w:rFonts w:ascii="Arial" w:hAnsi="Arial" w:cs="Arial"/>
          <w:b/>
          <w:bCs/>
        </w:rPr>
        <w:t>)</w:t>
      </w:r>
    </w:p>
    <w:p w14:paraId="1589C299" w14:textId="47E8E8C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DE90935" w14:textId="1FA603D3" w:rsidR="0092048D" w:rsidRDefault="0092048D">
      <w:pPr>
        <w:rPr>
          <w:rFonts w:ascii="Arial" w:hAnsi="Arial" w:cs="Arial"/>
          <w:b/>
          <w:bCs/>
        </w:rPr>
      </w:pPr>
      <w:r>
        <w:rPr>
          <w:rFonts w:ascii="Arial" w:hAnsi="Arial" w:cs="Arial"/>
          <w:b/>
          <w:bCs/>
        </w:rPr>
        <w:t>1. Intro</w:t>
      </w:r>
    </w:p>
    <w:p w14:paraId="7B379D9A" w14:textId="11CEE499" w:rsidR="0092048D" w:rsidRDefault="00525978">
      <w:pPr>
        <w:rPr>
          <w:bCs/>
        </w:rPr>
      </w:pPr>
      <w:r>
        <w:rPr>
          <w:bCs/>
        </w:rPr>
        <w:t>In February 2021, CT4#102e r</w:t>
      </w:r>
      <w:r w:rsidR="00DF0BBC">
        <w:rPr>
          <w:bCs/>
        </w:rPr>
        <w:t xml:space="preserve">eceived </w:t>
      </w:r>
      <w:r>
        <w:rPr>
          <w:bCs/>
        </w:rPr>
        <w:t>from SA3 a reply LS "</w:t>
      </w:r>
      <w:r w:rsidRPr="00525978">
        <w:rPr>
          <w:bCs/>
        </w:rPr>
        <w:t>Misalignment on access token request requirement TS 29.510 and 33.501</w:t>
      </w:r>
      <w:r>
        <w:rPr>
          <w:bCs/>
        </w:rPr>
        <w:t xml:space="preserve">" in </w:t>
      </w:r>
      <w:r w:rsidRPr="00525978">
        <w:rPr>
          <w:bCs/>
        </w:rPr>
        <w:t>C4-211156</w:t>
      </w:r>
      <w:r>
        <w:rPr>
          <w:bCs/>
        </w:rPr>
        <w:t xml:space="preserve"> (</w:t>
      </w:r>
      <w:r w:rsidRPr="00525978">
        <w:rPr>
          <w:bCs/>
        </w:rPr>
        <w:t>S3-203495</w:t>
      </w:r>
      <w:r>
        <w:rPr>
          <w:bCs/>
        </w:rPr>
        <w:t>). The LS triggered a discussion, but CT4 failed to reach agreements. This paper tries to explain the controversy and also propose a way forward.</w:t>
      </w:r>
    </w:p>
    <w:p w14:paraId="7E0CBE85" w14:textId="77777777" w:rsidR="00525978" w:rsidRDefault="00525978">
      <w:pPr>
        <w:rPr>
          <w:bCs/>
        </w:rPr>
      </w:pPr>
    </w:p>
    <w:p w14:paraId="06732F3B" w14:textId="4E2C1621" w:rsidR="00525978" w:rsidRDefault="00525978" w:rsidP="00525978">
      <w:pPr>
        <w:rPr>
          <w:rFonts w:ascii="Arial" w:hAnsi="Arial" w:cs="Arial"/>
          <w:b/>
          <w:bCs/>
        </w:rPr>
      </w:pPr>
      <w:r>
        <w:rPr>
          <w:rFonts w:ascii="Arial" w:hAnsi="Arial" w:cs="Arial"/>
          <w:b/>
          <w:bCs/>
        </w:rPr>
        <w:t>2. Background</w:t>
      </w:r>
    </w:p>
    <w:p w14:paraId="0C59C808" w14:textId="0FA23D1F" w:rsidR="00525978" w:rsidRDefault="00525978" w:rsidP="00DF0BBC">
      <w:pPr>
        <w:rPr>
          <w:bCs/>
        </w:rPr>
      </w:pPr>
      <w:r>
        <w:rPr>
          <w:bCs/>
        </w:rPr>
        <w:t>Let's compare two quotes from stage 2 (TS 33.501 under SA3 control) and stage 3 (TS 29.510 under CT4 control).</w:t>
      </w:r>
    </w:p>
    <w:p w14:paraId="5E0F92D2" w14:textId="77777777" w:rsidR="00525978" w:rsidRDefault="00525978" w:rsidP="00DF0BBC">
      <w:pPr>
        <w:rPr>
          <w:bCs/>
        </w:rPr>
      </w:pPr>
    </w:p>
    <w:p w14:paraId="0494DA87" w14:textId="49B7A347" w:rsidR="00525978" w:rsidRPr="00525978" w:rsidRDefault="00DF0BBC" w:rsidP="00DF0BBC">
      <w:pPr>
        <w:rPr>
          <w:bCs/>
          <w:color w:val="0070C0"/>
        </w:rPr>
      </w:pPr>
      <w:r w:rsidRPr="00525978">
        <w:rPr>
          <w:bCs/>
          <w:color w:val="0070C0"/>
        </w:rPr>
        <w:t>Quote</w:t>
      </w:r>
      <w:r w:rsidR="000C4F21">
        <w:rPr>
          <w:bCs/>
          <w:color w:val="0070C0"/>
        </w:rPr>
        <w:t>s</w:t>
      </w:r>
      <w:r w:rsidRPr="00525978">
        <w:rPr>
          <w:bCs/>
          <w:color w:val="0070C0"/>
        </w:rPr>
        <w:t xml:space="preserve"> from </w:t>
      </w:r>
      <w:r w:rsidR="00525978" w:rsidRPr="00525978">
        <w:rPr>
          <w:bCs/>
          <w:color w:val="0070C0"/>
        </w:rPr>
        <w:t>clause</w:t>
      </w:r>
      <w:r w:rsidR="000C4F21">
        <w:rPr>
          <w:bCs/>
          <w:color w:val="0070C0"/>
        </w:rPr>
        <w:t>s</w:t>
      </w:r>
      <w:r w:rsidR="00525978" w:rsidRPr="00525978">
        <w:rPr>
          <w:bCs/>
          <w:color w:val="0070C0"/>
        </w:rPr>
        <w:t xml:space="preserve"> 13.4.1.1.1</w:t>
      </w:r>
      <w:r w:rsidR="000C4F21">
        <w:rPr>
          <w:bCs/>
          <w:color w:val="0070C0"/>
        </w:rPr>
        <w:t xml:space="preserve"> and 13.4.1.1.2</w:t>
      </w:r>
      <w:r w:rsidR="00525978" w:rsidRPr="00525978">
        <w:rPr>
          <w:bCs/>
          <w:color w:val="0070C0"/>
        </w:rPr>
        <w:t xml:space="preserve"> </w:t>
      </w:r>
      <w:r w:rsidR="000C4F21">
        <w:rPr>
          <w:bCs/>
          <w:color w:val="0070C0"/>
        </w:rPr>
        <w:t>of</w:t>
      </w:r>
      <w:r w:rsidR="00525978" w:rsidRPr="00525978">
        <w:rPr>
          <w:bCs/>
          <w:color w:val="0070C0"/>
        </w:rPr>
        <w:t xml:space="preserve"> TS 33.501</w:t>
      </w:r>
      <w:r w:rsidR="003D7729">
        <w:rPr>
          <w:bCs/>
          <w:color w:val="0070C0"/>
        </w:rPr>
        <w:t>v16.5.0 (2020-12)</w:t>
      </w:r>
    </w:p>
    <w:p w14:paraId="54BF68FC" w14:textId="5D901521" w:rsidR="00DF0BBC" w:rsidRDefault="00DF0BBC" w:rsidP="00525978">
      <w:pPr>
        <w:ind w:left="720"/>
        <w:rPr>
          <w:bCs/>
        </w:rPr>
      </w:pPr>
      <w:r w:rsidRPr="00DF0BBC">
        <w:rPr>
          <w:bCs/>
        </w:rPr>
        <w:t>OAuth 2.0 client (NF Service Consumer) registration with the OAuth 2.0 authorization server (NRF)</w:t>
      </w:r>
    </w:p>
    <w:p w14:paraId="511ED8C8" w14:textId="77777777" w:rsidR="00525978" w:rsidRPr="00DF0BBC" w:rsidRDefault="00525978" w:rsidP="00525978">
      <w:pPr>
        <w:ind w:left="720"/>
        <w:rPr>
          <w:bCs/>
        </w:rPr>
      </w:pPr>
    </w:p>
    <w:p w14:paraId="4E2B7113" w14:textId="77777777" w:rsidR="00DF0BBC" w:rsidRDefault="00DF0BBC" w:rsidP="00525978">
      <w:pPr>
        <w:ind w:left="720"/>
        <w:rPr>
          <w:bCs/>
        </w:rPr>
      </w:pPr>
      <w:r w:rsidRPr="00DF0BBC">
        <w:rPr>
          <w:bCs/>
        </w:rPr>
        <w:t xml:space="preserve">The NF Service registration procedure, as defined in clause 4.17.1 of TS 23.502 [8], </w:t>
      </w:r>
      <w:r w:rsidRPr="00525978">
        <w:rPr>
          <w:bCs/>
          <w:highlight w:val="yellow"/>
        </w:rPr>
        <w:t>shall be used</w:t>
      </w:r>
      <w:r w:rsidRPr="00DF0BBC">
        <w:rPr>
          <w:bCs/>
        </w:rPr>
        <w:t xml:space="preserve"> to register the OAuth 2.0 client (NF Service Consumer) with the OAuth 2.0 Authorization server (NRF), as described in clause 2.0 of RFC 6749 [43]. The client id, used during OAuth 2.0 registration, shall be the NF Instance Id of the NF.</w:t>
      </w:r>
    </w:p>
    <w:p w14:paraId="62114A68" w14:textId="05A33282" w:rsidR="000C4F21" w:rsidRDefault="000C4F21" w:rsidP="00525978">
      <w:pPr>
        <w:ind w:left="720"/>
        <w:rPr>
          <w:bCs/>
        </w:rPr>
      </w:pPr>
      <w:r>
        <w:rPr>
          <w:bCs/>
        </w:rPr>
        <w:t>…</w:t>
      </w:r>
    </w:p>
    <w:p w14:paraId="3A460FF7" w14:textId="77777777" w:rsidR="000C4F21" w:rsidRPr="000C4F21" w:rsidRDefault="000C4F21" w:rsidP="000C4F21">
      <w:pPr>
        <w:ind w:left="720"/>
        <w:rPr>
          <w:bCs/>
        </w:rPr>
      </w:pPr>
      <w:r w:rsidRPr="000C4F21">
        <w:rPr>
          <w:bCs/>
        </w:rPr>
        <w:t>The complete service request is a two-step process including requesting an access token by NF Service Consumer (Step 1, i.e. 1a or 1b), and then verification of the access token by NF Service Producer (Step 2).</w:t>
      </w:r>
    </w:p>
    <w:p w14:paraId="2CDF3B5E" w14:textId="77777777" w:rsidR="000C4F21" w:rsidRPr="000C4F21" w:rsidRDefault="000C4F21" w:rsidP="000C4F21">
      <w:pPr>
        <w:ind w:left="720"/>
        <w:rPr>
          <w:bCs/>
        </w:rPr>
      </w:pPr>
      <w:r w:rsidRPr="000C4F21">
        <w:rPr>
          <w:bCs/>
        </w:rPr>
        <w:t>Step 1</w:t>
      </w:r>
    </w:p>
    <w:p w14:paraId="0AF54750" w14:textId="77777777" w:rsidR="000C4F21" w:rsidRPr="000C4F21" w:rsidRDefault="000C4F21" w:rsidP="000C4F21">
      <w:pPr>
        <w:ind w:left="720"/>
        <w:rPr>
          <w:bCs/>
        </w:rPr>
      </w:pPr>
      <w:r w:rsidRPr="00711958">
        <w:rPr>
          <w:bCs/>
          <w:highlight w:val="yellow"/>
        </w:rPr>
        <w:t>Pre-requisite</w:t>
      </w:r>
      <w:r w:rsidRPr="000C4F21">
        <w:rPr>
          <w:bCs/>
        </w:rPr>
        <w:t>:</w:t>
      </w:r>
    </w:p>
    <w:p w14:paraId="7EBD8A72" w14:textId="77777777" w:rsidR="000C4F21" w:rsidRPr="000C4F21" w:rsidRDefault="000C4F21" w:rsidP="000C4F21">
      <w:pPr>
        <w:ind w:left="720"/>
        <w:rPr>
          <w:bCs/>
        </w:rPr>
      </w:pPr>
      <w:r w:rsidRPr="000C4F21">
        <w:rPr>
          <w:bCs/>
        </w:rPr>
        <w:t xml:space="preserve">- </w:t>
      </w:r>
      <w:r w:rsidRPr="00711958">
        <w:rPr>
          <w:bCs/>
          <w:highlight w:val="yellow"/>
        </w:rPr>
        <w:t>The NF Service consumer (OAuth2.0 client) is registered with the NRF (Authorization Server).</w:t>
      </w:r>
    </w:p>
    <w:p w14:paraId="48753512" w14:textId="77777777" w:rsidR="000C4F21" w:rsidRPr="000C4F21" w:rsidRDefault="000C4F21" w:rsidP="000C4F21">
      <w:pPr>
        <w:ind w:left="720"/>
        <w:rPr>
          <w:bCs/>
        </w:rPr>
      </w:pPr>
      <w:r w:rsidRPr="000C4F21">
        <w:rPr>
          <w:bCs/>
        </w:rPr>
        <w:t>- The NF Service Producer (OAuth2.0 resource server) is registered with the NRF (Authorization Server) with "additional scope" information per NF type.</w:t>
      </w:r>
    </w:p>
    <w:p w14:paraId="5381BE8B" w14:textId="77777777" w:rsidR="000C4F21" w:rsidRPr="000C4F21" w:rsidRDefault="000C4F21" w:rsidP="000C4F21">
      <w:pPr>
        <w:ind w:left="720"/>
        <w:rPr>
          <w:bCs/>
        </w:rPr>
      </w:pPr>
      <w:r w:rsidRPr="000C4F21">
        <w:rPr>
          <w:bCs/>
        </w:rPr>
        <w:t xml:space="preserve">- The NRF and NF service producer share the required credentials. </w:t>
      </w:r>
    </w:p>
    <w:p w14:paraId="60D5679D" w14:textId="3377AD85" w:rsidR="000C4F21" w:rsidRPr="00DF0BBC" w:rsidRDefault="000C4F21" w:rsidP="000C4F21">
      <w:pPr>
        <w:ind w:left="720"/>
        <w:rPr>
          <w:bCs/>
        </w:rPr>
      </w:pPr>
      <w:r w:rsidRPr="000C4F21">
        <w:rPr>
          <w:bCs/>
        </w:rPr>
        <w:t>- The NRF and NF have mutually authenticated each other.</w:t>
      </w:r>
    </w:p>
    <w:p w14:paraId="739DC476" w14:textId="77777777" w:rsidR="00DF0BBC" w:rsidRDefault="00DF0BBC" w:rsidP="00DF0BBC">
      <w:pPr>
        <w:rPr>
          <w:bCs/>
        </w:rPr>
      </w:pPr>
    </w:p>
    <w:p w14:paraId="45DCEB1B" w14:textId="77777777" w:rsidR="00D90AA3" w:rsidRDefault="00D90AA3" w:rsidP="00DF0BBC">
      <w:pPr>
        <w:rPr>
          <w:bCs/>
          <w:color w:val="0070C0"/>
        </w:rPr>
      </w:pPr>
      <w:r w:rsidRPr="00525978">
        <w:rPr>
          <w:bCs/>
          <w:color w:val="0070C0"/>
        </w:rPr>
        <w:t>Quote from clause</w:t>
      </w:r>
      <w:r>
        <w:rPr>
          <w:bCs/>
          <w:color w:val="0070C0"/>
        </w:rPr>
        <w:t xml:space="preserve"> </w:t>
      </w:r>
      <w:r w:rsidRPr="00D90AA3">
        <w:rPr>
          <w:bCs/>
          <w:color w:val="0070C0"/>
        </w:rPr>
        <w:t>13.3.1.3</w:t>
      </w:r>
      <w:r>
        <w:rPr>
          <w:bCs/>
          <w:color w:val="0070C0"/>
        </w:rPr>
        <w:t xml:space="preserve"> of</w:t>
      </w:r>
      <w:r w:rsidRPr="00525978">
        <w:rPr>
          <w:bCs/>
          <w:color w:val="0070C0"/>
        </w:rPr>
        <w:t xml:space="preserve"> TS 33.501</w:t>
      </w:r>
      <w:r>
        <w:rPr>
          <w:bCs/>
          <w:color w:val="0070C0"/>
        </w:rPr>
        <w:t>v16.5.0 (2020-12)</w:t>
      </w:r>
    </w:p>
    <w:p w14:paraId="3A71769F" w14:textId="77777777" w:rsidR="00D90AA3" w:rsidRPr="008D74EE" w:rsidRDefault="00D90AA3" w:rsidP="00D90AA3">
      <w:pPr>
        <w:pStyle w:val="NO"/>
      </w:pPr>
      <w:r>
        <w:t xml:space="preserve">NOTE 1: </w:t>
      </w:r>
      <w:r>
        <w:tab/>
      </w:r>
      <w:r w:rsidRPr="009971CC">
        <w:t>When a NF accesses any services</w:t>
      </w:r>
      <w:r>
        <w:t xml:space="preserve"> </w:t>
      </w:r>
      <w:r w:rsidRPr="009971CC">
        <w:t>(i.e. register, discover or request access token) provided by</w:t>
      </w:r>
      <w:r>
        <w:t xml:space="preserve"> </w:t>
      </w:r>
      <w:r w:rsidRPr="009971CC">
        <w:t>the NRF, the OAuth 2.0 access token for authorization between the NF and the NRF is not needed.</w:t>
      </w:r>
    </w:p>
    <w:p w14:paraId="32DEB4F4" w14:textId="7F3A8E1C" w:rsidR="00DF0BBC" w:rsidRPr="00525978" w:rsidRDefault="00525978" w:rsidP="00DF0BBC">
      <w:pPr>
        <w:rPr>
          <w:bCs/>
          <w:color w:val="0070C0"/>
        </w:rPr>
      </w:pPr>
      <w:r>
        <w:rPr>
          <w:bCs/>
          <w:color w:val="0070C0"/>
        </w:rPr>
        <w:t>Q</w:t>
      </w:r>
      <w:r w:rsidR="00DF0BBC" w:rsidRPr="00525978">
        <w:rPr>
          <w:bCs/>
          <w:color w:val="0070C0"/>
        </w:rPr>
        <w:t>uote</w:t>
      </w:r>
      <w:r w:rsidRPr="00525978">
        <w:rPr>
          <w:bCs/>
          <w:color w:val="0070C0"/>
        </w:rPr>
        <w:t xml:space="preserve"> from clause 6.1.8</w:t>
      </w:r>
      <w:r>
        <w:rPr>
          <w:bCs/>
          <w:color w:val="0070C0"/>
        </w:rPr>
        <w:t xml:space="preserve"> and 6.2.8</w:t>
      </w:r>
      <w:r w:rsidR="000C4F21">
        <w:rPr>
          <w:bCs/>
          <w:color w:val="0070C0"/>
        </w:rPr>
        <w:t xml:space="preserve"> of</w:t>
      </w:r>
      <w:r w:rsidRPr="00525978">
        <w:rPr>
          <w:bCs/>
          <w:color w:val="0070C0"/>
        </w:rPr>
        <w:t xml:space="preserve"> TS 29.510</w:t>
      </w:r>
      <w:r w:rsidR="003D7729">
        <w:rPr>
          <w:bCs/>
          <w:color w:val="0070C0"/>
        </w:rPr>
        <w:t>v16.6.0 (2020-12)</w:t>
      </w:r>
    </w:p>
    <w:p w14:paraId="261DF924" w14:textId="276F3EE2" w:rsidR="00DF0BBC" w:rsidRDefault="00DF0BBC" w:rsidP="00525978">
      <w:pPr>
        <w:ind w:left="720"/>
        <w:rPr>
          <w:bCs/>
        </w:rPr>
      </w:pPr>
      <w:r w:rsidRPr="004F24A2">
        <w:rPr>
          <w:bCs/>
        </w:rPr>
        <w:t xml:space="preserve">If Oauth2 authorization is used in the Nnrf_NFManagement API, an NF Service Consumer, prior to consuming </w:t>
      </w:r>
      <w:r w:rsidRPr="00DF0BBC">
        <w:rPr>
          <w:bCs/>
        </w:rPr>
        <w:t xml:space="preserve">services </w:t>
      </w:r>
      <w:r w:rsidRPr="00525978">
        <w:rPr>
          <w:bCs/>
          <w:highlight w:val="yellow"/>
        </w:rPr>
        <w:t>shall obtain</w:t>
      </w:r>
      <w:r w:rsidRPr="00DF0BBC">
        <w:rPr>
          <w:bCs/>
        </w:rPr>
        <w:t xml:space="preserve"> a "token" from the authorization server, by invoking the Access Token Request service, as described in clause 5.4.2.2.</w:t>
      </w:r>
    </w:p>
    <w:p w14:paraId="233DE797" w14:textId="03A2B02C" w:rsidR="00525978" w:rsidRPr="004F24A2" w:rsidRDefault="00525978" w:rsidP="00525978">
      <w:pPr>
        <w:ind w:left="720"/>
        <w:rPr>
          <w:bCs/>
        </w:rPr>
      </w:pPr>
      <w:r w:rsidRPr="004F24A2">
        <w:rPr>
          <w:bCs/>
        </w:rPr>
        <w:t>…</w:t>
      </w:r>
    </w:p>
    <w:p w14:paraId="66B04596" w14:textId="77777777" w:rsidR="00525978" w:rsidRDefault="00525978" w:rsidP="00525978">
      <w:pPr>
        <w:ind w:left="720"/>
        <w:rPr>
          <w:lang w:val="en-US"/>
        </w:rPr>
      </w:pPr>
      <w:r w:rsidRPr="004F24A2">
        <w:rPr>
          <w:lang w:val="en-US"/>
        </w:rPr>
        <w:t xml:space="preserve">If Oauth2 authorization is used, an NF Service Consumer, prior to consuming services offered by the </w:t>
      </w:r>
      <w:r w:rsidRPr="00690A26">
        <w:rPr>
          <w:lang w:val="en-US"/>
        </w:rPr>
        <w:t xml:space="preserve">Nnrf_NFDiscovery API, </w:t>
      </w:r>
      <w:r w:rsidRPr="003D7729">
        <w:rPr>
          <w:highlight w:val="yellow"/>
          <w:lang w:val="en-US"/>
        </w:rPr>
        <w:t>shall obtain</w:t>
      </w:r>
      <w:r w:rsidRPr="00690A26">
        <w:rPr>
          <w:lang w:val="en-US"/>
        </w:rPr>
        <w:t xml:space="preserve"> a "token" from the authorization server, by invoking the Access Token Request service, as described in clause 5.4.2.2.</w:t>
      </w:r>
    </w:p>
    <w:p w14:paraId="3FBFEA38" w14:textId="77777777" w:rsidR="005D2E2A" w:rsidRDefault="005D2E2A" w:rsidP="00525978">
      <w:pPr>
        <w:ind w:left="720"/>
        <w:rPr>
          <w:lang w:val="en-US"/>
        </w:rPr>
      </w:pPr>
    </w:p>
    <w:p w14:paraId="117EC513" w14:textId="346A1954" w:rsidR="0092048D" w:rsidRDefault="0092048D" w:rsidP="0092048D">
      <w:pPr>
        <w:rPr>
          <w:rFonts w:ascii="Arial" w:hAnsi="Arial" w:cs="Arial"/>
          <w:b/>
          <w:bCs/>
        </w:rPr>
      </w:pPr>
      <w:r>
        <w:rPr>
          <w:rFonts w:ascii="Arial" w:hAnsi="Arial" w:cs="Arial"/>
          <w:b/>
          <w:bCs/>
        </w:rPr>
        <w:t xml:space="preserve">3. </w:t>
      </w:r>
      <w:r w:rsidR="00711958">
        <w:rPr>
          <w:rFonts w:ascii="Arial" w:hAnsi="Arial" w:cs="Arial"/>
          <w:b/>
          <w:bCs/>
        </w:rPr>
        <w:t>Problem description</w:t>
      </w:r>
    </w:p>
    <w:p w14:paraId="299C69EA" w14:textId="770C4DA2" w:rsidR="00711958" w:rsidRDefault="00711958" w:rsidP="00711958">
      <w:pPr>
        <w:rPr>
          <w:bCs/>
        </w:rPr>
      </w:pPr>
      <w:r>
        <w:rPr>
          <w:bCs/>
        </w:rPr>
        <w:t>As of December 2020 there is the following misalignment.</w:t>
      </w:r>
    </w:p>
    <w:p w14:paraId="7097FEE9" w14:textId="77777777" w:rsidR="00711958" w:rsidRDefault="00711958" w:rsidP="00711958">
      <w:pPr>
        <w:rPr>
          <w:bCs/>
        </w:rPr>
      </w:pPr>
    </w:p>
    <w:p w14:paraId="121B26BC" w14:textId="77777777" w:rsidR="00711958" w:rsidRDefault="00711958" w:rsidP="00711958">
      <w:pPr>
        <w:rPr>
          <w:bCs/>
        </w:rPr>
      </w:pPr>
      <w:r>
        <w:rPr>
          <w:bCs/>
        </w:rPr>
        <w:t xml:space="preserve">Stage 2 requires that NFc </w:t>
      </w:r>
      <w:r w:rsidRPr="00DF0BBC">
        <w:rPr>
          <w:bCs/>
        </w:rPr>
        <w:t>(NF Service Consumer)</w:t>
      </w:r>
      <w:r>
        <w:rPr>
          <w:bCs/>
        </w:rPr>
        <w:t xml:space="preserve"> shall:</w:t>
      </w:r>
    </w:p>
    <w:p w14:paraId="36A9B7F7" w14:textId="77777777" w:rsidR="00711958" w:rsidRDefault="00711958" w:rsidP="00711958">
      <w:pPr>
        <w:numPr>
          <w:ilvl w:val="0"/>
          <w:numId w:val="5"/>
        </w:numPr>
        <w:rPr>
          <w:bCs/>
        </w:rPr>
      </w:pPr>
      <w:r>
        <w:rPr>
          <w:bCs/>
        </w:rPr>
        <w:t>NFc shall register with NRF</w:t>
      </w:r>
    </w:p>
    <w:p w14:paraId="28034504" w14:textId="77777777" w:rsidR="00711958" w:rsidRDefault="00711958" w:rsidP="00711958">
      <w:pPr>
        <w:numPr>
          <w:ilvl w:val="0"/>
          <w:numId w:val="5"/>
        </w:numPr>
        <w:rPr>
          <w:bCs/>
        </w:rPr>
      </w:pPr>
      <w:r>
        <w:rPr>
          <w:bCs/>
        </w:rPr>
        <w:t xml:space="preserve">Only after this the NFc can </w:t>
      </w:r>
      <w:r w:rsidRPr="00711958">
        <w:rPr>
          <w:bCs/>
        </w:rPr>
        <w:t>obtain a "token" from</w:t>
      </w:r>
      <w:r>
        <w:rPr>
          <w:bCs/>
        </w:rPr>
        <w:t xml:space="preserve"> the NRF</w:t>
      </w:r>
    </w:p>
    <w:p w14:paraId="207B6C78" w14:textId="77777777" w:rsidR="00711958" w:rsidRDefault="00711958" w:rsidP="00711958">
      <w:pPr>
        <w:rPr>
          <w:bCs/>
        </w:rPr>
      </w:pPr>
    </w:p>
    <w:p w14:paraId="39FCEC0B" w14:textId="77777777" w:rsidR="00711958" w:rsidRDefault="00711958" w:rsidP="00711958">
      <w:pPr>
        <w:rPr>
          <w:bCs/>
        </w:rPr>
      </w:pPr>
      <w:r>
        <w:rPr>
          <w:bCs/>
        </w:rPr>
        <w:t>Stage 3 describes a procedure, which reverses the order of events:</w:t>
      </w:r>
    </w:p>
    <w:p w14:paraId="36F84188" w14:textId="77777777" w:rsidR="00711958" w:rsidRDefault="00711958" w:rsidP="00711958">
      <w:pPr>
        <w:numPr>
          <w:ilvl w:val="0"/>
          <w:numId w:val="7"/>
        </w:numPr>
        <w:rPr>
          <w:bCs/>
        </w:rPr>
      </w:pPr>
      <w:r>
        <w:rPr>
          <w:bCs/>
        </w:rPr>
        <w:t xml:space="preserve">NFc shall </w:t>
      </w:r>
      <w:r w:rsidRPr="00711958">
        <w:rPr>
          <w:bCs/>
        </w:rPr>
        <w:t>obtain a "token" from</w:t>
      </w:r>
      <w:r>
        <w:rPr>
          <w:bCs/>
        </w:rPr>
        <w:t xml:space="preserve"> the NRF</w:t>
      </w:r>
    </w:p>
    <w:p w14:paraId="6CF6C895" w14:textId="77777777" w:rsidR="00711958" w:rsidRDefault="00711958" w:rsidP="00711958">
      <w:pPr>
        <w:numPr>
          <w:ilvl w:val="0"/>
          <w:numId w:val="7"/>
        </w:numPr>
        <w:rPr>
          <w:bCs/>
        </w:rPr>
      </w:pPr>
      <w:r>
        <w:rPr>
          <w:bCs/>
        </w:rPr>
        <w:lastRenderedPageBreak/>
        <w:t>Only after this the NFc can register with NRF</w:t>
      </w:r>
    </w:p>
    <w:p w14:paraId="5279F596" w14:textId="77777777" w:rsidR="00711958" w:rsidRDefault="00711958" w:rsidP="00711958">
      <w:pPr>
        <w:rPr>
          <w:bCs/>
        </w:rPr>
      </w:pPr>
    </w:p>
    <w:p w14:paraId="475B161C" w14:textId="050D37F5" w:rsidR="0092048D" w:rsidRDefault="00C04809" w:rsidP="0092048D">
      <w:pPr>
        <w:rPr>
          <w:bCs/>
        </w:rPr>
      </w:pPr>
      <w:r>
        <w:rPr>
          <w:bCs/>
        </w:rPr>
        <w:t xml:space="preserve">Generally speaking, stage 3 shall be aligned with to stage 2. For this particular scenario however there is an ambiguity if SA3 specified the said order of events on purpose, or if SA3 </w:t>
      </w:r>
      <w:r w:rsidR="00F9468F">
        <w:rPr>
          <w:bCs/>
        </w:rPr>
        <w:t>may have</w:t>
      </w:r>
      <w:r>
        <w:rPr>
          <w:bCs/>
        </w:rPr>
        <w:t xml:space="preserve"> possibly overlooked the following use case</w:t>
      </w:r>
      <w:r w:rsidR="00F9468F">
        <w:rPr>
          <w:bCs/>
        </w:rPr>
        <w:t xml:space="preserve">. </w:t>
      </w:r>
    </w:p>
    <w:p w14:paraId="124302F2" w14:textId="77777777" w:rsidR="00F9468F" w:rsidRDefault="00F9468F" w:rsidP="0092048D">
      <w:pPr>
        <w:rPr>
          <w:bCs/>
        </w:rPr>
      </w:pPr>
    </w:p>
    <w:p w14:paraId="2FD4C852" w14:textId="69BC3C2E" w:rsidR="00F9468F" w:rsidRDefault="00F9468F" w:rsidP="0092048D">
      <w:pPr>
        <w:rPr>
          <w:lang w:val="en-US"/>
        </w:rPr>
      </w:pPr>
      <w:r>
        <w:rPr>
          <w:bCs/>
        </w:rPr>
        <w:t xml:space="preserve">SBA architecture make use of certain type of </w:t>
      </w:r>
      <w:r>
        <w:rPr>
          <w:lang w:val="en-US"/>
        </w:rPr>
        <w:t xml:space="preserve">NF Service Consumers (NFc), which do not need to register with NRF. That is, such type of NFc can consume services offered by other NFc without being registered with NRF. For instance, </w:t>
      </w:r>
      <w:r w:rsidRPr="00F9468F">
        <w:rPr>
          <w:lang w:val="en-US"/>
        </w:rPr>
        <w:t>CBCF</w:t>
      </w:r>
      <w:r>
        <w:rPr>
          <w:lang w:val="en-US"/>
        </w:rPr>
        <w:t xml:space="preserve"> can consume AMF services and for doing that the </w:t>
      </w:r>
      <w:r w:rsidRPr="00F9468F">
        <w:rPr>
          <w:lang w:val="en-US"/>
        </w:rPr>
        <w:t>CBCF</w:t>
      </w:r>
      <w:r>
        <w:rPr>
          <w:lang w:val="en-US"/>
        </w:rPr>
        <w:t xml:space="preserve"> currently does not register with NRF.</w:t>
      </w:r>
      <w:r w:rsidR="0046337D">
        <w:rPr>
          <w:lang w:val="en-US"/>
        </w:rPr>
        <w:t xml:space="preserve"> What happens if such NFc needs to utilize benefits of the OAuth framework?</w:t>
      </w:r>
    </w:p>
    <w:p w14:paraId="55C21600" w14:textId="77777777" w:rsidR="00F9468F" w:rsidRDefault="00F9468F" w:rsidP="0092048D">
      <w:pPr>
        <w:rPr>
          <w:lang w:val="en-US"/>
        </w:rPr>
      </w:pPr>
    </w:p>
    <w:p w14:paraId="63F67F03" w14:textId="17A97506" w:rsidR="00F9468F" w:rsidRDefault="00F9468F" w:rsidP="00F9468F">
      <w:pPr>
        <w:rPr>
          <w:rFonts w:ascii="Arial" w:hAnsi="Arial" w:cs="Arial"/>
          <w:b/>
          <w:bCs/>
        </w:rPr>
      </w:pPr>
      <w:r>
        <w:rPr>
          <w:rFonts w:ascii="Arial" w:hAnsi="Arial" w:cs="Arial"/>
          <w:b/>
          <w:bCs/>
        </w:rPr>
        <w:t>4. Discussion</w:t>
      </w:r>
    </w:p>
    <w:p w14:paraId="32055A3B" w14:textId="1F5D17E0" w:rsidR="0046337D" w:rsidRDefault="004F24A2" w:rsidP="004F24A2">
      <w:pPr>
        <w:rPr>
          <w:bCs/>
        </w:rPr>
      </w:pPr>
      <w:r>
        <w:rPr>
          <w:bCs/>
        </w:rPr>
        <w:t>SA3 and CT4 had a joint conference call on 31 March. The discussion did not yield final agreements, but a moderate progress was made. A set of draft Rel-15 and Rel-16 CRs to TS 33.501 were shared on SA3 and CT4 reflectors, which propose the following solution:</w:t>
      </w:r>
    </w:p>
    <w:p w14:paraId="538F61B2" w14:textId="7DA9FDEF" w:rsidR="004F24A2" w:rsidRDefault="004F24A2" w:rsidP="004F24A2">
      <w:pPr>
        <w:numPr>
          <w:ilvl w:val="0"/>
          <w:numId w:val="9"/>
        </w:numPr>
        <w:rPr>
          <w:bCs/>
        </w:rPr>
      </w:pPr>
      <w:r w:rsidRPr="004F24A2">
        <w:rPr>
          <w:bCs/>
        </w:rPr>
        <w:t>NRF shall use the static authorization policy</w:t>
      </w:r>
      <w:r>
        <w:rPr>
          <w:bCs/>
        </w:rPr>
        <w:t xml:space="preserve"> when an NF consumes </w:t>
      </w:r>
      <w:r w:rsidRPr="004F24A2">
        <w:rPr>
          <w:bCs/>
        </w:rPr>
        <w:t>Nnrf_NFManagement</w:t>
      </w:r>
      <w:r>
        <w:rPr>
          <w:bCs/>
        </w:rPr>
        <w:t xml:space="preserve"> and Nnrf_NFDiscovery services</w:t>
      </w:r>
      <w:bookmarkStart w:id="0" w:name="_GoBack"/>
      <w:bookmarkEnd w:id="0"/>
      <w:r>
        <w:rPr>
          <w:bCs/>
        </w:rPr>
        <w:t>:</w:t>
      </w:r>
    </w:p>
    <w:p w14:paraId="3D3D5745" w14:textId="3EA3D69C" w:rsidR="004F24A2" w:rsidRDefault="004F24A2" w:rsidP="004F24A2">
      <w:pPr>
        <w:numPr>
          <w:ilvl w:val="1"/>
          <w:numId w:val="9"/>
        </w:numPr>
        <w:rPr>
          <w:bCs/>
        </w:rPr>
      </w:pPr>
      <w:r w:rsidRPr="004F24A2">
        <w:rPr>
          <w:bCs/>
        </w:rPr>
        <w:t>When a NF accesses any services (e.g. register, discover or request access token) provided by the NRF, the NRF shall use the static authorization policy to authorize the service request sent by the NF. Therefore, the OAuth 2.0 access token for authorization between the NF and the NRF is not needed and the NF shall not request an access token for consuming the NRF services. The NF may however request an access token from the NRF for consuming other NF producer services.</w:t>
      </w:r>
    </w:p>
    <w:p w14:paraId="43EDC8FF" w14:textId="77777777" w:rsidR="004F24A2" w:rsidRDefault="004F24A2" w:rsidP="004F24A2">
      <w:pPr>
        <w:numPr>
          <w:ilvl w:val="0"/>
          <w:numId w:val="9"/>
        </w:numPr>
        <w:rPr>
          <w:bCs/>
        </w:rPr>
      </w:pPr>
      <w:r>
        <w:rPr>
          <w:bCs/>
        </w:rPr>
        <w:t xml:space="preserve">Conditional usage of the </w:t>
      </w:r>
      <w:r w:rsidRPr="004F24A2">
        <w:rPr>
          <w:bCs/>
        </w:rPr>
        <w:t>NF Service registration</w:t>
      </w:r>
      <w:r>
        <w:rPr>
          <w:bCs/>
        </w:rPr>
        <w:t>:</w:t>
      </w:r>
    </w:p>
    <w:p w14:paraId="6741285C" w14:textId="2C51A764" w:rsidR="004F24A2" w:rsidRDefault="004F24A2" w:rsidP="004F24A2">
      <w:pPr>
        <w:numPr>
          <w:ilvl w:val="1"/>
          <w:numId w:val="9"/>
        </w:numPr>
        <w:rPr>
          <w:bCs/>
        </w:rPr>
      </w:pPr>
      <w:r>
        <w:rPr>
          <w:bCs/>
        </w:rPr>
        <w:t xml:space="preserve">The </w:t>
      </w:r>
      <w:r w:rsidRPr="004F24A2">
        <w:rPr>
          <w:bCs/>
        </w:rPr>
        <w:t>NF Service registration</w:t>
      </w:r>
      <w:r w:rsidRPr="004F24A2">
        <w:rPr>
          <w:bCs/>
        </w:rPr>
        <w:t xml:space="preserve"> procedure, as defined in clause 4.17.1 of TS 23.502 [8], shall be used to register the OAuth 2.0 client (NF Service Consumer) with the OAuth 2.0 Authorization server (NRF), as described in clause 2.0 of RFC 6749 [43] in the following cases: (a) the NF Service Consumer is subscribing to notification services at the NRF and (b) if the NF Service Consumer is also acting as a NF Service Producer. Otherwise, the NF Service registration procedure is not required and therefore is optional. The client id, used during OAuth 2.0 registration, shall be the NF Instance Id of the NF.</w:t>
      </w:r>
    </w:p>
    <w:p w14:paraId="2502788B" w14:textId="77777777" w:rsidR="004F24A2" w:rsidRDefault="004F24A2" w:rsidP="004F24A2">
      <w:pPr>
        <w:rPr>
          <w:bCs/>
        </w:rPr>
      </w:pPr>
    </w:p>
    <w:p w14:paraId="1887DBB3" w14:textId="77777777" w:rsidR="000C6E13" w:rsidRDefault="000C6E13" w:rsidP="00F9468F">
      <w:pPr>
        <w:rPr>
          <w:bCs/>
        </w:rPr>
      </w:pPr>
    </w:p>
    <w:p w14:paraId="3AA29EEF" w14:textId="33C019D9" w:rsidR="00502350" w:rsidRDefault="00502350" w:rsidP="00502350">
      <w:pPr>
        <w:rPr>
          <w:rFonts w:ascii="Arial" w:hAnsi="Arial" w:cs="Arial"/>
          <w:b/>
          <w:bCs/>
        </w:rPr>
      </w:pPr>
      <w:r>
        <w:rPr>
          <w:rFonts w:ascii="Arial" w:hAnsi="Arial" w:cs="Arial"/>
          <w:b/>
          <w:bCs/>
        </w:rPr>
        <w:t>5. Proposal</w:t>
      </w:r>
    </w:p>
    <w:p w14:paraId="38EA59AB" w14:textId="60822B59" w:rsidR="0092048D" w:rsidRDefault="00502350">
      <w:pPr>
        <w:pBdr>
          <w:bottom w:val="single" w:sz="12" w:space="1" w:color="auto"/>
        </w:pBdr>
        <w:rPr>
          <w:bCs/>
        </w:rPr>
      </w:pPr>
      <w:r>
        <w:rPr>
          <w:bCs/>
        </w:rPr>
        <w:t xml:space="preserve">It is proposed to adopt the </w:t>
      </w:r>
      <w:r w:rsidR="004F24A2">
        <w:rPr>
          <w:bCs/>
        </w:rPr>
        <w:t>principles outline in the above mentioned draft CRs</w:t>
      </w:r>
      <w:r>
        <w:rPr>
          <w:bCs/>
        </w:rPr>
        <w:t>.</w:t>
      </w:r>
    </w:p>
    <w:p w14:paraId="2452BF9E" w14:textId="77777777" w:rsidR="00502350" w:rsidRDefault="00502350">
      <w:pPr>
        <w:pBdr>
          <w:bottom w:val="single" w:sz="12" w:space="1" w:color="auto"/>
        </w:pBdr>
        <w:rPr>
          <w:bCs/>
        </w:rPr>
      </w:pPr>
    </w:p>
    <w:sectPr w:rsidR="0050235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CB8BF" w14:textId="77777777" w:rsidR="00865BB8" w:rsidRDefault="00865BB8">
      <w:r>
        <w:separator/>
      </w:r>
    </w:p>
  </w:endnote>
  <w:endnote w:type="continuationSeparator" w:id="0">
    <w:p w14:paraId="72CC1847" w14:textId="77777777" w:rsidR="00865BB8" w:rsidRDefault="00865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77755" w14:textId="77777777" w:rsidR="00865BB8" w:rsidRDefault="00865BB8">
      <w:r>
        <w:separator/>
      </w:r>
    </w:p>
  </w:footnote>
  <w:footnote w:type="continuationSeparator" w:id="0">
    <w:p w14:paraId="4E1DFB96" w14:textId="77777777" w:rsidR="00865BB8" w:rsidRDefault="00865B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30C56ED"/>
    <w:multiLevelType w:val="hybridMultilevel"/>
    <w:tmpl w:val="7E24B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653320FE"/>
    <w:multiLevelType w:val="hybridMultilevel"/>
    <w:tmpl w:val="C17C54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E40F14"/>
    <w:multiLevelType w:val="hybridMultilevel"/>
    <w:tmpl w:val="7E24B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E448BA"/>
    <w:multiLevelType w:val="hybridMultilevel"/>
    <w:tmpl w:val="AC6AF90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556627"/>
    <w:multiLevelType w:val="hybridMultilevel"/>
    <w:tmpl w:val="2E480AD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482A84"/>
    <w:multiLevelType w:val="hybridMultilevel"/>
    <w:tmpl w:val="9F180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7"/>
  </w:num>
  <w:num w:numId="5">
    <w:abstractNumId w:val="5"/>
  </w:num>
  <w:num w:numId="6">
    <w:abstractNumId w:val="2"/>
  </w:num>
  <w:num w:numId="7">
    <w:abstractNumId w:val="4"/>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2191A"/>
    <w:rsid w:val="00030CD4"/>
    <w:rsid w:val="00046686"/>
    <w:rsid w:val="00046FDD"/>
    <w:rsid w:val="00050925"/>
    <w:rsid w:val="00054884"/>
    <w:rsid w:val="00057E1E"/>
    <w:rsid w:val="00072A7C"/>
    <w:rsid w:val="000775E7"/>
    <w:rsid w:val="0007775C"/>
    <w:rsid w:val="00094F23"/>
    <w:rsid w:val="000967F4"/>
    <w:rsid w:val="000C4F21"/>
    <w:rsid w:val="000C6E13"/>
    <w:rsid w:val="000E0429"/>
    <w:rsid w:val="000F6E51"/>
    <w:rsid w:val="00102A24"/>
    <w:rsid w:val="0013259C"/>
    <w:rsid w:val="00135831"/>
    <w:rsid w:val="001376A6"/>
    <w:rsid w:val="0014413C"/>
    <w:rsid w:val="00166A1B"/>
    <w:rsid w:val="001856A9"/>
    <w:rsid w:val="00191AD5"/>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1305"/>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B079A"/>
    <w:rsid w:val="003D4593"/>
    <w:rsid w:val="003D7729"/>
    <w:rsid w:val="003E2C8B"/>
    <w:rsid w:val="003E710B"/>
    <w:rsid w:val="003F1C0E"/>
    <w:rsid w:val="004008D7"/>
    <w:rsid w:val="0040145D"/>
    <w:rsid w:val="00411339"/>
    <w:rsid w:val="004131BD"/>
    <w:rsid w:val="00416CEA"/>
    <w:rsid w:val="00421AFD"/>
    <w:rsid w:val="00432048"/>
    <w:rsid w:val="004518DB"/>
    <w:rsid w:val="0046337D"/>
    <w:rsid w:val="00476EAE"/>
    <w:rsid w:val="00477EBC"/>
    <w:rsid w:val="004A0A73"/>
    <w:rsid w:val="004A556C"/>
    <w:rsid w:val="004A661C"/>
    <w:rsid w:val="004C279D"/>
    <w:rsid w:val="004C4C9B"/>
    <w:rsid w:val="004D2312"/>
    <w:rsid w:val="004D2FA0"/>
    <w:rsid w:val="004D45B9"/>
    <w:rsid w:val="004E1010"/>
    <w:rsid w:val="004F24A2"/>
    <w:rsid w:val="0050202A"/>
    <w:rsid w:val="00502350"/>
    <w:rsid w:val="0052032E"/>
    <w:rsid w:val="00525978"/>
    <w:rsid w:val="00544D8F"/>
    <w:rsid w:val="00553BDE"/>
    <w:rsid w:val="00562495"/>
    <w:rsid w:val="00577727"/>
    <w:rsid w:val="005777AF"/>
    <w:rsid w:val="00586562"/>
    <w:rsid w:val="00593DC4"/>
    <w:rsid w:val="0059529B"/>
    <w:rsid w:val="005A3249"/>
    <w:rsid w:val="005A6ABC"/>
    <w:rsid w:val="005B1577"/>
    <w:rsid w:val="005B612C"/>
    <w:rsid w:val="005C0CC6"/>
    <w:rsid w:val="005C0FFC"/>
    <w:rsid w:val="005C3F71"/>
    <w:rsid w:val="005C7352"/>
    <w:rsid w:val="005D1F7E"/>
    <w:rsid w:val="005D2E2A"/>
    <w:rsid w:val="005E7235"/>
    <w:rsid w:val="005F4B34"/>
    <w:rsid w:val="0061514D"/>
    <w:rsid w:val="00616E18"/>
    <w:rsid w:val="00623AED"/>
    <w:rsid w:val="00632157"/>
    <w:rsid w:val="00633971"/>
    <w:rsid w:val="0064121E"/>
    <w:rsid w:val="00660354"/>
    <w:rsid w:val="00665B9B"/>
    <w:rsid w:val="00681A87"/>
    <w:rsid w:val="006D3D54"/>
    <w:rsid w:val="006E1A49"/>
    <w:rsid w:val="006F1B00"/>
    <w:rsid w:val="006F4B7A"/>
    <w:rsid w:val="00700A59"/>
    <w:rsid w:val="00710142"/>
    <w:rsid w:val="00711958"/>
    <w:rsid w:val="00712E81"/>
    <w:rsid w:val="00723919"/>
    <w:rsid w:val="007261D3"/>
    <w:rsid w:val="0074596C"/>
    <w:rsid w:val="00762474"/>
    <w:rsid w:val="007814A8"/>
    <w:rsid w:val="00781A62"/>
    <w:rsid w:val="00783C0E"/>
    <w:rsid w:val="00787383"/>
    <w:rsid w:val="00791B51"/>
    <w:rsid w:val="00795AD1"/>
    <w:rsid w:val="007B5456"/>
    <w:rsid w:val="007B5F65"/>
    <w:rsid w:val="007C43F3"/>
    <w:rsid w:val="007D3C7C"/>
    <w:rsid w:val="007F4C18"/>
    <w:rsid w:val="007F6574"/>
    <w:rsid w:val="00850CD4"/>
    <w:rsid w:val="00854A49"/>
    <w:rsid w:val="00865BB8"/>
    <w:rsid w:val="008A06BE"/>
    <w:rsid w:val="008A56FD"/>
    <w:rsid w:val="008B7637"/>
    <w:rsid w:val="008D3DA6"/>
    <w:rsid w:val="008F7444"/>
    <w:rsid w:val="0091399A"/>
    <w:rsid w:val="0092048D"/>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61169"/>
    <w:rsid w:val="00A63024"/>
    <w:rsid w:val="00A82FCC"/>
    <w:rsid w:val="00A906A4"/>
    <w:rsid w:val="00AA574E"/>
    <w:rsid w:val="00AD324E"/>
    <w:rsid w:val="00AD5B51"/>
    <w:rsid w:val="00AD7B78"/>
    <w:rsid w:val="00AF4118"/>
    <w:rsid w:val="00B3526C"/>
    <w:rsid w:val="00B47534"/>
    <w:rsid w:val="00B56C8B"/>
    <w:rsid w:val="00B84B54"/>
    <w:rsid w:val="00B92C7D"/>
    <w:rsid w:val="00B93BB2"/>
    <w:rsid w:val="00B9697B"/>
    <w:rsid w:val="00BA2D33"/>
    <w:rsid w:val="00BA46C7"/>
    <w:rsid w:val="00BA4DA4"/>
    <w:rsid w:val="00BB7B45"/>
    <w:rsid w:val="00BC2E5F"/>
    <w:rsid w:val="00BC481E"/>
    <w:rsid w:val="00BC5AF6"/>
    <w:rsid w:val="00BD3E51"/>
    <w:rsid w:val="00BF0A84"/>
    <w:rsid w:val="00C03706"/>
    <w:rsid w:val="00C03F46"/>
    <w:rsid w:val="00C04809"/>
    <w:rsid w:val="00C107D0"/>
    <w:rsid w:val="00C159BC"/>
    <w:rsid w:val="00C15A54"/>
    <w:rsid w:val="00C2214E"/>
    <w:rsid w:val="00C2519B"/>
    <w:rsid w:val="00C3782E"/>
    <w:rsid w:val="00C404D1"/>
    <w:rsid w:val="00C42176"/>
    <w:rsid w:val="00C52914"/>
    <w:rsid w:val="00C5567D"/>
    <w:rsid w:val="00C63F06"/>
    <w:rsid w:val="00C6590B"/>
    <w:rsid w:val="00C7131F"/>
    <w:rsid w:val="00CA5DB0"/>
    <w:rsid w:val="00CC58ED"/>
    <w:rsid w:val="00D145EC"/>
    <w:rsid w:val="00D17734"/>
    <w:rsid w:val="00D43C0B"/>
    <w:rsid w:val="00D44A74"/>
    <w:rsid w:val="00D57CD2"/>
    <w:rsid w:val="00D57E66"/>
    <w:rsid w:val="00D64099"/>
    <w:rsid w:val="00D73350"/>
    <w:rsid w:val="00D82231"/>
    <w:rsid w:val="00D8756E"/>
    <w:rsid w:val="00D90AA3"/>
    <w:rsid w:val="00D938DD"/>
    <w:rsid w:val="00D974EA"/>
    <w:rsid w:val="00DC0F52"/>
    <w:rsid w:val="00DC4726"/>
    <w:rsid w:val="00DD40D2"/>
    <w:rsid w:val="00DE5A6D"/>
    <w:rsid w:val="00DE5BBF"/>
    <w:rsid w:val="00DF0BBC"/>
    <w:rsid w:val="00E03A99"/>
    <w:rsid w:val="00E041CD"/>
    <w:rsid w:val="00E1463F"/>
    <w:rsid w:val="00E363A9"/>
    <w:rsid w:val="00E413E0"/>
    <w:rsid w:val="00E53AE3"/>
    <w:rsid w:val="00E5574A"/>
    <w:rsid w:val="00E64FB2"/>
    <w:rsid w:val="00E81E2C"/>
    <w:rsid w:val="00E85285"/>
    <w:rsid w:val="00E87F53"/>
    <w:rsid w:val="00EB5D2F"/>
    <w:rsid w:val="00EC10EC"/>
    <w:rsid w:val="00ED6080"/>
    <w:rsid w:val="00EE0176"/>
    <w:rsid w:val="00EF0942"/>
    <w:rsid w:val="00EF291F"/>
    <w:rsid w:val="00F0218C"/>
    <w:rsid w:val="00F0393B"/>
    <w:rsid w:val="00F20FFD"/>
    <w:rsid w:val="00F313DD"/>
    <w:rsid w:val="00F378BE"/>
    <w:rsid w:val="00F43120"/>
    <w:rsid w:val="00F51242"/>
    <w:rsid w:val="00F763A4"/>
    <w:rsid w:val="00F81CF2"/>
    <w:rsid w:val="00F941B8"/>
    <w:rsid w:val="00F9468F"/>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paragraph" w:customStyle="1" w:styleId="NO">
    <w:name w:val="NO"/>
    <w:basedOn w:val="Normal"/>
    <w:link w:val="NOChar"/>
    <w:qFormat/>
    <w:rsid w:val="00D90AA3"/>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D90AA3"/>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3072334">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7725973">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2</Pages>
  <Words>783</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Giorgi Gulbani</cp:lastModifiedBy>
  <cp:revision>62</cp:revision>
  <cp:lastPrinted>2001-04-23T09:30:00Z</cp:lastPrinted>
  <dcterms:created xsi:type="dcterms:W3CDTF">2019-01-14T13:29:00Z</dcterms:created>
  <dcterms:modified xsi:type="dcterms:W3CDTF">2021-04-06T15:15:00Z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1617721128</vt:lpwstr>
  </property>
</Properties>
</file>