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F1D" w:rsidRDefault="00D03F1D" w:rsidP="00D03F1D">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C4-205598</w:t>
      </w:r>
    </w:p>
    <w:p w:rsidR="00D03F1D" w:rsidRDefault="00D03F1D" w:rsidP="00D03F1D">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D03F1D" w:rsidRDefault="00D03F1D" w:rsidP="00D03F1D">
      <w:pPr>
        <w:pStyle w:val="CRCoverPage"/>
        <w:outlineLvl w:val="0"/>
        <w:rPr>
          <w:b/>
          <w:sz w:val="24"/>
        </w:rPr>
      </w:pPr>
    </w:p>
    <w:p w:rsidR="00D03F1D" w:rsidRPr="006B5418" w:rsidRDefault="00D03F1D" w:rsidP="00D03F1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D03F1D" w:rsidRDefault="00D03F1D" w:rsidP="00D03F1D">
      <w:pPr>
        <w:spacing w:after="120"/>
        <w:ind w:left="1985" w:hanging="1985"/>
        <w:rPr>
          <w:rFonts w:ascii="Arial" w:hAnsi="Arial" w:cs="Arial"/>
          <w:b/>
          <w:bCs/>
          <w:lang w:val="en-US"/>
        </w:rPr>
      </w:pPr>
      <w:r w:rsidRPr="006B5418">
        <w:rPr>
          <w:rFonts w:ascii="Arial" w:hAnsi="Arial" w:cs="Arial"/>
          <w:b/>
          <w:bCs/>
          <w:lang w:val="en-US"/>
        </w:rPr>
        <w:t>Titl</w:t>
      </w:r>
      <w:r>
        <w:rPr>
          <w:rFonts w:ascii="Arial" w:hAnsi="Arial" w:cs="Arial"/>
          <w:b/>
          <w:bCs/>
          <w:lang w:val="en-US"/>
        </w:rPr>
        <w:t>e:</w:t>
      </w:r>
      <w:r>
        <w:rPr>
          <w:rFonts w:ascii="Arial" w:hAnsi="Arial" w:cs="Arial"/>
          <w:b/>
          <w:bCs/>
          <w:lang w:val="en-US"/>
        </w:rPr>
        <w:tab/>
        <w:t xml:space="preserve">Discussion paper on the Revised </w:t>
      </w:r>
      <w:r w:rsidRPr="00D03F1D">
        <w:rPr>
          <w:rFonts w:ascii="Arial" w:hAnsi="Arial" w:cs="Arial"/>
          <w:b/>
          <w:bCs/>
          <w:lang w:val="en-US"/>
        </w:rPr>
        <w:t>CR 29.500 0189 Rel-17</w:t>
      </w:r>
    </w:p>
    <w:p w:rsidR="00D03F1D" w:rsidRPr="006B5418" w:rsidRDefault="00D03F1D" w:rsidP="00D03F1D">
      <w:pPr>
        <w:spacing w:after="120"/>
        <w:ind w:left="1985" w:hanging="1985"/>
        <w:rPr>
          <w:rFonts w:ascii="Arial" w:hAnsi="Arial" w:cs="Arial"/>
          <w:b/>
          <w:bCs/>
          <w:lang w:val="en-US"/>
        </w:rPr>
      </w:pPr>
      <w:r w:rsidRPr="006B5418">
        <w:rPr>
          <w:rFonts w:ascii="Arial" w:hAnsi="Arial" w:cs="Arial"/>
          <w:b/>
          <w:bCs/>
          <w:lang w:val="en-US"/>
        </w:rPr>
        <w:t>Spec:</w:t>
      </w:r>
      <w:r>
        <w:rPr>
          <w:rFonts w:ascii="Arial" w:hAnsi="Arial" w:cs="Arial"/>
          <w:b/>
          <w:bCs/>
          <w:lang w:val="en-US"/>
        </w:rPr>
        <w:tab/>
      </w:r>
      <w:r w:rsidRPr="002D63AB">
        <w:rPr>
          <w:rFonts w:ascii="Arial" w:hAnsi="Arial" w:cs="Arial"/>
          <w:b/>
          <w:bCs/>
          <w:lang w:val="en-US"/>
        </w:rPr>
        <w:t>3GPP TS 29.</w:t>
      </w:r>
      <w:r>
        <w:rPr>
          <w:rFonts w:ascii="Arial" w:hAnsi="Arial" w:cs="Arial"/>
          <w:b/>
          <w:bCs/>
          <w:lang w:val="en-US"/>
        </w:rPr>
        <w:t>5</w:t>
      </w:r>
      <w:r w:rsidR="008D742E">
        <w:rPr>
          <w:rFonts w:ascii="Arial" w:hAnsi="Arial" w:cs="Arial"/>
          <w:b/>
          <w:bCs/>
          <w:lang w:val="en-US"/>
        </w:rPr>
        <w:t>00</w:t>
      </w:r>
    </w:p>
    <w:p w:rsidR="00D03F1D" w:rsidRPr="006B5418" w:rsidRDefault="00D03F1D" w:rsidP="00D03F1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 (</w:t>
      </w:r>
      <w:r w:rsidRPr="00D03F1D">
        <w:rPr>
          <w:rFonts w:ascii="Arial" w:hAnsi="Arial" w:cs="Arial"/>
          <w:b/>
          <w:bCs/>
          <w:lang w:val="en-US"/>
        </w:rPr>
        <w:t>SBIProtoc17</w:t>
      </w:r>
      <w:r>
        <w:rPr>
          <w:rFonts w:ascii="Arial" w:hAnsi="Arial" w:cs="Arial"/>
          <w:b/>
          <w:bCs/>
          <w:lang w:val="en-US"/>
        </w:rPr>
        <w:t>)</w:t>
      </w:r>
    </w:p>
    <w:p w:rsidR="00D03F1D" w:rsidRPr="006B5418" w:rsidRDefault="00D03F1D" w:rsidP="00D03F1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D03F1D" w:rsidRPr="006B5418" w:rsidRDefault="00D03F1D" w:rsidP="00D03F1D">
      <w:pPr>
        <w:pBdr>
          <w:bottom w:val="single" w:sz="12" w:space="1" w:color="auto"/>
        </w:pBdr>
        <w:spacing w:after="120"/>
        <w:ind w:left="1985" w:hanging="1985"/>
        <w:rPr>
          <w:rFonts w:ascii="Arial" w:hAnsi="Arial" w:cs="Arial"/>
          <w:b/>
          <w:bCs/>
          <w:lang w:val="en-US"/>
        </w:rPr>
      </w:pPr>
    </w:p>
    <w:p w:rsidR="00D03F1D" w:rsidRPr="006B5418" w:rsidRDefault="00D03F1D" w:rsidP="00D03F1D">
      <w:pPr>
        <w:pStyle w:val="CRCoverPage"/>
        <w:rPr>
          <w:b/>
          <w:lang w:val="en-US"/>
        </w:rPr>
      </w:pPr>
      <w:r w:rsidRPr="006B5418">
        <w:rPr>
          <w:b/>
          <w:lang w:val="en-US"/>
        </w:rPr>
        <w:t>1. Introduction</w:t>
      </w:r>
    </w:p>
    <w:p w:rsidR="00187403" w:rsidRDefault="00D03F1D" w:rsidP="00B66307">
      <w:r>
        <w:t xml:space="preserve">CT4 discussed </w:t>
      </w:r>
      <w:r w:rsidR="00187403" w:rsidRPr="00187403">
        <w:t>CR 29.500 0188 Rel-16 Asserted PLMN-ID Header</w:t>
      </w:r>
      <w:r w:rsidR="00187403">
        <w:t xml:space="preserve"> (C4-205272) and its Rel-17 mirror in C4-205273. CT4 reached the following agreements:</w:t>
      </w:r>
    </w:p>
    <w:p w:rsidR="00D03F1D" w:rsidRDefault="00187403" w:rsidP="00187403">
      <w:pPr>
        <w:numPr>
          <w:ilvl w:val="0"/>
          <w:numId w:val="7"/>
        </w:numPr>
      </w:pPr>
      <w:r>
        <w:t>The objective of the CRs will be changed by decoupling it from security considerations.</w:t>
      </w:r>
    </w:p>
    <w:p w:rsidR="00187403" w:rsidRDefault="00187403" w:rsidP="00187403">
      <w:pPr>
        <w:numPr>
          <w:ilvl w:val="0"/>
          <w:numId w:val="7"/>
        </w:numPr>
      </w:pPr>
      <w:r>
        <w:t>Based on the above, Rel-16 CR will be withdrawn and Rel-17 CR will be revised with new, non-security scope.</w:t>
      </w:r>
    </w:p>
    <w:p w:rsidR="00187403" w:rsidRDefault="00187403" w:rsidP="00187403"/>
    <w:p w:rsidR="00187403" w:rsidRDefault="00187403" w:rsidP="00187403">
      <w:r>
        <w:t>Hence, C4-205273 was revised to C4-205542 and the cover sheet was updated as follows:</w:t>
      </w:r>
    </w:p>
    <w:p w:rsidR="00187403" w:rsidRDefault="00187403" w:rsidP="00187403">
      <w:pPr>
        <w:numPr>
          <w:ilvl w:val="0"/>
          <w:numId w:val="8"/>
        </w:numPr>
      </w:pPr>
      <w:r>
        <w:t xml:space="preserve">WIC: </w:t>
      </w:r>
      <w:r>
        <w:rPr>
          <w:noProof/>
        </w:rPr>
        <w:t>SBIProtoc17</w:t>
      </w:r>
    </w:p>
    <w:p w:rsidR="00187403" w:rsidRDefault="00187403" w:rsidP="00187403">
      <w:pPr>
        <w:numPr>
          <w:ilvl w:val="0"/>
          <w:numId w:val="8"/>
        </w:numPr>
      </w:pPr>
      <w:r w:rsidRPr="00187403">
        <w:t>Category:</w:t>
      </w:r>
      <w:r>
        <w:t xml:space="preserve"> B</w:t>
      </w:r>
    </w:p>
    <w:p w:rsidR="00187403" w:rsidRDefault="00187403" w:rsidP="00187403">
      <w:pPr>
        <w:numPr>
          <w:ilvl w:val="0"/>
          <w:numId w:val="8"/>
        </w:numPr>
      </w:pPr>
      <w:r w:rsidRPr="00187403">
        <w:t>Reason for change</w:t>
      </w:r>
      <w:r>
        <w:t>: All references to security matters should be removed</w:t>
      </w:r>
    </w:p>
    <w:p w:rsidR="00187403" w:rsidRDefault="00187403" w:rsidP="00B66307"/>
    <w:p w:rsidR="00187403" w:rsidRPr="006B5418" w:rsidRDefault="00187403" w:rsidP="00187403">
      <w:pPr>
        <w:pStyle w:val="CRCoverPage"/>
        <w:rPr>
          <w:b/>
          <w:lang w:val="en-US"/>
        </w:rPr>
      </w:pPr>
      <w:r>
        <w:rPr>
          <w:b/>
          <w:lang w:val="en-US"/>
        </w:rPr>
        <w:t>2</w:t>
      </w:r>
      <w:r w:rsidRPr="006B5418">
        <w:rPr>
          <w:b/>
          <w:lang w:val="en-US"/>
        </w:rPr>
        <w:t xml:space="preserve">. </w:t>
      </w:r>
      <w:r>
        <w:rPr>
          <w:b/>
          <w:lang w:val="en-US"/>
        </w:rPr>
        <w:t>D</w:t>
      </w:r>
      <w:r w:rsidR="008A54FA">
        <w:rPr>
          <w:b/>
          <w:lang w:val="en-US"/>
        </w:rPr>
        <w:t>i</w:t>
      </w:r>
      <w:r>
        <w:rPr>
          <w:b/>
          <w:lang w:val="en-US"/>
        </w:rPr>
        <w:t>scussion</w:t>
      </w:r>
    </w:p>
    <w:p w:rsidR="00187403" w:rsidRDefault="00187403" w:rsidP="00B66307">
      <w:r>
        <w:t>Below are few comments on the updated CR 29.500 0188 Rel-17</w:t>
      </w:r>
      <w:r w:rsidRPr="00187403">
        <w:t xml:space="preserve"> Asserted PLMN-ID Header</w:t>
      </w:r>
      <w:r w:rsidR="00C0353F">
        <w:t>.</w:t>
      </w:r>
    </w:p>
    <w:p w:rsidR="00187403" w:rsidRDefault="00187403" w:rsidP="00B66307"/>
    <w:p w:rsidR="00B66307" w:rsidRDefault="00C0353F" w:rsidP="00B66307">
      <w:r>
        <w:t xml:space="preserve">Let's start with </w:t>
      </w:r>
      <w:r w:rsidR="00457FA8">
        <w:t>quotes from the "</w:t>
      </w:r>
      <w:r w:rsidR="00B66307">
        <w:t>Reason for change</w:t>
      </w:r>
      <w:r w:rsidR="00457FA8">
        <w:t>"</w:t>
      </w:r>
      <w:r w:rsidR="00B66307">
        <w:t xml:space="preserve"> on the cover page</w:t>
      </w:r>
      <w:r w:rsidR="00AA7B41">
        <w:t xml:space="preserve"> of the CR</w:t>
      </w:r>
      <w:r w:rsidR="00D44FE4">
        <w:t>.</w:t>
      </w:r>
    </w:p>
    <w:p w:rsidR="00B66307" w:rsidRDefault="00B66307" w:rsidP="00B66307"/>
    <w:p w:rsidR="00D44FE4" w:rsidRPr="00D44FE4" w:rsidRDefault="00D44FE4" w:rsidP="00B66307">
      <w:pPr>
        <w:rPr>
          <w:b/>
          <w:color w:val="0070C0"/>
        </w:rPr>
      </w:pPr>
      <w:r w:rsidRPr="00D44FE4">
        <w:rPr>
          <w:b/>
          <w:color w:val="0070C0"/>
        </w:rPr>
        <w:t>Quote#1:</w:t>
      </w:r>
    </w:p>
    <w:p w:rsidR="00B66307" w:rsidRPr="00B66307" w:rsidRDefault="00B66307" w:rsidP="00B66307">
      <w:pPr>
        <w:rPr>
          <w:color w:val="0070C0"/>
        </w:rPr>
      </w:pPr>
      <w:r w:rsidRPr="00B66307">
        <w:rPr>
          <w:color w:val="0070C0"/>
        </w:rPr>
        <w:t>In inter-PLMN signaling scenarios, when an incoming message is received by an NF Service Producer, it is useful to know the identity of the network (PLMN) where the NF Service Consumer originated the service request.</w:t>
      </w:r>
    </w:p>
    <w:p w:rsidR="00B66307" w:rsidRPr="00B66307" w:rsidRDefault="00B66307" w:rsidP="00B66307">
      <w:pPr>
        <w:rPr>
          <w:color w:val="0070C0"/>
        </w:rPr>
      </w:pPr>
    </w:p>
    <w:p w:rsidR="005C49BF" w:rsidRPr="00B66307" w:rsidRDefault="00B66307" w:rsidP="00B66307">
      <w:pPr>
        <w:rPr>
          <w:color w:val="0070C0"/>
        </w:rPr>
      </w:pPr>
      <w:r w:rsidRPr="00B66307">
        <w:rPr>
          <w:color w:val="0070C0"/>
        </w:rPr>
        <w:t xml:space="preserve">This is useful, among other things, for network management; for example, compared with the EPC network architecture and protocols, the HSS always gets to know which is the network that originated a certain incoming request for an UE (since this is a built-in mechanism of the Diameter protocol). </w:t>
      </w:r>
      <w:r w:rsidRPr="00D43DEE">
        <w:rPr>
          <w:color w:val="0070C0"/>
          <w:highlight w:val="yellow"/>
        </w:rPr>
        <w:t>The HSS can then log such information, calculate KPIs, perform auditing of such information, etc</w:t>
      </w:r>
      <w:r w:rsidRPr="00B66307">
        <w:rPr>
          <w:color w:val="0070C0"/>
        </w:rPr>
        <w:t>…</w:t>
      </w:r>
    </w:p>
    <w:p w:rsidR="00B66307" w:rsidRDefault="00B66307" w:rsidP="00B66307"/>
    <w:p w:rsidR="00B66307" w:rsidRDefault="00D43DEE" w:rsidP="00B66307">
      <w:r>
        <w:t xml:space="preserve">From the above quote, we could conclude that the primary driver for the change is to create certain feature parity between HSS and UDM. This </w:t>
      </w:r>
      <w:r w:rsidR="00B66307">
        <w:t xml:space="preserve">objective </w:t>
      </w:r>
      <w:r>
        <w:t>can</w:t>
      </w:r>
      <w:r w:rsidR="00B66307">
        <w:t xml:space="preserve"> be achieved based on the current specifications</w:t>
      </w:r>
      <w:r>
        <w:t xml:space="preserve"> and therefore the proposed change is </w:t>
      </w:r>
      <w:r w:rsidR="00187403">
        <w:t>n</w:t>
      </w:r>
      <w:r>
        <w:t>ot necessary</w:t>
      </w:r>
      <w:r w:rsidR="00B66307">
        <w:t xml:space="preserve">. Let’s look into an UDM case. </w:t>
      </w:r>
    </w:p>
    <w:p w:rsidR="00B66307" w:rsidRDefault="00B66307" w:rsidP="00B66307">
      <w:pPr>
        <w:numPr>
          <w:ilvl w:val="0"/>
          <w:numId w:val="4"/>
        </w:numPr>
      </w:pPr>
      <w:r>
        <w:t xml:space="preserve">When a UE roams into a new VPLMN, it triggers an initial registration procedure. The vAMF-1 contacts the HPLMN </w:t>
      </w:r>
      <w:bookmarkStart w:id="0" w:name="_GoBack"/>
      <w:r>
        <w:t>UDM to register itself as the new serving AMF</w:t>
      </w:r>
      <w:r w:rsidR="00B206F7">
        <w:t xml:space="preserve"> (vAMF</w:t>
      </w:r>
      <w:r>
        <w:t>-1</w:t>
      </w:r>
      <w:r w:rsidR="00B206F7">
        <w:t>)</w:t>
      </w:r>
      <w:r>
        <w:t xml:space="preserve"> for this UE and to </w:t>
      </w:r>
      <w:bookmarkEnd w:id="0"/>
      <w:r>
        <w:t>retrieve the UE’s subscription information. This is achieved by invoking the Nudm_UECM and Nudm_SDM service. The resource structure of these two services is designed in such a way that the UE’s identity (SUPI, GPSI, etc.) needs to be provided by the vAMF. The serving PLMN ID is also provided either via query parameters or in the request body.</w:t>
      </w:r>
    </w:p>
    <w:p w:rsidR="00B66307" w:rsidRDefault="00B66307" w:rsidP="00B66307">
      <w:pPr>
        <w:numPr>
          <w:ilvl w:val="0"/>
          <w:numId w:val="4"/>
        </w:numPr>
      </w:pPr>
      <w:r>
        <w:t>When the UDM receives the first requests (Nudm_UECM_Registration, Nudm_SDM_Get) from the vAMF-1, the UDM (and the UDR as well) can store the VPLMN ID-1 that is currently serving the UE and provide it to any management entity, probing system, etc.  In addition to that, the UDM can also safely and legitimately assume that the UE remains served by this VPLMN (ID-1) until it receives new requests (Nudm_UECM_Registration, Nudm_SDM_Get) with a new VPLMN ID-2. Therefore, if the VPLMN ID changes, the new vAMF-2 needs to register itself in the UDM with VPLMN ID-2. Note that UE always triggers a new initial registration procedure when attaching to a new VPLMN or when it goes back to its HPLMN.</w:t>
      </w:r>
    </w:p>
    <w:p w:rsidR="00B66307" w:rsidRDefault="00B66307" w:rsidP="00B66307"/>
    <w:p w:rsidR="00B66307" w:rsidRDefault="00D43DEE" w:rsidP="00B66307">
      <w:r w:rsidRPr="000312EA">
        <w:rPr>
          <w:b/>
        </w:rPr>
        <w:t>Observation #1</w:t>
      </w:r>
      <w:r>
        <w:t xml:space="preserve">. The existing procedures already provide PLMN ID to UDM and therefore the UDM may perform any necessary </w:t>
      </w:r>
      <w:r w:rsidRPr="00D43DEE">
        <w:t>management</w:t>
      </w:r>
      <w:r>
        <w:t xml:space="preserve"> and </w:t>
      </w:r>
      <w:r w:rsidRPr="00D43DEE">
        <w:t>KPI calculation</w:t>
      </w:r>
      <w:r>
        <w:t>s</w:t>
      </w:r>
      <w:r w:rsidRPr="00D43DEE">
        <w:t xml:space="preserve">. </w:t>
      </w:r>
      <w:r>
        <w:t>By the way, t</w:t>
      </w:r>
      <w:r w:rsidRPr="00D43DEE">
        <w:t xml:space="preserve">his is </w:t>
      </w:r>
      <w:r w:rsidR="005D19FF">
        <w:t xml:space="preserve">similar to </w:t>
      </w:r>
      <w:r w:rsidRPr="00D43DEE">
        <w:t xml:space="preserve">what the </w:t>
      </w:r>
      <w:r w:rsidR="00AD1636">
        <w:t xml:space="preserve">SOR-AF and underlying </w:t>
      </w:r>
      <w:r w:rsidRPr="00D43DEE">
        <w:t xml:space="preserve">Steering Platform </w:t>
      </w:r>
      <w:r>
        <w:t>do.</w:t>
      </w:r>
    </w:p>
    <w:p w:rsidR="000312EA" w:rsidRDefault="000312EA" w:rsidP="00B66307"/>
    <w:p w:rsidR="00BA783A" w:rsidRDefault="00AA7B41" w:rsidP="00AA7B41">
      <w:r>
        <w:lastRenderedPageBreak/>
        <w:t xml:space="preserve">Is it necessary for the UDM to receive the VPLMN ID-1 in the subsequent requests from </w:t>
      </w:r>
      <w:r w:rsidR="00BA783A">
        <w:t>vAMF-1. The answer is 'No' and it is twofold:</w:t>
      </w:r>
    </w:p>
    <w:p w:rsidR="00BA783A" w:rsidRDefault="00BA783A" w:rsidP="00BA783A">
      <w:pPr>
        <w:numPr>
          <w:ilvl w:val="0"/>
          <w:numId w:val="5"/>
        </w:numPr>
      </w:pPr>
      <w:r>
        <w:t>In most cases VPLMN ID-1 is already provided based on the current design of the UDM APIs;</w:t>
      </w:r>
    </w:p>
    <w:p w:rsidR="00AA7B41" w:rsidRDefault="00BA783A" w:rsidP="00BA783A">
      <w:pPr>
        <w:numPr>
          <w:ilvl w:val="0"/>
          <w:numId w:val="5"/>
        </w:numPr>
      </w:pPr>
      <w:r>
        <w:t>B</w:t>
      </w:r>
      <w:r w:rsidR="00AA7B41">
        <w:t xml:space="preserve">ecause there is no reason to </w:t>
      </w:r>
      <w:r>
        <w:t xml:space="preserve">assume the VPLM ID-1 has changed, or being forged. If this assumption is challenged, </w:t>
      </w:r>
      <w:r w:rsidRPr="00BA783A">
        <w:rPr>
          <w:b/>
        </w:rPr>
        <w:t>then we are back to the security domain</w:t>
      </w:r>
      <w:r>
        <w:t>, which is out of CT4 scope.</w:t>
      </w:r>
    </w:p>
    <w:p w:rsidR="00BA783A" w:rsidRDefault="00BA783A" w:rsidP="00BA783A"/>
    <w:p w:rsidR="00BA783A" w:rsidRDefault="00BA783A" w:rsidP="00BA783A">
      <w:r>
        <w:t>In addition to the above, UDM exposes a service (Nudm_EE) that enables other NFs to subscribe to and receive a UE’s roaming status. Cf. "ROAMING_STATUS" event in the "EventType" data type.</w:t>
      </w:r>
    </w:p>
    <w:p w:rsidR="00BA783A" w:rsidRDefault="00BA783A" w:rsidP="00BA783A"/>
    <w:p w:rsidR="00BA783A" w:rsidRDefault="00BA783A" w:rsidP="00BA783A">
      <w:r w:rsidRPr="000312EA">
        <w:rPr>
          <w:b/>
        </w:rPr>
        <w:t>Observation #</w:t>
      </w:r>
      <w:r w:rsidR="00B01D59">
        <w:rPr>
          <w:b/>
        </w:rPr>
        <w:t>2</w:t>
      </w:r>
      <w:r>
        <w:t>. PLMN ID and the roaming status of a UE can hence already be derived by the UDM. Similar study can be done for the other concerned NFs (i.e. AUSF, PCF, NSSAAF, SMF, NSSF), but after a quick check we came to a conclusion that the UE identity and/or the PLMN ID is already provided in most of the cases.</w:t>
      </w:r>
    </w:p>
    <w:p w:rsidR="00BA783A" w:rsidRDefault="00BA783A" w:rsidP="00BA783A"/>
    <w:p w:rsidR="00D44FE4" w:rsidRPr="00D44FE4" w:rsidRDefault="00D44FE4" w:rsidP="00D44FE4">
      <w:pPr>
        <w:rPr>
          <w:b/>
          <w:color w:val="0070C0"/>
        </w:rPr>
      </w:pPr>
      <w:r>
        <w:rPr>
          <w:b/>
          <w:color w:val="0070C0"/>
        </w:rPr>
        <w:t>Quote#2</w:t>
      </w:r>
      <w:r w:rsidRPr="00D44FE4">
        <w:rPr>
          <w:b/>
          <w:color w:val="0070C0"/>
        </w:rPr>
        <w:t>:</w:t>
      </w:r>
    </w:p>
    <w:p w:rsidR="004A1EA7" w:rsidRPr="004A1EA7" w:rsidRDefault="004A1EA7" w:rsidP="004A1EA7">
      <w:pPr>
        <w:rPr>
          <w:color w:val="0070C0"/>
        </w:rPr>
      </w:pPr>
      <w:r w:rsidRPr="004A1EA7">
        <w:rPr>
          <w:color w:val="0070C0"/>
        </w:rPr>
        <w:t>In 5G/SBI there is only 2 ways to achieve the same thing (say, for the same scenario in which the UDM may want to know the source network of an incoming request):</w:t>
      </w:r>
    </w:p>
    <w:p w:rsidR="004A1EA7" w:rsidRPr="004A1EA7" w:rsidRDefault="004A1EA7" w:rsidP="004A1EA7">
      <w:pPr>
        <w:numPr>
          <w:ilvl w:val="0"/>
          <w:numId w:val="6"/>
        </w:numPr>
        <w:rPr>
          <w:color w:val="0070C0"/>
        </w:rPr>
      </w:pPr>
      <w:r w:rsidRPr="004A1EA7">
        <w:rPr>
          <w:color w:val="0070C0"/>
        </w:rPr>
        <w:t>Either the parameter already exists in the API definition (e.g. in a query parameter or in a JSON attribute), or</w:t>
      </w:r>
    </w:p>
    <w:p w:rsidR="00BA783A" w:rsidRDefault="004A1EA7" w:rsidP="004A1EA7">
      <w:pPr>
        <w:numPr>
          <w:ilvl w:val="0"/>
          <w:numId w:val="6"/>
        </w:numPr>
        <w:rPr>
          <w:color w:val="0070C0"/>
        </w:rPr>
      </w:pPr>
      <w:r w:rsidRPr="004A1EA7">
        <w:rPr>
          <w:color w:val="0070C0"/>
        </w:rPr>
        <w:t>Checking the corresponding claim in the Oauth2 access token, if Oauth2 is deployed and used</w:t>
      </w:r>
    </w:p>
    <w:p w:rsidR="004A1EA7" w:rsidRDefault="004A1EA7" w:rsidP="004A1EA7">
      <w:pPr>
        <w:rPr>
          <w:color w:val="0070C0"/>
        </w:rPr>
      </w:pPr>
    </w:p>
    <w:p w:rsidR="004A1EA7" w:rsidRDefault="004A1EA7" w:rsidP="004A1EA7">
      <w:r w:rsidRPr="004A1EA7">
        <w:t>Well, as illustrated above, there is a third way, which does not require any changes to CT4 specs</w:t>
      </w:r>
      <w:r>
        <w:t>.</w:t>
      </w:r>
    </w:p>
    <w:p w:rsidR="004A1EA7" w:rsidRDefault="004A1EA7" w:rsidP="004A1EA7"/>
    <w:p w:rsidR="004A1EA7" w:rsidRPr="00D44FE4" w:rsidRDefault="004A1EA7" w:rsidP="004A1EA7">
      <w:pPr>
        <w:rPr>
          <w:b/>
          <w:color w:val="0070C0"/>
        </w:rPr>
      </w:pPr>
      <w:r>
        <w:rPr>
          <w:b/>
          <w:color w:val="0070C0"/>
        </w:rPr>
        <w:t>Quote#2</w:t>
      </w:r>
      <w:r w:rsidRPr="00D44FE4">
        <w:rPr>
          <w:b/>
          <w:color w:val="0070C0"/>
        </w:rPr>
        <w:t>:</w:t>
      </w:r>
    </w:p>
    <w:p w:rsidR="004A1EA7" w:rsidRPr="004A1EA7" w:rsidRDefault="004A1EA7" w:rsidP="004A1EA7">
      <w:pPr>
        <w:rPr>
          <w:color w:val="0070C0"/>
        </w:rPr>
      </w:pPr>
      <w:r w:rsidRPr="004A1EA7">
        <w:rPr>
          <w:color w:val="0070C0"/>
        </w:rPr>
        <w:t>In absence of the above, the receiving node cannot know from which network the request is originated.</w:t>
      </w:r>
    </w:p>
    <w:p w:rsidR="004A1EA7" w:rsidRDefault="004A1EA7" w:rsidP="004A1EA7"/>
    <w:p w:rsidR="004A1EA7" w:rsidRDefault="004A1EA7" w:rsidP="004A1EA7">
      <w:r>
        <w:t xml:space="preserve">This is clearly a </w:t>
      </w:r>
      <w:r w:rsidRPr="00B01D59">
        <w:rPr>
          <w:b/>
        </w:rPr>
        <w:t>security</w:t>
      </w:r>
      <w:r>
        <w:t xml:space="preserve"> consideration. We agreed to remove from this CR all security related matters.</w:t>
      </w:r>
    </w:p>
    <w:p w:rsidR="004A1EA7" w:rsidRDefault="004A1EA7" w:rsidP="004A1EA7"/>
    <w:p w:rsidR="004A1EA7" w:rsidRDefault="004A1EA7" w:rsidP="004A1EA7">
      <w:r>
        <w:t>It is important to highlight, that Orange requested adding the following editor's note.</w:t>
      </w:r>
      <w:r>
        <w:br/>
      </w:r>
    </w:p>
    <w:p w:rsidR="004A1EA7" w:rsidRPr="004A1EA7" w:rsidRDefault="004A1EA7" w:rsidP="004A1EA7">
      <w:pPr>
        <w:rPr>
          <w:color w:val="C00000"/>
        </w:rPr>
      </w:pPr>
      <w:r>
        <w:rPr>
          <w:color w:val="C00000"/>
        </w:rPr>
        <w:t xml:space="preserve">Editor's Note: </w:t>
      </w:r>
      <w:r w:rsidRPr="004A1EA7">
        <w:rPr>
          <w:color w:val="C00000"/>
        </w:rPr>
        <w:t>For the 3gpp-Sbi-Asserted-Plmn-Id header, it's FFS to address the scenario in which the remote SEPP (c-SEPP) may convey signaling from multiple PLMN-IDs (either due to a PLMN having multiple PLMN-IDs, or due to the c-SEPP acting as a hub conveying traffic from different PLMNs.</w:t>
      </w:r>
    </w:p>
    <w:p w:rsidR="004A1EA7" w:rsidRDefault="004A1EA7" w:rsidP="004A1EA7"/>
    <w:p w:rsidR="004A1EA7" w:rsidRDefault="004A1EA7" w:rsidP="004A1EA7">
      <w:r>
        <w:t>This note shows the complexity of the inter-PLMN "world", i.e. IPX signaling network and that such matters are more of the responsibility of SA3 / GSMA / I3Forum / etc.</w:t>
      </w:r>
    </w:p>
    <w:p w:rsidR="00723AD1" w:rsidRDefault="00723AD1" w:rsidP="004A1EA7"/>
    <w:p w:rsidR="00B01D59" w:rsidRDefault="00B01D59" w:rsidP="004A1EA7">
      <w:r w:rsidRPr="000312EA">
        <w:rPr>
          <w:b/>
        </w:rPr>
        <w:t>Observation #</w:t>
      </w:r>
      <w:r>
        <w:rPr>
          <w:b/>
        </w:rPr>
        <w:t>3</w:t>
      </w:r>
      <w:r>
        <w:t>. The revised CR does not provide convincing arguments for non-security reasoning.</w:t>
      </w:r>
    </w:p>
    <w:p w:rsidR="00B01D59" w:rsidRDefault="00B01D59" w:rsidP="004A1EA7"/>
    <w:p w:rsidR="00B01D59" w:rsidRDefault="00723AD1" w:rsidP="00723AD1">
      <w:r>
        <w:t xml:space="preserve">Concerning the oral argument from Nokia, which could be </w:t>
      </w:r>
      <w:r w:rsidR="00B01D59">
        <w:t xml:space="preserve">summarized as follows. </w:t>
      </w:r>
    </w:p>
    <w:p w:rsidR="00B01D59" w:rsidRDefault="00B01D59" w:rsidP="00723AD1"/>
    <w:p w:rsidR="00723AD1" w:rsidRPr="00B01D59" w:rsidRDefault="00B01D59" w:rsidP="00723AD1">
      <w:pPr>
        <w:rPr>
          <w:color w:val="0070C0"/>
        </w:rPr>
      </w:pPr>
      <w:r w:rsidRPr="00B01D59">
        <w:rPr>
          <w:color w:val="0070C0"/>
        </w:rPr>
        <w:t>"A</w:t>
      </w:r>
      <w:r w:rsidR="00723AD1" w:rsidRPr="00B01D59">
        <w:rPr>
          <w:color w:val="0070C0"/>
        </w:rPr>
        <w:t>nother example of possible use of the remote/sending PLMN ID by an NF service producer is if different service access authorization policies are deployed in a PLMN based on roaming/SLA agreements with roaming partners, e.g. do not require service access authorization for requests issued by equivalent PLMNs and require service</w:t>
      </w:r>
      <w:r w:rsidRPr="00B01D59">
        <w:rPr>
          <w:color w:val="0070C0"/>
        </w:rPr>
        <w:t xml:space="preserve"> access authorization otherwise"</w:t>
      </w:r>
    </w:p>
    <w:p w:rsidR="00B01D59" w:rsidRDefault="00B01D59" w:rsidP="00723AD1"/>
    <w:p w:rsidR="00723AD1" w:rsidRDefault="00723AD1" w:rsidP="00723AD1">
      <w:r>
        <w:t>Service access authorization is control</w:t>
      </w:r>
      <w:r w:rsidR="00B01D59">
        <w:t>led via OAuth or via the NRF’s "</w:t>
      </w:r>
      <w:r>
        <w:t>allowedxxxx</w:t>
      </w:r>
      <w:r w:rsidR="00B01D59">
        <w:t>"</w:t>
      </w:r>
      <w:r>
        <w:t xml:space="preserve"> parameters. </w:t>
      </w:r>
      <w:r w:rsidR="00B01D59">
        <w:t xml:space="preserve">Most importantly, </w:t>
      </w:r>
      <w:r>
        <w:t xml:space="preserve">we </w:t>
      </w:r>
      <w:r w:rsidR="00B01D59">
        <w:t xml:space="preserve">are back again to </w:t>
      </w:r>
      <w:r w:rsidR="00B01D59" w:rsidRPr="0045230E">
        <w:rPr>
          <w:b/>
        </w:rPr>
        <w:t>security</w:t>
      </w:r>
      <w:r w:rsidR="00B01D59">
        <w:t xml:space="preserve"> matters.</w:t>
      </w:r>
    </w:p>
    <w:p w:rsidR="008A54FA" w:rsidRDefault="008A54FA" w:rsidP="00723AD1">
      <w:pPr>
        <w:rPr>
          <w:b/>
        </w:rPr>
      </w:pPr>
    </w:p>
    <w:p w:rsidR="008A54FA" w:rsidRPr="006B5418" w:rsidRDefault="008A54FA" w:rsidP="008A54FA">
      <w:pPr>
        <w:pStyle w:val="CRCoverPage"/>
        <w:rPr>
          <w:b/>
          <w:lang w:val="en-US"/>
        </w:rPr>
      </w:pPr>
      <w:r>
        <w:rPr>
          <w:b/>
          <w:lang w:val="en-US"/>
        </w:rPr>
        <w:t>3</w:t>
      </w:r>
      <w:r w:rsidRPr="006B5418">
        <w:rPr>
          <w:b/>
          <w:lang w:val="en-US"/>
        </w:rPr>
        <w:t xml:space="preserve">. </w:t>
      </w:r>
      <w:r>
        <w:rPr>
          <w:b/>
          <w:lang w:val="en-US"/>
        </w:rPr>
        <w:t>Conclusions</w:t>
      </w:r>
    </w:p>
    <w:p w:rsidR="00723AD1" w:rsidRDefault="008A54FA" w:rsidP="00723AD1">
      <w:r>
        <w:t>As illustrated in the above Discussion section, t</w:t>
      </w:r>
      <w:r w:rsidR="0045230E">
        <w:t>he primary objective of the CR</w:t>
      </w:r>
      <w:r>
        <w:t xml:space="preserve"> still</w:t>
      </w:r>
      <w:r w:rsidR="0045230E">
        <w:t xml:space="preserve"> is address</w:t>
      </w:r>
      <w:r>
        <w:t>ing</w:t>
      </w:r>
      <w:r w:rsidR="0045230E">
        <w:t xml:space="preserve"> security </w:t>
      </w:r>
      <w:r>
        <w:t>issues. Therefore, CT4 sh</w:t>
      </w:r>
      <w:r w:rsidR="0045230E">
        <w:t xml:space="preserve">ould consider sending an </w:t>
      </w:r>
      <w:r w:rsidR="00723AD1">
        <w:t>LS to both SA3 and GSMA on this topic</w:t>
      </w:r>
      <w:r w:rsidR="0045230E">
        <w:t>.</w:t>
      </w:r>
    </w:p>
    <w:sectPr w:rsidR="00723AD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B4F" w:rsidRDefault="003E6B4F">
      <w:r>
        <w:separator/>
      </w:r>
    </w:p>
  </w:endnote>
  <w:endnote w:type="continuationSeparator" w:id="0">
    <w:p w:rsidR="003E6B4F" w:rsidRDefault="003E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B4F" w:rsidRDefault="003E6B4F">
      <w:r>
        <w:separator/>
      </w:r>
    </w:p>
  </w:footnote>
  <w:footnote w:type="continuationSeparator" w:id="0">
    <w:p w:rsidR="003E6B4F" w:rsidRDefault="003E6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7B6A"/>
    <w:multiLevelType w:val="hybridMultilevel"/>
    <w:tmpl w:val="A8FC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C606E28"/>
    <w:multiLevelType w:val="hybridMultilevel"/>
    <w:tmpl w:val="896E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CF0C5B"/>
    <w:multiLevelType w:val="hybridMultilevel"/>
    <w:tmpl w:val="5258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7C14D58"/>
    <w:multiLevelType w:val="hybridMultilevel"/>
    <w:tmpl w:val="EEC216CA"/>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15:restartNumberingAfterBreak="0">
    <w:nsid w:val="58557392"/>
    <w:multiLevelType w:val="hybridMultilevel"/>
    <w:tmpl w:val="0576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7"/>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312EA"/>
    <w:rsid w:val="00046686"/>
    <w:rsid w:val="00046FDD"/>
    <w:rsid w:val="00054884"/>
    <w:rsid w:val="00057E1E"/>
    <w:rsid w:val="00072A7C"/>
    <w:rsid w:val="000775E7"/>
    <w:rsid w:val="0007775C"/>
    <w:rsid w:val="000967F4"/>
    <w:rsid w:val="000E0429"/>
    <w:rsid w:val="000F6E51"/>
    <w:rsid w:val="00102A24"/>
    <w:rsid w:val="0013259C"/>
    <w:rsid w:val="00135831"/>
    <w:rsid w:val="001376A6"/>
    <w:rsid w:val="0014413C"/>
    <w:rsid w:val="00166A1B"/>
    <w:rsid w:val="00187403"/>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6B4F"/>
    <w:rsid w:val="003E710B"/>
    <w:rsid w:val="003F1C0E"/>
    <w:rsid w:val="004008D7"/>
    <w:rsid w:val="0040145D"/>
    <w:rsid w:val="00411339"/>
    <w:rsid w:val="004123C1"/>
    <w:rsid w:val="004131BD"/>
    <w:rsid w:val="00416CEA"/>
    <w:rsid w:val="00421AFD"/>
    <w:rsid w:val="00432048"/>
    <w:rsid w:val="004518DB"/>
    <w:rsid w:val="0045230E"/>
    <w:rsid w:val="00457FA8"/>
    <w:rsid w:val="00477EBC"/>
    <w:rsid w:val="004A0A73"/>
    <w:rsid w:val="004A1EA7"/>
    <w:rsid w:val="004A661C"/>
    <w:rsid w:val="004C32C3"/>
    <w:rsid w:val="004C4C9B"/>
    <w:rsid w:val="004D2FA0"/>
    <w:rsid w:val="004E1010"/>
    <w:rsid w:val="0050202A"/>
    <w:rsid w:val="0052032E"/>
    <w:rsid w:val="0054303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49BF"/>
    <w:rsid w:val="005C7352"/>
    <w:rsid w:val="005D19FF"/>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1337F"/>
    <w:rsid w:val="00723919"/>
    <w:rsid w:val="00723AD1"/>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56749"/>
    <w:rsid w:val="008A06BE"/>
    <w:rsid w:val="008A54FA"/>
    <w:rsid w:val="008A56FD"/>
    <w:rsid w:val="008D3DA6"/>
    <w:rsid w:val="008D742E"/>
    <w:rsid w:val="008F7444"/>
    <w:rsid w:val="0091399A"/>
    <w:rsid w:val="00926791"/>
    <w:rsid w:val="009330BD"/>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F30"/>
    <w:rsid w:val="00A61169"/>
    <w:rsid w:val="00A63024"/>
    <w:rsid w:val="00A82FCC"/>
    <w:rsid w:val="00A906A4"/>
    <w:rsid w:val="00AA574E"/>
    <w:rsid w:val="00AA7B41"/>
    <w:rsid w:val="00AD1636"/>
    <w:rsid w:val="00AD324E"/>
    <w:rsid w:val="00AD5B51"/>
    <w:rsid w:val="00AD7B78"/>
    <w:rsid w:val="00AF4118"/>
    <w:rsid w:val="00B01D59"/>
    <w:rsid w:val="00B206F7"/>
    <w:rsid w:val="00B3526C"/>
    <w:rsid w:val="00B47534"/>
    <w:rsid w:val="00B66307"/>
    <w:rsid w:val="00B743AF"/>
    <w:rsid w:val="00B84B54"/>
    <w:rsid w:val="00B92C7D"/>
    <w:rsid w:val="00B93BB2"/>
    <w:rsid w:val="00B9697B"/>
    <w:rsid w:val="00BA46C7"/>
    <w:rsid w:val="00BA4DA4"/>
    <w:rsid w:val="00BA783A"/>
    <w:rsid w:val="00BB7B45"/>
    <w:rsid w:val="00BC2E5F"/>
    <w:rsid w:val="00BC5AF6"/>
    <w:rsid w:val="00BD3E51"/>
    <w:rsid w:val="00BF0A84"/>
    <w:rsid w:val="00C0353F"/>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329A"/>
    <w:rsid w:val="00CC58ED"/>
    <w:rsid w:val="00D03F1D"/>
    <w:rsid w:val="00D145EC"/>
    <w:rsid w:val="00D37A23"/>
    <w:rsid w:val="00D43C0B"/>
    <w:rsid w:val="00D43DEE"/>
    <w:rsid w:val="00D44A74"/>
    <w:rsid w:val="00D44FE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64FB2"/>
    <w:rsid w:val="00E81E2C"/>
    <w:rsid w:val="00E85B6F"/>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90824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4107612">
      <w:bodyDiv w:val="1"/>
      <w:marLeft w:val="0"/>
      <w:marRight w:val="0"/>
      <w:marTop w:val="0"/>
      <w:marBottom w:val="0"/>
      <w:divBdr>
        <w:top w:val="none" w:sz="0" w:space="0" w:color="auto"/>
        <w:left w:val="none" w:sz="0" w:space="0" w:color="auto"/>
        <w:bottom w:val="none" w:sz="0" w:space="0" w:color="auto"/>
        <w:right w:val="none" w:sz="0" w:space="0" w:color="auto"/>
      </w:divBdr>
    </w:div>
    <w:div w:id="158622090">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14082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07115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4492056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307015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50713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8509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10</cp:revision>
  <cp:lastPrinted>2001-04-23T09:30:00Z</cp:lastPrinted>
  <dcterms:created xsi:type="dcterms:W3CDTF">2020-11-10T23:52:00Z</dcterms:created>
  <dcterms:modified xsi:type="dcterms:W3CDTF">2020-11-11T00:17:00Z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1605053527</vt:lpwstr>
  </property>
</Properties>
</file>