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CT WG3 134</w:t>
        <w:tab/>
        <w:t>C3-242032</w:t>
      </w:r>
    </w:p>
    <w:p>
      <w:pPr>
        <w:pStyle w:val="LSHeader"/>
      </w:pPr>
      <w:r>
        <w:t>Changsha, China, 15 - 19 April, 2024</w:t>
      </w:r>
      <w:r>
        <w:br/>
      </w:r>
    </w:p>
    <w:p w14:paraId="01559C2B" w14:textId="6D26F8C5" w:rsidR="00C5159B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27EB4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B27EB4">
        <w:rPr>
          <w:b/>
          <w:noProof/>
          <w:sz w:val="24"/>
        </w:rPr>
        <w:t>4</w:t>
      </w:r>
      <w:r w:rsidR="00C5159B">
        <w:rPr>
          <w:b/>
          <w:noProof/>
          <w:sz w:val="24"/>
        </w:rPr>
        <w:t>0</w:t>
      </w:r>
      <w:r w:rsidR="007D0396">
        <w:rPr>
          <w:b/>
          <w:noProof/>
          <w:sz w:val="24"/>
        </w:rPr>
        <w:t>581</w:t>
      </w:r>
    </w:p>
    <w:p w14:paraId="29A30439" w14:textId="482B55D6" w:rsidR="00B5011D" w:rsidRDefault="00B27EB4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 w:rsidR="00B5011D">
        <w:rPr>
          <w:rFonts w:cs="Arial"/>
          <w:b/>
          <w:bCs/>
          <w:sz w:val="22"/>
        </w:rPr>
        <w:tab/>
      </w:r>
      <w:r w:rsidR="00B5011D" w:rsidRPr="00B27EB4">
        <w:rPr>
          <w:bCs/>
          <w:noProof/>
          <w:sz w:val="24"/>
        </w:rPr>
        <w:t>(revision of S6-2</w:t>
      </w:r>
      <w:r w:rsidRPr="00B27EB4">
        <w:rPr>
          <w:bCs/>
          <w:noProof/>
          <w:sz w:val="24"/>
        </w:rPr>
        <w:t>4</w:t>
      </w:r>
      <w:r w:rsidR="007D0396">
        <w:rPr>
          <w:bCs/>
          <w:noProof/>
          <w:sz w:val="24"/>
        </w:rPr>
        <w:t>0</w:t>
      </w:r>
      <w:r w:rsidR="000C0B42">
        <w:rPr>
          <w:bCs/>
          <w:noProof/>
          <w:sz w:val="24"/>
        </w:rPr>
        <w:t>121</w:t>
      </w:r>
      <w:r w:rsidR="007D0396">
        <w:rPr>
          <w:rFonts w:hint="eastAsia"/>
          <w:bCs/>
          <w:noProof/>
          <w:sz w:val="24"/>
          <w:lang w:eastAsia="zh-CN"/>
        </w:rPr>
        <w:t>,</w:t>
      </w:r>
      <w:r w:rsidR="007D0396">
        <w:rPr>
          <w:bCs/>
          <w:noProof/>
          <w:sz w:val="24"/>
          <w:lang w:eastAsia="zh-CN"/>
        </w:rPr>
        <w:t>S6-240401</w:t>
      </w:r>
      <w:r w:rsidR="00B5011D" w:rsidRPr="00B27EB4">
        <w:rPr>
          <w:bCs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E6C2A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725A" w:rsidRPr="00D5725A">
        <w:rPr>
          <w:rFonts w:ascii="Arial" w:hAnsi="Arial" w:cs="Arial"/>
          <w:b/>
          <w:sz w:val="22"/>
          <w:szCs w:val="22"/>
        </w:rPr>
        <w:t>Reply LS on clarifications on V2X, UAS and SEAL entities acting as EAS</w:t>
      </w:r>
    </w:p>
    <w:p w14:paraId="611B4358" w14:textId="16FA03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6"/>
      <w:r w:rsidR="00D5725A" w:rsidRPr="00D5725A">
        <w:rPr>
          <w:rFonts w:ascii="Arial" w:hAnsi="Arial" w:cs="Arial"/>
          <w:b/>
          <w:bCs/>
          <w:sz w:val="22"/>
          <w:szCs w:val="22"/>
        </w:rPr>
        <w:t>S6-240010</w:t>
      </w:r>
      <w:r w:rsidR="00D5725A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D5725A" w:rsidRPr="00D5725A">
        <w:t xml:space="preserve"> </w:t>
      </w:r>
      <w:r w:rsidR="00D5725A" w:rsidRPr="00D5725A">
        <w:rPr>
          <w:rFonts w:ascii="Arial" w:hAnsi="Arial" w:cs="Arial"/>
          <w:b/>
          <w:bCs/>
          <w:sz w:val="22"/>
          <w:szCs w:val="22"/>
          <w:lang w:eastAsia="zh-CN"/>
        </w:rPr>
        <w:t>C3-235618</w:t>
      </w:r>
      <w:bookmarkEnd w:id="2"/>
    </w:p>
    <w:p w14:paraId="6DF36BBF" w14:textId="14999D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25A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6DCDAC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725A" w:rsidRPr="00D5725A">
        <w:rPr>
          <w:rFonts w:ascii="Arial" w:hAnsi="Arial" w:cs="Arial"/>
          <w:b/>
          <w:bCs/>
          <w:sz w:val="22"/>
          <w:szCs w:val="22"/>
        </w:rPr>
        <w:t>NBI18, V2XAPP_Ph3, 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10E933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 w:rsidRPr="00410F69">
        <w:rPr>
          <w:rFonts w:ascii="Arial" w:hAnsi="Arial" w:cs="Arial"/>
          <w:bCs/>
          <w:color w:val="000000"/>
        </w:rPr>
        <w:t>CT3</w:t>
      </w:r>
    </w:p>
    <w:p w14:paraId="08C8D7FD" w14:textId="35CD46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 w:rsidRPr="00410F69">
        <w:rPr>
          <w:rFonts w:ascii="Arial" w:hAnsi="Arial" w:cs="Arial" w:hint="eastAsia"/>
          <w:bCs/>
          <w:color w:val="000000"/>
        </w:rPr>
        <w:t>CT1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09307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F69">
        <w:rPr>
          <w:rFonts w:ascii="Arial" w:hAnsi="Arial" w:cs="Arial" w:hint="eastAsia"/>
          <w:b/>
          <w:bCs/>
          <w:sz w:val="22"/>
          <w:szCs w:val="22"/>
          <w:lang w:eastAsia="zh-CN"/>
        </w:rPr>
        <w:t>Cuili</w:t>
      </w:r>
      <w:r w:rsidR="00410F69">
        <w:rPr>
          <w:rFonts w:ascii="Arial" w:hAnsi="Arial" w:cs="Arial"/>
          <w:b/>
          <w:bCs/>
          <w:sz w:val="22"/>
          <w:szCs w:val="22"/>
        </w:rPr>
        <w:t xml:space="preserve"> </w:t>
      </w:r>
      <w:r w:rsidR="00410F69">
        <w:rPr>
          <w:rFonts w:ascii="Arial" w:hAnsi="Arial" w:cs="Arial" w:hint="eastAsia"/>
          <w:b/>
          <w:bCs/>
          <w:sz w:val="22"/>
          <w:szCs w:val="22"/>
          <w:lang w:eastAsia="zh-CN"/>
        </w:rPr>
        <w:t>Ge</w:t>
      </w:r>
      <w:r w:rsidR="00410F69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410F69">
        <w:rPr>
          <w:rFonts w:ascii="Arial" w:hAnsi="Arial" w:cs="Arial" w:hint="eastAsia"/>
          <w:b/>
          <w:bCs/>
          <w:sz w:val="22"/>
          <w:szCs w:val="22"/>
          <w:lang w:eastAsia="zh-CN"/>
        </w:rPr>
        <w:t>gecuili</w:t>
      </w:r>
      <w:r w:rsidR="00410F69">
        <w:rPr>
          <w:rFonts w:ascii="Arial" w:hAnsi="Arial" w:cs="Arial"/>
          <w:b/>
          <w:bCs/>
          <w:sz w:val="22"/>
          <w:szCs w:val="22"/>
        </w:rPr>
        <w:t>@huawei.com</w:t>
      </w:r>
    </w:p>
    <w:p w14:paraId="4009E3A9" w14:textId="1863128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D60F3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09D0">
        <w:rPr>
          <w:rFonts w:ascii="Arial" w:hAnsi="Arial" w:cs="Arial"/>
          <w:bCs/>
        </w:rPr>
        <w:t>S6-240</w:t>
      </w:r>
      <w:r w:rsidR="007D0396">
        <w:rPr>
          <w:rFonts w:ascii="Arial" w:hAnsi="Arial" w:cs="Arial"/>
          <w:bCs/>
        </w:rPr>
        <w:t>5</w:t>
      </w:r>
      <w:r w:rsidR="004909D0">
        <w:rPr>
          <w:rFonts w:ascii="Arial" w:hAnsi="Arial" w:cs="Arial"/>
          <w:bCs/>
        </w:rPr>
        <w:t>49/S6-240550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AEAE5DD" w14:textId="0B8E4344" w:rsidR="004F2470" w:rsidRDefault="004F2470" w:rsidP="004F247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CT3</w:t>
      </w:r>
      <w:r w:rsidRPr="00B43586">
        <w:rPr>
          <w:rFonts w:ascii="Arial" w:hAnsi="Arial" w:cs="Arial"/>
          <w:bCs/>
        </w:rPr>
        <w:t xml:space="preserve"> for </w:t>
      </w:r>
      <w:r>
        <w:rPr>
          <w:rFonts w:ascii="Arial" w:hAnsi="Arial" w:cs="Arial"/>
          <w:bCs/>
        </w:rPr>
        <w:t xml:space="preserve">their reply LS on the </w:t>
      </w:r>
      <w:r w:rsidRPr="001C08CC">
        <w:rPr>
          <w:rFonts w:ascii="Arial" w:hAnsi="Arial" w:cs="Arial"/>
          <w:bCs/>
        </w:rPr>
        <w:t>clarifications on V2X, UAS and SEAL entities acting as EAS</w:t>
      </w:r>
      <w:r>
        <w:rPr>
          <w:rFonts w:ascii="Arial" w:hAnsi="Arial" w:cs="Arial"/>
          <w:bCs/>
        </w:rPr>
        <w:t>.</w:t>
      </w:r>
    </w:p>
    <w:p w14:paraId="6BB73183" w14:textId="524B9E43" w:rsidR="004F2470" w:rsidRDefault="004F2470" w:rsidP="004F2470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A6 has discussed this reply LS and </w:t>
      </w:r>
      <w:r>
        <w:rPr>
          <w:rFonts w:ascii="Arial" w:hAnsi="Arial" w:cs="Arial"/>
          <w:bCs/>
        </w:rPr>
        <w:t>would like to provide the following answers:</w:t>
      </w:r>
    </w:p>
    <w:p w14:paraId="2DA2FCF8" w14:textId="217FC7A2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1:</w:t>
      </w:r>
      <w:r w:rsidRPr="004F2470">
        <w:rPr>
          <w:rFonts w:ascii="Arial" w:hAnsi="Arial" w:cs="Arial"/>
          <w:i/>
        </w:rPr>
        <w:tab/>
        <w:t>Can SA6 indicate how the entity (e.g., UAE Server, UASS, VAE Server, VASS, etc.) should be identified? Is it via the EAS ID or the EAS type/category?</w:t>
      </w:r>
    </w:p>
    <w:p w14:paraId="69426BBC" w14:textId="2F2CC96F" w:rsidR="000C0B42" w:rsidRPr="003B13CC" w:rsidRDefault="004F2470" w:rsidP="001E1B0F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1E1B0F">
        <w:rPr>
          <w:rFonts w:ascii="Arial" w:hAnsi="Arial" w:cs="Arial"/>
          <w:b/>
        </w:rPr>
        <w:tab/>
      </w:r>
      <w:r w:rsidR="001E1B0F" w:rsidRPr="001E1B0F">
        <w:rPr>
          <w:rFonts w:ascii="Arial" w:hAnsi="Arial" w:cs="Arial"/>
        </w:rPr>
        <w:t xml:space="preserve">The </w:t>
      </w:r>
      <w:r w:rsidRPr="001E1B0F">
        <w:rPr>
          <w:rFonts w:ascii="Arial" w:hAnsi="Arial" w:cs="Arial"/>
        </w:rPr>
        <w:t>EAS</w:t>
      </w:r>
      <w:r w:rsidRPr="003650CF">
        <w:rPr>
          <w:rFonts w:ascii="Arial" w:hAnsi="Arial" w:cs="Arial"/>
        </w:rPr>
        <w:t xml:space="preserve"> ID is the unique identifier of a particular application</w:t>
      </w:r>
      <w:r w:rsidR="001E1B0F">
        <w:rPr>
          <w:rFonts w:ascii="Arial" w:hAnsi="Arial" w:cs="Arial"/>
        </w:rPr>
        <w:t xml:space="preserve"> and used to identify the application server </w:t>
      </w:r>
      <w:r w:rsidR="001E1B0F" w:rsidRPr="001E1B0F">
        <w:rPr>
          <w:rFonts w:ascii="Arial" w:hAnsi="Arial" w:cs="Arial"/>
        </w:rPr>
        <w:t>entity (e.g., UAE Server, UASS, VAE Server, VASS, etc.)</w:t>
      </w:r>
      <w:r w:rsidR="000C0B42">
        <w:rPr>
          <w:rFonts w:ascii="Arial" w:hAnsi="Arial" w:cs="Arial"/>
        </w:rPr>
        <w:t>.</w:t>
      </w:r>
    </w:p>
    <w:p w14:paraId="60CF71CF" w14:textId="77777777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2:</w:t>
      </w:r>
      <w:r w:rsidRPr="004F2470">
        <w:rPr>
          <w:rFonts w:ascii="Arial" w:hAnsi="Arial" w:cs="Arial"/>
          <w:i/>
        </w:rPr>
        <w:tab/>
        <w:t>Can SA6 indicate how the generic application (e.g., V2X, UAS) should be identified? Is it via the EAS ID or the EAS type/category?</w:t>
      </w:r>
    </w:p>
    <w:p w14:paraId="114E097D" w14:textId="6AFFBB2B" w:rsidR="004F2470" w:rsidRDefault="004F2470" w:rsidP="00A54112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3650CF">
        <w:rPr>
          <w:rFonts w:ascii="Arial" w:hAnsi="Arial" w:cs="Arial"/>
          <w:b/>
        </w:rPr>
        <w:tab/>
      </w:r>
      <w:r w:rsidR="001E1B0F" w:rsidRPr="00E926E2">
        <w:rPr>
          <w:rFonts w:ascii="Arial" w:hAnsi="Arial" w:cs="Arial"/>
        </w:rPr>
        <w:t>EAS type is used to identify generic application like V2X, UAS</w:t>
      </w:r>
      <w:r w:rsidR="003650CF">
        <w:rPr>
          <w:rFonts w:ascii="Arial" w:hAnsi="Arial" w:cs="Arial"/>
        </w:rPr>
        <w:t xml:space="preserve">. </w:t>
      </w:r>
      <w:r w:rsidR="00A54112">
        <w:rPr>
          <w:rFonts w:ascii="Arial" w:hAnsi="Arial" w:cs="Arial"/>
        </w:rPr>
        <w:t xml:space="preserve">multiple applications may be </w:t>
      </w:r>
      <w:r w:rsidR="001E1B0F">
        <w:rPr>
          <w:rFonts w:ascii="Arial" w:hAnsi="Arial" w:cs="Arial"/>
        </w:rPr>
        <w:t>associated with</w:t>
      </w:r>
      <w:r w:rsidR="00A54112">
        <w:rPr>
          <w:rFonts w:ascii="Arial" w:hAnsi="Arial" w:cs="Arial"/>
        </w:rPr>
        <w:t xml:space="preserve"> the same EAS type</w:t>
      </w:r>
      <w:r w:rsidR="001E1B0F">
        <w:rPr>
          <w:rFonts w:ascii="Arial" w:hAnsi="Arial" w:cs="Arial"/>
        </w:rPr>
        <w:t>.</w:t>
      </w:r>
    </w:p>
    <w:p w14:paraId="0AD4D1C2" w14:textId="77777777" w:rsidR="004F2470" w:rsidRPr="004F2470" w:rsidRDefault="004F2470" w:rsidP="004F2470">
      <w:pPr>
        <w:spacing w:after="120"/>
        <w:ind w:left="1440" w:hanging="1440"/>
        <w:rPr>
          <w:rFonts w:ascii="Arial" w:hAnsi="Arial" w:cs="Arial"/>
          <w:i/>
        </w:rPr>
      </w:pPr>
      <w:r w:rsidRPr="004F2470">
        <w:rPr>
          <w:rFonts w:ascii="Arial" w:hAnsi="Arial" w:cs="Arial"/>
          <w:b/>
          <w:i/>
        </w:rPr>
        <w:t>Question 3:</w:t>
      </w:r>
      <w:r w:rsidRPr="004F2470">
        <w:rPr>
          <w:rFonts w:ascii="Arial" w:hAnsi="Arial" w:cs="Arial"/>
          <w:b/>
          <w:i/>
        </w:rPr>
        <w:tab/>
      </w:r>
      <w:r w:rsidRPr="004F2470">
        <w:rPr>
          <w:rFonts w:ascii="Arial" w:hAnsi="Arial" w:cs="Arial"/>
          <w:i/>
        </w:rPr>
        <w:t>As SEAL is more of an enabler layer (i.e., not an application per say), can SA6 indicate whether "SEAL” is required to be added in the EAS type/category or not?</w:t>
      </w:r>
    </w:p>
    <w:p w14:paraId="0AB60FC4" w14:textId="513CB133" w:rsidR="004F2470" w:rsidRPr="003B13CC" w:rsidRDefault="004F2470" w:rsidP="004F2470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SA6 answer:</w:t>
      </w:r>
      <w:r w:rsidR="003650CF">
        <w:rPr>
          <w:rFonts w:ascii="Arial" w:hAnsi="Arial" w:cs="Arial"/>
          <w:b/>
        </w:rPr>
        <w:tab/>
      </w:r>
      <w:r w:rsidR="00BE2856" w:rsidRPr="009F5262">
        <w:rPr>
          <w:rFonts w:ascii="Arial" w:hAnsi="Arial" w:cs="Arial"/>
        </w:rPr>
        <w:t xml:space="preserve">SA6 agree that a generic </w:t>
      </w:r>
      <w:r w:rsidR="003650CF" w:rsidRPr="003650CF">
        <w:rPr>
          <w:rFonts w:ascii="Arial" w:hAnsi="Arial" w:cs="Arial"/>
        </w:rPr>
        <w:t>"</w:t>
      </w:r>
      <w:r w:rsidR="0037616E">
        <w:rPr>
          <w:rFonts w:ascii="Arial" w:hAnsi="Arial" w:cs="Arial"/>
        </w:rPr>
        <w:t>A</w:t>
      </w:r>
      <w:r w:rsidR="00A565A5">
        <w:rPr>
          <w:rFonts w:ascii="Arial" w:hAnsi="Arial" w:cs="Arial"/>
        </w:rPr>
        <w:t xml:space="preserve">pplication </w:t>
      </w:r>
      <w:r w:rsidR="009F5262">
        <w:rPr>
          <w:rFonts w:ascii="Arial" w:hAnsi="Arial" w:cs="Arial"/>
        </w:rPr>
        <w:t>enabler</w:t>
      </w:r>
      <w:r w:rsidR="003650CF" w:rsidRPr="003650CF">
        <w:rPr>
          <w:rFonts w:ascii="Arial" w:hAnsi="Arial" w:cs="Arial"/>
        </w:rPr>
        <w:t xml:space="preserve">" can be </w:t>
      </w:r>
      <w:r w:rsidR="00071C11">
        <w:rPr>
          <w:rFonts w:ascii="Arial" w:hAnsi="Arial" w:cs="Arial"/>
        </w:rPr>
        <w:t>used</w:t>
      </w:r>
      <w:r w:rsidR="003650CF" w:rsidRPr="003650CF">
        <w:rPr>
          <w:rFonts w:ascii="Arial" w:hAnsi="Arial" w:cs="Arial"/>
        </w:rPr>
        <w:t xml:space="preserve"> in the EAS type/category</w:t>
      </w:r>
      <w:r w:rsidR="00A54112">
        <w:rPr>
          <w:rFonts w:ascii="Arial" w:hAnsi="Arial" w:cs="Arial"/>
        </w:rPr>
        <w:t xml:space="preserve"> </w:t>
      </w:r>
      <w:r w:rsidR="009F5262">
        <w:rPr>
          <w:rFonts w:ascii="Arial" w:hAnsi="Arial" w:cs="Arial"/>
        </w:rPr>
        <w:t>for all the enabler servers including SEAL, UAE</w:t>
      </w:r>
      <w:r w:rsidR="00A565A5">
        <w:rPr>
          <w:rFonts w:ascii="Arial" w:hAnsi="Arial" w:cs="Arial"/>
        </w:rPr>
        <w:t>, UAE</w:t>
      </w:r>
      <w:r w:rsidR="007226DB">
        <w:rPr>
          <w:rFonts w:ascii="Arial" w:hAnsi="Arial" w:cs="Arial"/>
        </w:rPr>
        <w:t>, etc</w:t>
      </w:r>
      <w:r w:rsidR="00A54112">
        <w:rPr>
          <w:rFonts w:ascii="Arial" w:hAnsi="Arial" w:cs="Arial"/>
        </w:rPr>
        <w:t xml:space="preserve">. </w:t>
      </w:r>
      <w:r w:rsidR="004909D0">
        <w:rPr>
          <w:rFonts w:ascii="Arial" w:hAnsi="Arial" w:cs="Arial"/>
        </w:rPr>
        <w:t>Please refer the attached CRs.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59CA766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A36B4" w:rsidRPr="00EA36B4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0DF0A4E9" w14:textId="7F410BEE" w:rsidR="00B97703" w:rsidRPr="00017F23" w:rsidRDefault="00B97703" w:rsidP="00EA36B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A36B4" w:rsidRPr="00EA36B4">
        <w:rPr>
          <w:rFonts w:ascii="Arial" w:eastAsia="Times New Roman" w:hAnsi="Arial" w:cs="Arial"/>
          <w:bCs/>
        </w:rPr>
        <w:t>SA6</w:t>
      </w:r>
      <w:r w:rsidRPr="00EA36B4">
        <w:rPr>
          <w:rFonts w:ascii="Arial" w:eastAsia="Times New Roman" w:hAnsi="Arial" w:cs="Arial"/>
          <w:bCs/>
        </w:rPr>
        <w:t xml:space="preserve"> asks </w:t>
      </w:r>
      <w:r w:rsidR="00EA36B4" w:rsidRPr="00EA36B4">
        <w:rPr>
          <w:rFonts w:ascii="Arial" w:eastAsia="Times New Roman" w:hAnsi="Arial" w:cs="Arial"/>
          <w:bCs/>
        </w:rPr>
        <w:t>CT3</w:t>
      </w:r>
      <w:r w:rsidRPr="00EA36B4">
        <w:rPr>
          <w:rFonts w:ascii="Arial" w:eastAsia="Times New Roman" w:hAnsi="Arial" w:cs="Arial"/>
          <w:bCs/>
        </w:rPr>
        <w:t xml:space="preserve"> to</w:t>
      </w:r>
      <w:r w:rsidR="00017F23" w:rsidRPr="00EA36B4">
        <w:rPr>
          <w:rFonts w:ascii="Arial" w:eastAsia="Times New Roman" w:hAnsi="Arial" w:cs="Arial"/>
          <w:bCs/>
        </w:rPr>
        <w:t xml:space="preserve"> </w:t>
      </w:r>
      <w:r w:rsidR="00EA36B4" w:rsidRPr="00EA36B4">
        <w:rPr>
          <w:rFonts w:ascii="Arial" w:eastAsia="Times New Roman" w:hAnsi="Arial" w:cs="Arial"/>
          <w:bCs/>
        </w:rPr>
        <w:t xml:space="preserve">consider the above answers in their </w:t>
      </w:r>
      <w:r w:rsidR="00364AC0">
        <w:rPr>
          <w:rFonts w:ascii="Arial" w:eastAsia="Times New Roman" w:hAnsi="Arial" w:cs="Arial"/>
          <w:bCs/>
        </w:rPr>
        <w:t xml:space="preserve">related </w:t>
      </w:r>
      <w:r w:rsidR="00EA36B4" w:rsidRPr="00EA36B4">
        <w:rPr>
          <w:rFonts w:ascii="Arial" w:eastAsia="Times New Roman" w:hAnsi="Arial" w:cs="Arial"/>
          <w:bCs/>
        </w:rPr>
        <w:t>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210E5BF3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762B96">
        <w:rPr>
          <w:rFonts w:ascii="Arial" w:hAnsi="Arial" w:cs="Arial"/>
          <w:bCs/>
        </w:rPr>
        <w:t>Changsha</w:t>
      </w:r>
      <w:bookmarkStart w:id="11" w:name="_GoBack"/>
      <w:bookmarkEnd w:id="11"/>
      <w:r>
        <w:rPr>
          <w:rFonts w:ascii="Arial" w:hAnsi="Arial" w:cs="Arial"/>
          <w:bCs/>
        </w:rPr>
        <w:t>, China</w:t>
      </w:r>
    </w:p>
    <w:p w14:paraId="23E0A6C1" w14:textId="1348EBFC" w:rsidR="00B27EB4" w:rsidRPr="00095BC2" w:rsidRDefault="00B27EB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B27EB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sectPr w:rsidR="00B27EB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B8304" w14:textId="77777777" w:rsidR="005700C1" w:rsidRDefault="005700C1">
      <w:pPr>
        <w:spacing w:after="0"/>
      </w:pPr>
      <w:r>
        <w:separator/>
      </w:r>
    </w:p>
  </w:endnote>
  <w:endnote w:type="continuationSeparator" w:id="0">
    <w:p w14:paraId="376EF64B" w14:textId="77777777" w:rsidR="005700C1" w:rsidRDefault="005700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FF047" w14:textId="77777777" w:rsidR="005700C1" w:rsidRDefault="005700C1">
      <w:pPr>
        <w:spacing w:after="0"/>
      </w:pPr>
      <w:r>
        <w:separator/>
      </w:r>
    </w:p>
  </w:footnote>
  <w:footnote w:type="continuationSeparator" w:id="0">
    <w:p w14:paraId="75BA82A8" w14:textId="77777777" w:rsidR="005700C1" w:rsidRDefault="005700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1B62"/>
    <w:rsid w:val="00046F08"/>
    <w:rsid w:val="00071C11"/>
    <w:rsid w:val="00095BC2"/>
    <w:rsid w:val="000C0B42"/>
    <w:rsid w:val="000C2DA1"/>
    <w:rsid w:val="000C3E1C"/>
    <w:rsid w:val="000F6242"/>
    <w:rsid w:val="00174844"/>
    <w:rsid w:val="001E1B0F"/>
    <w:rsid w:val="002201E4"/>
    <w:rsid w:val="002430DD"/>
    <w:rsid w:val="00270389"/>
    <w:rsid w:val="002A6824"/>
    <w:rsid w:val="002F18D2"/>
    <w:rsid w:val="002F1940"/>
    <w:rsid w:val="00316630"/>
    <w:rsid w:val="00320F57"/>
    <w:rsid w:val="00334FB8"/>
    <w:rsid w:val="0034030B"/>
    <w:rsid w:val="00364AC0"/>
    <w:rsid w:val="003650CF"/>
    <w:rsid w:val="0037616E"/>
    <w:rsid w:val="00383545"/>
    <w:rsid w:val="003B654D"/>
    <w:rsid w:val="003C489E"/>
    <w:rsid w:val="003D3743"/>
    <w:rsid w:val="00410F69"/>
    <w:rsid w:val="00433500"/>
    <w:rsid w:val="00433F71"/>
    <w:rsid w:val="00440D43"/>
    <w:rsid w:val="00455362"/>
    <w:rsid w:val="0045595F"/>
    <w:rsid w:val="00477B79"/>
    <w:rsid w:val="004909D0"/>
    <w:rsid w:val="004A188A"/>
    <w:rsid w:val="004B46AC"/>
    <w:rsid w:val="004D063A"/>
    <w:rsid w:val="004E3939"/>
    <w:rsid w:val="004F2470"/>
    <w:rsid w:val="00520EC6"/>
    <w:rsid w:val="00524687"/>
    <w:rsid w:val="005700C1"/>
    <w:rsid w:val="005B5087"/>
    <w:rsid w:val="005F3B26"/>
    <w:rsid w:val="00646E60"/>
    <w:rsid w:val="006A3A35"/>
    <w:rsid w:val="006B0604"/>
    <w:rsid w:val="006E0D4F"/>
    <w:rsid w:val="006F2D99"/>
    <w:rsid w:val="007226DB"/>
    <w:rsid w:val="00726022"/>
    <w:rsid w:val="00762B96"/>
    <w:rsid w:val="007D0396"/>
    <w:rsid w:val="007F4F92"/>
    <w:rsid w:val="007F6F25"/>
    <w:rsid w:val="00832356"/>
    <w:rsid w:val="00832B2B"/>
    <w:rsid w:val="008858CD"/>
    <w:rsid w:val="008D772F"/>
    <w:rsid w:val="008E197E"/>
    <w:rsid w:val="00932953"/>
    <w:rsid w:val="00953874"/>
    <w:rsid w:val="0099764C"/>
    <w:rsid w:val="009F5262"/>
    <w:rsid w:val="00A46CCB"/>
    <w:rsid w:val="00A54112"/>
    <w:rsid w:val="00A565A5"/>
    <w:rsid w:val="00A653CE"/>
    <w:rsid w:val="00A71544"/>
    <w:rsid w:val="00A902A1"/>
    <w:rsid w:val="00A90373"/>
    <w:rsid w:val="00AC0D35"/>
    <w:rsid w:val="00AC6106"/>
    <w:rsid w:val="00AE1828"/>
    <w:rsid w:val="00B27EB4"/>
    <w:rsid w:val="00B33F3C"/>
    <w:rsid w:val="00B5011D"/>
    <w:rsid w:val="00B823A6"/>
    <w:rsid w:val="00B907E6"/>
    <w:rsid w:val="00B97703"/>
    <w:rsid w:val="00BA1A46"/>
    <w:rsid w:val="00BB6A1F"/>
    <w:rsid w:val="00BE2856"/>
    <w:rsid w:val="00BE3585"/>
    <w:rsid w:val="00C04BAC"/>
    <w:rsid w:val="00C17B7B"/>
    <w:rsid w:val="00C23C20"/>
    <w:rsid w:val="00C362C0"/>
    <w:rsid w:val="00C5159B"/>
    <w:rsid w:val="00CD5002"/>
    <w:rsid w:val="00CF6087"/>
    <w:rsid w:val="00D02856"/>
    <w:rsid w:val="00D144DE"/>
    <w:rsid w:val="00D209D8"/>
    <w:rsid w:val="00D25CD3"/>
    <w:rsid w:val="00D5725A"/>
    <w:rsid w:val="00D62A0E"/>
    <w:rsid w:val="00D84FCE"/>
    <w:rsid w:val="00D856BD"/>
    <w:rsid w:val="00DF3C27"/>
    <w:rsid w:val="00DF7E9B"/>
    <w:rsid w:val="00E1561F"/>
    <w:rsid w:val="00E92981"/>
    <w:rsid w:val="00E961C6"/>
    <w:rsid w:val="00EA36B4"/>
    <w:rsid w:val="00EC0AE9"/>
    <w:rsid w:val="00ED48C3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1B0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B27E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B27E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27EB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27EB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27EB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27EB4"/>
    <w:pPr>
      <w:outlineLvl w:val="5"/>
    </w:pPr>
  </w:style>
  <w:style w:type="paragraph" w:styleId="7">
    <w:name w:val="heading 7"/>
    <w:basedOn w:val="H6"/>
    <w:next w:val="a"/>
    <w:qFormat/>
    <w:rsid w:val="00B27EB4"/>
    <w:pPr>
      <w:outlineLvl w:val="6"/>
    </w:pPr>
  </w:style>
  <w:style w:type="paragraph" w:styleId="8">
    <w:name w:val="heading 8"/>
    <w:basedOn w:val="1"/>
    <w:next w:val="a"/>
    <w:qFormat/>
    <w:rsid w:val="00B27E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7E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27E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B27EB4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B27EB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27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B27E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27E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7EB4"/>
    <w:pPr>
      <w:ind w:left="1701" w:hanging="1701"/>
    </w:pPr>
  </w:style>
  <w:style w:type="paragraph" w:styleId="TOC4">
    <w:name w:val="toc 4"/>
    <w:basedOn w:val="TOC3"/>
    <w:semiHidden/>
    <w:rsid w:val="00B27EB4"/>
    <w:pPr>
      <w:ind w:left="1418" w:hanging="1418"/>
    </w:pPr>
  </w:style>
  <w:style w:type="paragraph" w:styleId="TOC3">
    <w:name w:val="toc 3"/>
    <w:basedOn w:val="TOC2"/>
    <w:semiHidden/>
    <w:rsid w:val="00B27EB4"/>
    <w:pPr>
      <w:ind w:left="1134" w:hanging="1134"/>
    </w:pPr>
  </w:style>
  <w:style w:type="paragraph" w:styleId="TOC2">
    <w:name w:val="toc 2"/>
    <w:basedOn w:val="TOC1"/>
    <w:semiHidden/>
    <w:rsid w:val="00B27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27EB4"/>
    <w:pPr>
      <w:ind w:left="284"/>
    </w:pPr>
  </w:style>
  <w:style w:type="paragraph" w:styleId="10">
    <w:name w:val="index 1"/>
    <w:basedOn w:val="a"/>
    <w:semiHidden/>
    <w:rsid w:val="00B27EB4"/>
    <w:pPr>
      <w:keepLines/>
      <w:spacing w:after="0"/>
    </w:pPr>
  </w:style>
  <w:style w:type="paragraph" w:customStyle="1" w:styleId="ZH">
    <w:name w:val="ZH"/>
    <w:rsid w:val="00B27E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27EB4"/>
    <w:pPr>
      <w:outlineLvl w:val="9"/>
    </w:pPr>
  </w:style>
  <w:style w:type="paragraph" w:styleId="22">
    <w:name w:val="List Number 2"/>
    <w:basedOn w:val="ae"/>
    <w:semiHidden/>
    <w:rsid w:val="00B27EB4"/>
    <w:pPr>
      <w:ind w:left="851"/>
    </w:pPr>
  </w:style>
  <w:style w:type="character" w:styleId="af">
    <w:name w:val="footnote reference"/>
    <w:semiHidden/>
    <w:rsid w:val="00B27EB4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B27EB4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B27EB4"/>
    <w:rPr>
      <w:b/>
    </w:rPr>
  </w:style>
  <w:style w:type="paragraph" w:customStyle="1" w:styleId="TAC">
    <w:name w:val="TAC"/>
    <w:basedOn w:val="TAL"/>
    <w:rsid w:val="00B27EB4"/>
    <w:pPr>
      <w:jc w:val="center"/>
    </w:pPr>
  </w:style>
  <w:style w:type="paragraph" w:customStyle="1" w:styleId="TF">
    <w:name w:val="TF"/>
    <w:basedOn w:val="TH"/>
    <w:rsid w:val="00B27EB4"/>
    <w:pPr>
      <w:keepNext w:val="0"/>
      <w:spacing w:before="0" w:after="240"/>
    </w:pPr>
  </w:style>
  <w:style w:type="paragraph" w:customStyle="1" w:styleId="NO">
    <w:name w:val="NO"/>
    <w:basedOn w:val="a"/>
    <w:rsid w:val="00B27EB4"/>
    <w:pPr>
      <w:keepLines/>
      <w:ind w:left="1135" w:hanging="851"/>
    </w:pPr>
  </w:style>
  <w:style w:type="paragraph" w:styleId="TOC9">
    <w:name w:val="toc 9"/>
    <w:basedOn w:val="TOC8"/>
    <w:semiHidden/>
    <w:rsid w:val="00B27EB4"/>
    <w:pPr>
      <w:ind w:left="1418" w:hanging="1418"/>
    </w:pPr>
  </w:style>
  <w:style w:type="paragraph" w:customStyle="1" w:styleId="EX">
    <w:name w:val="EX"/>
    <w:basedOn w:val="a"/>
    <w:rsid w:val="00B27EB4"/>
    <w:pPr>
      <w:keepLines/>
      <w:ind w:left="1702" w:hanging="1418"/>
    </w:pPr>
  </w:style>
  <w:style w:type="paragraph" w:customStyle="1" w:styleId="FP">
    <w:name w:val="FP"/>
    <w:basedOn w:val="a"/>
    <w:rsid w:val="00B27EB4"/>
    <w:pPr>
      <w:spacing w:after="0"/>
    </w:pPr>
  </w:style>
  <w:style w:type="paragraph" w:customStyle="1" w:styleId="LD">
    <w:name w:val="LD"/>
    <w:rsid w:val="00B27E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27EB4"/>
    <w:pPr>
      <w:spacing w:after="0"/>
    </w:pPr>
  </w:style>
  <w:style w:type="paragraph" w:customStyle="1" w:styleId="EW">
    <w:name w:val="EW"/>
    <w:basedOn w:val="EX"/>
    <w:rsid w:val="00B27EB4"/>
    <w:pPr>
      <w:spacing w:after="0"/>
    </w:pPr>
  </w:style>
  <w:style w:type="paragraph" w:styleId="TOC6">
    <w:name w:val="toc 6"/>
    <w:basedOn w:val="TOC5"/>
    <w:next w:val="a"/>
    <w:semiHidden/>
    <w:rsid w:val="00B27EB4"/>
    <w:pPr>
      <w:ind w:left="1985" w:hanging="1985"/>
    </w:pPr>
  </w:style>
  <w:style w:type="paragraph" w:styleId="TOC7">
    <w:name w:val="toc 7"/>
    <w:basedOn w:val="TOC6"/>
    <w:next w:val="a"/>
    <w:semiHidden/>
    <w:rsid w:val="00B27EB4"/>
    <w:pPr>
      <w:ind w:left="2268" w:hanging="2268"/>
    </w:pPr>
  </w:style>
  <w:style w:type="paragraph" w:styleId="23">
    <w:name w:val="List Bullet 2"/>
    <w:basedOn w:val="af2"/>
    <w:semiHidden/>
    <w:rsid w:val="00B27EB4"/>
    <w:pPr>
      <w:ind w:left="851"/>
    </w:pPr>
  </w:style>
  <w:style w:type="paragraph" w:styleId="30">
    <w:name w:val="List Bullet 3"/>
    <w:basedOn w:val="23"/>
    <w:semiHidden/>
    <w:rsid w:val="00B27EB4"/>
    <w:pPr>
      <w:ind w:left="1135"/>
    </w:pPr>
  </w:style>
  <w:style w:type="paragraph" w:styleId="ae">
    <w:name w:val="List Number"/>
    <w:basedOn w:val="a8"/>
    <w:semiHidden/>
    <w:rsid w:val="00B27EB4"/>
  </w:style>
  <w:style w:type="paragraph" w:customStyle="1" w:styleId="EQ">
    <w:name w:val="EQ"/>
    <w:basedOn w:val="a"/>
    <w:next w:val="a"/>
    <w:rsid w:val="00B27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27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7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7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7EB4"/>
    <w:pPr>
      <w:jc w:val="right"/>
    </w:pPr>
  </w:style>
  <w:style w:type="paragraph" w:customStyle="1" w:styleId="H6">
    <w:name w:val="H6"/>
    <w:basedOn w:val="5"/>
    <w:next w:val="a"/>
    <w:rsid w:val="00B27E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7EB4"/>
    <w:pPr>
      <w:ind w:left="851" w:hanging="851"/>
    </w:pPr>
  </w:style>
  <w:style w:type="paragraph" w:customStyle="1" w:styleId="TAL">
    <w:name w:val="TAL"/>
    <w:basedOn w:val="a"/>
    <w:rsid w:val="00B27E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27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27E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27E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27E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27EB4"/>
    <w:pPr>
      <w:framePr w:wrap="notBeside" w:y="16161"/>
    </w:pPr>
  </w:style>
  <w:style w:type="character" w:customStyle="1" w:styleId="ZGSM">
    <w:name w:val="ZGSM"/>
    <w:rsid w:val="00B27EB4"/>
  </w:style>
  <w:style w:type="paragraph" w:styleId="24">
    <w:name w:val="List 2"/>
    <w:basedOn w:val="a8"/>
    <w:semiHidden/>
    <w:rsid w:val="00B27EB4"/>
    <w:pPr>
      <w:ind w:left="851"/>
    </w:pPr>
  </w:style>
  <w:style w:type="paragraph" w:customStyle="1" w:styleId="ZG">
    <w:name w:val="ZG"/>
    <w:rsid w:val="00B27E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B27EB4"/>
    <w:pPr>
      <w:ind w:left="1135"/>
    </w:pPr>
  </w:style>
  <w:style w:type="paragraph" w:styleId="40">
    <w:name w:val="List 4"/>
    <w:basedOn w:val="31"/>
    <w:semiHidden/>
    <w:rsid w:val="00B27EB4"/>
    <w:pPr>
      <w:ind w:left="1418"/>
    </w:pPr>
  </w:style>
  <w:style w:type="paragraph" w:styleId="50">
    <w:name w:val="List 5"/>
    <w:basedOn w:val="40"/>
    <w:semiHidden/>
    <w:rsid w:val="00B27EB4"/>
    <w:pPr>
      <w:ind w:left="1702"/>
    </w:pPr>
  </w:style>
  <w:style w:type="paragraph" w:customStyle="1" w:styleId="EditorsNote">
    <w:name w:val="Editor's Note"/>
    <w:basedOn w:val="NO"/>
    <w:rsid w:val="00B27EB4"/>
    <w:rPr>
      <w:color w:val="FF0000"/>
    </w:rPr>
  </w:style>
  <w:style w:type="paragraph" w:styleId="a8">
    <w:name w:val="List"/>
    <w:basedOn w:val="a"/>
    <w:semiHidden/>
    <w:rsid w:val="00B27EB4"/>
    <w:pPr>
      <w:ind w:left="568" w:hanging="284"/>
    </w:pPr>
  </w:style>
  <w:style w:type="paragraph" w:styleId="af2">
    <w:name w:val="List Bullet"/>
    <w:basedOn w:val="a8"/>
    <w:semiHidden/>
    <w:rsid w:val="00B27EB4"/>
  </w:style>
  <w:style w:type="paragraph" w:styleId="41">
    <w:name w:val="List Bullet 4"/>
    <w:basedOn w:val="30"/>
    <w:semiHidden/>
    <w:rsid w:val="00B27EB4"/>
    <w:pPr>
      <w:ind w:left="1418"/>
    </w:pPr>
  </w:style>
  <w:style w:type="paragraph" w:styleId="51">
    <w:name w:val="List Bullet 5"/>
    <w:basedOn w:val="41"/>
    <w:semiHidden/>
    <w:rsid w:val="00B27EB4"/>
    <w:pPr>
      <w:ind w:left="1702"/>
    </w:pPr>
  </w:style>
  <w:style w:type="paragraph" w:customStyle="1" w:styleId="B2">
    <w:name w:val="B2"/>
    <w:basedOn w:val="24"/>
    <w:rsid w:val="00B27EB4"/>
  </w:style>
  <w:style w:type="paragraph" w:customStyle="1" w:styleId="B3">
    <w:name w:val="B3"/>
    <w:basedOn w:val="31"/>
    <w:rsid w:val="00B27EB4"/>
  </w:style>
  <w:style w:type="paragraph" w:customStyle="1" w:styleId="B4">
    <w:name w:val="B4"/>
    <w:basedOn w:val="40"/>
    <w:rsid w:val="00B27EB4"/>
  </w:style>
  <w:style w:type="paragraph" w:customStyle="1" w:styleId="B5">
    <w:name w:val="B5"/>
    <w:basedOn w:val="50"/>
    <w:rsid w:val="00B27EB4"/>
  </w:style>
  <w:style w:type="paragraph" w:customStyle="1" w:styleId="ZTD">
    <w:name w:val="ZTD"/>
    <w:basedOn w:val="ZB"/>
    <w:rsid w:val="00B27EB4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HW-Rev2</cp:lastModifiedBy>
  <cp:revision>3</cp:revision>
  <cp:lastPrinted>2002-04-23T07:10:00Z</cp:lastPrinted>
  <dcterms:created xsi:type="dcterms:W3CDTF">2024-03-01T06:56:00Z</dcterms:created>
  <dcterms:modified xsi:type="dcterms:W3CDTF">2024-03-01T06:57:00Z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(3)CMlO50bjZZjK36EQyiJscQ3mWT4e7TKZ9hFQ5hrTEcadkAr2huKe1qzBu8mxMhADcsTL27TL
BPtpoAZnJuWxyproVYWbv4K/o7J35pZm0xNU/nmatGQdXwyAsupaXWv2wWsetkytwRYTFx+N
giIuqjOAWmWM4EvDiCSKsjZgFs5IXgd6eL1hf3pH7TEVjj3lm+PnHGyMHfTZLZLHKRYxpCUY
zbxzbvK4wDkx/WrCX5</vt:lpwstr>
  </property>
  <property fmtid="{D5CDD505-2E9C-101B-9397-08002B2CF9AE}" pid="3" name="_2015_ms_pID_7253431">
    <vt:lpwstr>VrSEg08/LYVQ87CODHrDeUbd0U90uhGxmXIdNlnsneYRLwJzd+w/OY
tzNxVL8RK3gE99LgcDL6XPgm/u9FTjStMWaAUOW5fzg6aez/Qc/CtGrmfhVqLWLGEL4csDl1
cumVcFASa64flh8nGZObdQSZTqP6qsQ/28fENujR7okLEjVkmYXFGhLPbqFf/5uzlaQ0lLVb
t33PQen7ch9rKB3yVgkmqn9vcD+rGSPDt6Af</vt:lpwstr>
  </property>
  <property fmtid="{D5CDD505-2E9C-101B-9397-08002B2CF9AE}" pid="4" name="_2015_ms_pID_7253432">
    <vt:lpwstr>RQ==</vt:lpwstr>
  </property>
</Properties>
</file>