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2336A">
        <w:fldChar w:fldCharType="begin"/>
      </w:r>
      <w:r w:rsidR="0022336A">
        <w:instrText xml:space="preserve"> DOCPROPERTY  TSG/WGRef  \* MERGEFORMAT </w:instrText>
      </w:r>
      <w:r w:rsidR="0022336A">
        <w:fldChar w:fldCharType="separate"/>
      </w:r>
      <w:r w:rsidR="003609EF">
        <w:rPr>
          <w:b/>
          <w:noProof/>
          <w:sz w:val="24"/>
        </w:rPr>
        <w:t>CT3</w:t>
      </w:r>
      <w:r w:rsidR="0022336A">
        <w:rPr>
          <w:b/>
          <w:noProof/>
          <w:sz w:val="24"/>
        </w:rPr>
        <w:fldChar w:fldCharType="end"/>
      </w:r>
      <w:r w:rsidR="00C66BA2">
        <w:rPr>
          <w:b/>
          <w:noProof/>
          <w:sz w:val="24"/>
        </w:rPr>
        <w:t xml:space="preserve"> </w:t>
      </w:r>
      <w:r>
        <w:rPr>
          <w:b/>
          <w:noProof/>
          <w:sz w:val="24"/>
        </w:rPr>
        <w:t>Meeting #</w:t>
      </w:r>
      <w:r w:rsidR="0022336A">
        <w:fldChar w:fldCharType="begin"/>
      </w:r>
      <w:r w:rsidR="0022336A">
        <w:instrText xml:space="preserve"> DOCPROPERTY  MtgSeq  \* MERGEFORMAT </w:instrText>
      </w:r>
      <w:r w:rsidR="0022336A">
        <w:fldChar w:fldCharType="separate"/>
      </w:r>
      <w:r w:rsidR="00EB09B7" w:rsidRPr="00EB09B7">
        <w:rPr>
          <w:b/>
          <w:noProof/>
          <w:sz w:val="24"/>
        </w:rPr>
        <w:t>116</w:t>
      </w:r>
      <w:r w:rsidR="0022336A">
        <w:rPr>
          <w:b/>
          <w:noProof/>
          <w:sz w:val="24"/>
        </w:rPr>
        <w:fldChar w:fldCharType="end"/>
      </w:r>
      <w:r w:rsidR="0022336A">
        <w:fldChar w:fldCharType="begin"/>
      </w:r>
      <w:r w:rsidR="0022336A">
        <w:instrText xml:space="preserve"> DOCPROPERTY  MtgTitle  \* MERGEFORMAT </w:instrText>
      </w:r>
      <w:r w:rsidR="0022336A">
        <w:fldChar w:fldCharType="separate"/>
      </w:r>
      <w:r w:rsidR="00EB09B7">
        <w:rPr>
          <w:b/>
          <w:noProof/>
          <w:sz w:val="24"/>
        </w:rPr>
        <w:t>-e</w:t>
      </w:r>
      <w:r w:rsidR="0022336A">
        <w:rPr>
          <w:b/>
          <w:noProof/>
          <w:sz w:val="24"/>
        </w:rPr>
        <w:fldChar w:fldCharType="end"/>
      </w:r>
      <w:r>
        <w:rPr>
          <w:b/>
          <w:i/>
          <w:noProof/>
          <w:sz w:val="28"/>
        </w:rPr>
        <w:tab/>
      </w:r>
      <w:r w:rsidR="0022336A">
        <w:fldChar w:fldCharType="begin"/>
      </w:r>
      <w:r w:rsidR="0022336A">
        <w:instrText xml:space="preserve"> DOCPROPERTY  Tdoc#  \* MERGEFORMAT </w:instrText>
      </w:r>
      <w:r w:rsidR="0022336A">
        <w:fldChar w:fldCharType="separate"/>
      </w:r>
      <w:r w:rsidR="00E13F3D" w:rsidRPr="00E13F3D">
        <w:rPr>
          <w:b/>
          <w:i/>
          <w:noProof/>
          <w:sz w:val="28"/>
        </w:rPr>
        <w:t>C3-213247</w:t>
      </w:r>
      <w:r w:rsidR="0022336A">
        <w:rPr>
          <w:b/>
          <w:i/>
          <w:noProof/>
          <w:sz w:val="28"/>
        </w:rPr>
        <w:fldChar w:fldCharType="end"/>
      </w:r>
    </w:p>
    <w:p w14:paraId="7CB45193" w14:textId="77777777" w:rsidR="001E41F3" w:rsidRDefault="002233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33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33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33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33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10F046" w:rsidR="00F25D98" w:rsidRDefault="004831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336A">
            <w:pPr>
              <w:pStyle w:val="CRCoverPage"/>
              <w:spacing w:after="0"/>
              <w:ind w:left="100"/>
              <w:rPr>
                <w:noProof/>
              </w:rPr>
            </w:pPr>
            <w:r>
              <w:fldChar w:fldCharType="begin"/>
            </w:r>
            <w:r>
              <w:instrText xml:space="preserve"> DOCPROPERTY  CrTitle  \* MERGEFORMAT </w:instrText>
            </w:r>
            <w:r>
              <w:fldChar w:fldCharType="separate"/>
            </w:r>
            <w:r w:rsidR="002640DD">
              <w:t>Correction of missing interaction for updating UDR data based on usage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336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EF263" w:rsidR="001E41F3" w:rsidRDefault="004831A1" w:rsidP="00547111">
            <w:pPr>
              <w:pStyle w:val="CRCoverPage"/>
              <w:spacing w:after="0"/>
              <w:ind w:left="100"/>
              <w:rPr>
                <w:noProof/>
              </w:rPr>
            </w:pPr>
            <w:r>
              <w:t>C3</w:t>
            </w:r>
            <w:r w:rsidR="0022336A">
              <w:fldChar w:fldCharType="begin"/>
            </w:r>
            <w:r w:rsidR="0022336A">
              <w:instrText xml:space="preserve"> DOCPROPERTY  SourceIfTsg  \* MERGEFORMAT </w:instrText>
            </w:r>
            <w:r w:rsidR="0022336A">
              <w:fldChar w:fldCharType="separate"/>
            </w:r>
            <w:r w:rsidR="002233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336A">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336A">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33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336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1CFD" w14:paraId="1256F52C" w14:textId="77777777" w:rsidTr="00547111">
        <w:tc>
          <w:tcPr>
            <w:tcW w:w="2694" w:type="dxa"/>
            <w:gridSpan w:val="2"/>
            <w:tcBorders>
              <w:top w:val="single" w:sz="4" w:space="0" w:color="auto"/>
              <w:left w:val="single" w:sz="4" w:space="0" w:color="auto"/>
            </w:tcBorders>
          </w:tcPr>
          <w:p w14:paraId="52C87DB0" w14:textId="77777777" w:rsidR="00A71CFD" w:rsidRDefault="00A71CFD" w:rsidP="00A71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0E86E" w:rsidR="00A71CFD" w:rsidRDefault="00A71CFD" w:rsidP="00A71CFD">
            <w:pPr>
              <w:pStyle w:val="CRCoverPage"/>
              <w:spacing w:after="0"/>
              <w:ind w:left="100"/>
              <w:rPr>
                <w:noProof/>
              </w:rPr>
            </w:pPr>
            <w:r>
              <w:rPr>
                <w:noProof/>
              </w:rPr>
              <w:t>The signalling flow for SM Policy association modification completely misses the potential update of the UDR (for the "remaining allowed data"), which is not captured anywhere else in the specification, either. This brings incosistencies and causes misunderstandings about the mechanism and the applicability of the usage monitoring feature.</w:t>
            </w:r>
          </w:p>
        </w:tc>
      </w:tr>
      <w:tr w:rsidR="00A71CFD" w14:paraId="4CA74D09" w14:textId="77777777" w:rsidTr="00547111">
        <w:tc>
          <w:tcPr>
            <w:tcW w:w="2694" w:type="dxa"/>
            <w:gridSpan w:val="2"/>
            <w:tcBorders>
              <w:left w:val="single" w:sz="4" w:space="0" w:color="auto"/>
            </w:tcBorders>
          </w:tcPr>
          <w:p w14:paraId="2D0866D6" w14:textId="77777777" w:rsidR="00A71CFD" w:rsidRDefault="00A71CFD" w:rsidP="00A71CFD">
            <w:pPr>
              <w:pStyle w:val="CRCoverPage"/>
              <w:spacing w:after="0"/>
              <w:rPr>
                <w:b/>
                <w:i/>
                <w:noProof/>
                <w:sz w:val="8"/>
                <w:szCs w:val="8"/>
              </w:rPr>
            </w:pPr>
          </w:p>
        </w:tc>
        <w:tc>
          <w:tcPr>
            <w:tcW w:w="6946" w:type="dxa"/>
            <w:gridSpan w:val="9"/>
            <w:tcBorders>
              <w:right w:val="single" w:sz="4" w:space="0" w:color="auto"/>
            </w:tcBorders>
          </w:tcPr>
          <w:p w14:paraId="365DEF04" w14:textId="77777777" w:rsidR="00A71CFD" w:rsidRDefault="00A71CFD" w:rsidP="00A71CFD">
            <w:pPr>
              <w:pStyle w:val="CRCoverPage"/>
              <w:spacing w:after="0"/>
              <w:rPr>
                <w:noProof/>
                <w:sz w:val="8"/>
                <w:szCs w:val="8"/>
              </w:rPr>
            </w:pPr>
          </w:p>
        </w:tc>
      </w:tr>
      <w:tr w:rsidR="00A71CFD" w14:paraId="21016551" w14:textId="77777777" w:rsidTr="00547111">
        <w:tc>
          <w:tcPr>
            <w:tcW w:w="2694" w:type="dxa"/>
            <w:gridSpan w:val="2"/>
            <w:tcBorders>
              <w:left w:val="single" w:sz="4" w:space="0" w:color="auto"/>
            </w:tcBorders>
          </w:tcPr>
          <w:p w14:paraId="49433147" w14:textId="77777777" w:rsidR="00A71CFD" w:rsidRDefault="00A71CFD" w:rsidP="00A71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116C92" w:rsidR="00A71CFD" w:rsidRDefault="00A71CFD" w:rsidP="00A71CFD">
            <w:pPr>
              <w:pStyle w:val="CRCoverPage"/>
              <w:spacing w:after="0"/>
              <w:ind w:left="100"/>
              <w:rPr>
                <w:noProof/>
              </w:rPr>
            </w:pPr>
            <w:r>
              <w:rPr>
                <w:noProof/>
              </w:rPr>
              <w:t>Added the step to update the UDR data when a usage report is received in the Npcf_SMPolicyControl_Update message.</w:t>
            </w:r>
          </w:p>
        </w:tc>
      </w:tr>
      <w:tr w:rsidR="00A71CFD" w14:paraId="1F886379" w14:textId="77777777" w:rsidTr="00547111">
        <w:tc>
          <w:tcPr>
            <w:tcW w:w="2694" w:type="dxa"/>
            <w:gridSpan w:val="2"/>
            <w:tcBorders>
              <w:left w:val="single" w:sz="4" w:space="0" w:color="auto"/>
            </w:tcBorders>
          </w:tcPr>
          <w:p w14:paraId="4D989623" w14:textId="77777777" w:rsidR="00A71CFD" w:rsidRDefault="00A71CFD" w:rsidP="00A71CFD">
            <w:pPr>
              <w:pStyle w:val="CRCoverPage"/>
              <w:spacing w:after="0"/>
              <w:rPr>
                <w:b/>
                <w:i/>
                <w:noProof/>
                <w:sz w:val="8"/>
                <w:szCs w:val="8"/>
              </w:rPr>
            </w:pPr>
          </w:p>
        </w:tc>
        <w:tc>
          <w:tcPr>
            <w:tcW w:w="6946" w:type="dxa"/>
            <w:gridSpan w:val="9"/>
            <w:tcBorders>
              <w:right w:val="single" w:sz="4" w:space="0" w:color="auto"/>
            </w:tcBorders>
          </w:tcPr>
          <w:p w14:paraId="71C4A204" w14:textId="77777777" w:rsidR="00A71CFD" w:rsidRDefault="00A71CFD" w:rsidP="00A71CFD">
            <w:pPr>
              <w:pStyle w:val="CRCoverPage"/>
              <w:spacing w:after="0"/>
              <w:rPr>
                <w:noProof/>
                <w:sz w:val="8"/>
                <w:szCs w:val="8"/>
              </w:rPr>
            </w:pPr>
          </w:p>
        </w:tc>
      </w:tr>
      <w:tr w:rsidR="00A71CFD" w14:paraId="678D7BF9" w14:textId="77777777" w:rsidTr="00547111">
        <w:tc>
          <w:tcPr>
            <w:tcW w:w="2694" w:type="dxa"/>
            <w:gridSpan w:val="2"/>
            <w:tcBorders>
              <w:left w:val="single" w:sz="4" w:space="0" w:color="auto"/>
              <w:bottom w:val="single" w:sz="4" w:space="0" w:color="auto"/>
            </w:tcBorders>
          </w:tcPr>
          <w:p w14:paraId="4E5CE1B6" w14:textId="77777777" w:rsidR="00A71CFD" w:rsidRDefault="00A71CFD" w:rsidP="00A71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1F1C" w:rsidR="00A71CFD" w:rsidRDefault="00A71CFD" w:rsidP="00A71CFD">
            <w:pPr>
              <w:pStyle w:val="CRCoverPage"/>
              <w:spacing w:after="0"/>
              <w:ind w:left="100"/>
              <w:rPr>
                <w:noProof/>
              </w:rPr>
            </w:pPr>
            <w:r>
              <w:rPr>
                <w:noProof/>
              </w:rPr>
              <w:t>Inconsistent and incomplete specifications leading to incomplete and erroneous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650AB" w:rsidR="001E41F3" w:rsidRDefault="00A71CFD">
            <w:pPr>
              <w:pStyle w:val="CRCoverPage"/>
              <w:spacing w:after="0"/>
              <w:ind w:left="100"/>
              <w:rPr>
                <w:noProof/>
              </w:rPr>
            </w:pPr>
            <w:r>
              <w:rPr>
                <w:noProof/>
              </w:rPr>
              <w:t>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19905" w:rsidR="001E41F3" w:rsidRDefault="00A71C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DCF6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83A0C" w:rsidR="001E41F3" w:rsidRDefault="00A71C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D76D9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7A120" w:rsidR="001E41F3" w:rsidRDefault="00A71C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942E2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8450566" w14:textId="77777777" w:rsidR="0022336A" w:rsidRPr="0061791A" w:rsidRDefault="0022336A" w:rsidP="002233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AECF23E" w14:textId="77777777" w:rsidR="0022336A" w:rsidRDefault="0022336A" w:rsidP="0022336A">
      <w:pPr>
        <w:pStyle w:val="Heading4"/>
        <w:rPr>
          <w:lang w:eastAsia="zh-CN"/>
        </w:rPr>
      </w:pPr>
      <w:bookmarkStart w:id="2" w:name="_Toc28005450"/>
      <w:bookmarkStart w:id="3" w:name="_Toc36038122"/>
      <w:bookmarkStart w:id="4" w:name="_Toc45133319"/>
      <w:bookmarkStart w:id="5" w:name="_Toc51762048"/>
      <w:bookmarkStart w:id="6" w:name="_Toc59016447"/>
      <w:bookmarkStart w:id="7" w:name="_Toc68167331"/>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1"/>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
      <w:bookmarkEnd w:id="3"/>
      <w:bookmarkEnd w:id="4"/>
      <w:bookmarkEnd w:id="5"/>
      <w:bookmarkEnd w:id="6"/>
      <w:bookmarkEnd w:id="7"/>
    </w:p>
    <w:p w14:paraId="1F162CB6" w14:textId="77777777" w:rsidR="0022336A" w:rsidRDefault="0022336A" w:rsidP="0022336A">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bookmarkStart w:id="18" w:name="_Hlk51254405"/>
    <w:moveFromRangeStart w:id="19" w:author="Nokia" w:date="2021-05-11T11:53:00Z" w:name="move71626443"/>
    <w:bookmarkStart w:id="20" w:name="_MON_1618140535"/>
    <w:bookmarkEnd w:id="20"/>
    <w:p w14:paraId="30BE0315" w14:textId="77777777" w:rsidR="0022336A" w:rsidRDefault="0022336A" w:rsidP="0022336A">
      <w:pPr>
        <w:pStyle w:val="TH"/>
        <w:rPr>
          <w:ins w:id="21" w:author="Nokia" w:date="2021-05-11T11:53:00Z"/>
          <w:lang w:eastAsia="ja-JP"/>
        </w:rPr>
      </w:pPr>
      <w:moveFrom w:id="22" w:author="Nokia" w:date="2021-05-11T11:53:00Z">
        <w:r w:rsidDel="00A622ED">
          <w:rPr>
            <w:lang w:eastAsia="ja-JP"/>
          </w:rPr>
          <w:object w:dxaOrig="9923" w:dyaOrig="15307" w14:anchorId="6998F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4.5pt;height:637.5pt" o:ole="">
              <v:imagedata r:id="rId17" o:title=""/>
            </v:shape>
            <o:OLEObject Type="Embed" ProgID="Word.Picture.8" ShapeID="_x0000_i1031" DrawAspect="Content" ObjectID="_1682336349" r:id="rId18"/>
          </w:object>
        </w:r>
      </w:moveFrom>
      <w:bookmarkEnd w:id="18"/>
      <w:moveFromRangeEnd w:id="19"/>
    </w:p>
    <w:moveToRangeStart w:id="23" w:author="Nokia" w:date="2021-05-11T11:53:00Z" w:name="move71626443"/>
    <w:bookmarkStart w:id="24" w:name="_MON_1682239477"/>
    <w:bookmarkEnd w:id="24"/>
    <w:p w14:paraId="0489029E" w14:textId="77777777" w:rsidR="0022336A" w:rsidRDefault="0022336A" w:rsidP="0022336A">
      <w:pPr>
        <w:pStyle w:val="TH"/>
        <w:rPr>
          <w:lang w:eastAsia="zh-CN"/>
        </w:rPr>
      </w:pPr>
      <w:moveTo w:id="25" w:author="Nokia" w:date="2021-05-11T11:53:00Z">
        <w:r>
          <w:rPr>
            <w:lang w:eastAsia="ja-JP"/>
          </w:rPr>
          <w:object w:dxaOrig="9923" w:dyaOrig="15307" w14:anchorId="2D4C0413">
            <v:shape id="_x0000_i1032" type="#_x0000_t75" style="width:414.5pt;height:637.5pt" o:ole="">
              <v:imagedata r:id="rId19" o:title=""/>
            </v:shape>
            <o:OLEObject Type="Embed" ProgID="Word.Picture.8" ShapeID="_x0000_i1032" DrawAspect="Content" ObjectID="_1682336350" r:id="rId20"/>
          </w:object>
        </w:r>
      </w:moveTo>
      <w:moveToRangeEnd w:id="23"/>
    </w:p>
    <w:p w14:paraId="17360D8A" w14:textId="77777777" w:rsidR="0022336A" w:rsidRDefault="0022336A" w:rsidP="0022336A">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0FB22C12" w14:textId="77777777" w:rsidR="0022336A" w:rsidRDefault="0022336A" w:rsidP="0022336A">
      <w:pPr>
        <w:pStyle w:val="B1"/>
        <w:rPr>
          <w:lang w:eastAsia="zh-CN"/>
        </w:rPr>
      </w:pPr>
      <w:r>
        <w:rPr>
          <w:lang w:eastAsia="zh-CN"/>
        </w:rPr>
        <w:t>1.</w:t>
      </w:r>
      <w:r>
        <w:rPr>
          <w:lang w:eastAsia="zh-CN"/>
        </w:rPr>
        <w:tab/>
      </w:r>
      <w:r>
        <w:t>The SMF detects a policy control request trigger condition is met.</w:t>
      </w:r>
    </w:p>
    <w:p w14:paraId="41516636" w14:textId="77777777" w:rsidR="0022336A" w:rsidRDefault="0022336A" w:rsidP="0022336A">
      <w:pPr>
        <w:pStyle w:val="B1"/>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xml:space="preserve">" resource with information on the conditions that have </w:t>
      </w:r>
      <w:proofErr w:type="gramStart"/>
      <w:r>
        <w:rPr>
          <w:lang w:eastAsia="zh-CN"/>
        </w:rPr>
        <w:t>changed</w:t>
      </w:r>
      <w:proofErr w:type="gramEnd"/>
      <w:r>
        <w:rPr>
          <w:lang w:eastAsia="zh-CN"/>
        </w:rPr>
        <w:t xml:space="preserve"> or a PCC rule error occurs.</w:t>
      </w:r>
    </w:p>
    <w:p w14:paraId="6ACAFDE1" w14:textId="77777777" w:rsidR="0022336A" w:rsidRDefault="0022336A" w:rsidP="0022336A">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the SMF may provide the new 5GS Bridge information, e.g. 5GS Bridge port information (DS-TT port number, DS-TT MAC address, Bridge Id and UE-DS-TT residence time), a BMIC and/or one or more PMIC(s) to the PCF, or updated 5GS Bridge information, e.g. updated BMIC and/or PMIC(s).</w:t>
      </w:r>
    </w:p>
    <w:p w14:paraId="087A9FE5" w14:textId="77777777" w:rsidR="0022336A" w:rsidRDefault="0022336A" w:rsidP="0022336A">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6354D11B" w14:textId="77777777" w:rsidR="0022336A" w:rsidRDefault="0022336A" w:rsidP="0022336A">
      <w:pPr>
        <w:pStyle w:val="B1"/>
        <w:rPr>
          <w:ins w:id="26" w:author="Nokia" w:date="2021-05-11T11:59:00Z"/>
        </w:rPr>
      </w:pPr>
      <w:r>
        <w:t>4.</w:t>
      </w:r>
      <w:r>
        <w:tab/>
        <w:t>The UDR sends an HTTP "200 OK" response to the PCF with the subscription related information containing the information about the allowed service(s) and PCC Rules information.</w:t>
      </w:r>
    </w:p>
    <w:p w14:paraId="47E6EC7F" w14:textId="77777777" w:rsidR="0022336A" w:rsidRDefault="0022336A" w:rsidP="0022336A">
      <w:pPr>
        <w:pStyle w:val="B1"/>
        <w:rPr>
          <w:ins w:id="27" w:author="Nokia" w:date="2021-05-11T12:00:00Z"/>
        </w:rPr>
      </w:pPr>
      <w:ins w:id="28" w:author="Nokia" w:date="2021-05-11T12:00:00Z">
        <w:r>
          <w:t>4a.</w:t>
        </w:r>
        <w:r>
          <w:tab/>
          <w:t xml:space="preserve">If the </w:t>
        </w:r>
        <w:proofErr w:type="spellStart"/>
        <w:r>
          <w:rPr>
            <w:lang w:eastAsia="zh-CN"/>
          </w:rPr>
          <w:t>Npcf_SMPolicyControl_Update</w:t>
        </w:r>
        <w:proofErr w:type="spellEnd"/>
        <w:r>
          <w:rPr>
            <w:lang w:eastAsia="zh-CN"/>
          </w:rPr>
          <w:t xml:space="preserve"> message of step 2 included usage report(s), the (H-)PCF </w:t>
        </w:r>
        <w:r>
          <w:t xml:space="preserve">invokes the </w:t>
        </w:r>
        <w:proofErr w:type="spellStart"/>
        <w:r>
          <w:t>Nudr_DataRepository_Update</w:t>
        </w:r>
        <w:proofErr w:type="spellEnd"/>
        <w:r>
          <w:t xml:space="preserve"> service operation to the UDR by sending the HTTP PUT request to the "</w:t>
        </w:r>
        <w:proofErr w:type="spellStart"/>
        <w:r>
          <w:t>UsageMonitoringInformation</w:t>
        </w:r>
        <w:proofErr w:type="spellEnd"/>
        <w:r>
          <w:t>" resource in order to update the usage monitoring information according to the received report(s).</w:t>
        </w:r>
      </w:ins>
    </w:p>
    <w:p w14:paraId="010BAF5D" w14:textId="77777777" w:rsidR="0022336A" w:rsidRDefault="0022336A" w:rsidP="0022336A">
      <w:pPr>
        <w:pStyle w:val="B1"/>
        <w:rPr>
          <w:lang w:eastAsia="zh-CN"/>
        </w:rPr>
      </w:pPr>
      <w:ins w:id="29" w:author="Nokia" w:date="2021-05-11T12:00:00Z">
        <w:r>
          <w:t>4b. The UDR sends an HTTP "201 Created" response to the (H-)PCF if the update of the usage monitoring information succeeded, or an error response otherwise.</w:t>
        </w:r>
      </w:ins>
    </w:p>
    <w:p w14:paraId="3853337D" w14:textId="77777777" w:rsidR="0022336A" w:rsidRDefault="0022336A" w:rsidP="0022336A">
      <w:pPr>
        <w:pStyle w:val="B1"/>
      </w:pPr>
      <w:r>
        <w:t>5.</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}/notify" as </w:t>
      </w:r>
      <w:r>
        <w:rPr>
          <w:rStyle w:val="B1Char"/>
        </w:rPr>
        <w:t>the resource URI</w:t>
      </w:r>
      <w:r>
        <w:t xml:space="preserve"> to the AF to indicate that an event for the active application session has occurred or to indicate the deletion of the active application session.</w:t>
      </w:r>
    </w:p>
    <w:p w14:paraId="6AEB1ECC" w14:textId="77777777" w:rsidR="0022336A" w:rsidRDefault="0022336A" w:rsidP="0022336A">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w:t>
      </w:r>
    </w:p>
    <w:p w14:paraId="59095BFD" w14:textId="77777777" w:rsidR="0022336A" w:rsidRDefault="0022336A" w:rsidP="0022336A">
      <w:pPr>
        <w:pStyle w:val="B2"/>
        <w:rPr>
          <w:lang w:eastAsia="zh-CN"/>
        </w:rPr>
      </w:pPr>
      <w:r>
        <w:rPr>
          <w:rFonts w:hint="eastAsia"/>
          <w:lang w:eastAsia="zh-CN"/>
        </w:rPr>
        <w:t>-</w:t>
      </w:r>
      <w:r>
        <w:rPr>
          <w:rFonts w:hint="eastAsia"/>
          <w:lang w:eastAsia="zh-CN"/>
        </w:rPr>
        <w:tab/>
      </w:r>
      <w:r>
        <w:rPr>
          <w:lang w:eastAsia="zh-CN"/>
        </w:rPr>
        <w:t>When the PCF detects that there is no Individual Application Session Context resource bound to the Individual SM Policy the PCF shall provide the new 5GS Bridge information received in step</w:t>
      </w:r>
      <w:r>
        <w:t> </w:t>
      </w:r>
      <w:r>
        <w:rPr>
          <w:lang w:eastAsia="zh-CN"/>
        </w:rPr>
        <w:t xml:space="preserve">2 to a pre-configured AF by sending an </w:t>
      </w:r>
      <w:r>
        <w:t>HTTP POST request to the "{</w:t>
      </w:r>
      <w:proofErr w:type="spellStart"/>
      <w:r>
        <w:t>notifUri</w:t>
      </w:r>
      <w:proofErr w:type="spellEnd"/>
      <w:r>
        <w:t>}/new-bridge" request URI, where the "{</w:t>
      </w:r>
      <w:proofErr w:type="spellStart"/>
      <w:r>
        <w:t>notifUri</w:t>
      </w:r>
      <w:proofErr w:type="spellEnd"/>
      <w:r>
        <w:t>}" value is pre-configured in the PCF</w:t>
      </w:r>
      <w:r>
        <w:rPr>
          <w:lang w:eastAsia="zh-CN"/>
        </w:rPr>
        <w:t>.</w:t>
      </w:r>
    </w:p>
    <w:p w14:paraId="571AD7B2" w14:textId="77777777" w:rsidR="0022336A" w:rsidRDefault="0022336A" w:rsidP="0022336A">
      <w:pPr>
        <w:pStyle w:val="B2"/>
      </w:pPr>
      <w:r>
        <w:rPr>
          <w:lang w:eastAsia="zh-CN"/>
        </w:rPr>
        <w:t>-</w:t>
      </w:r>
      <w:r>
        <w:rPr>
          <w:lang w:eastAsia="zh-CN"/>
        </w:rPr>
        <w:tab/>
        <w:t xml:space="preserve">When the PCF detects that there is an Individual Application Session Context resource bound to the Individual SM Policy, the PCF shall provide the received BMIC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3BD198E3" w14:textId="77777777" w:rsidR="0022336A" w:rsidRDefault="0022336A" w:rsidP="0022336A">
      <w:pPr>
        <w:pStyle w:val="B2"/>
      </w:pPr>
      <w:r>
        <w:t>5a.</w:t>
      </w:r>
      <w:r>
        <w:tab/>
        <w:t>If the AF requested a notification of the corresponding event, the PCF sends a Diameter RAR with the Specific-Action AVP set to indicate the event that caused the request.</w:t>
      </w:r>
    </w:p>
    <w:p w14:paraId="72E31268" w14:textId="77777777" w:rsidR="0022336A" w:rsidRDefault="0022336A" w:rsidP="0022336A">
      <w:pPr>
        <w:pStyle w:val="B1"/>
      </w:pPr>
      <w:r>
        <w:t>6.</w:t>
      </w:r>
      <w:r>
        <w:tab/>
        <w:t>The AF sends an HTTP "204 No Content" response to the PCF.</w:t>
      </w:r>
    </w:p>
    <w:p w14:paraId="0C4606BC" w14:textId="77777777" w:rsidR="0022336A" w:rsidRDefault="0022336A" w:rsidP="0022336A">
      <w:pPr>
        <w:pStyle w:val="B1"/>
        <w:ind w:hanging="1"/>
      </w:pPr>
      <w:r>
        <w:rPr>
          <w:lang w:eastAsia="zh-CN"/>
        </w:rPr>
        <w:t>If the feature "</w:t>
      </w:r>
      <w:proofErr w:type="spellStart"/>
      <w:r>
        <w:t>TimeSensitiveNetworking</w:t>
      </w:r>
      <w:proofErr w:type="spellEnd"/>
      <w:r>
        <w:rPr>
          <w:lang w:eastAsia="zh-CN"/>
        </w:rPr>
        <w:t xml:space="preserve">" is supported and the AF received the notification of new 5GS Bridge information over the </w:t>
      </w:r>
      <w:r>
        <w:t>"{</w:t>
      </w:r>
      <w:proofErr w:type="spellStart"/>
      <w:r>
        <w:t>notifUri</w:t>
      </w:r>
      <w:proofErr w:type="spellEnd"/>
      <w:r>
        <w:t xml:space="preserve">}/new-bridge" request URI, the AF shall </w:t>
      </w:r>
      <w:proofErr w:type="spellStart"/>
      <w:r>
        <w:t>triger</w:t>
      </w:r>
      <w:proofErr w:type="spellEnd"/>
      <w:r>
        <w:t xml:space="preserve"> the </w:t>
      </w:r>
      <w:proofErr w:type="spellStart"/>
      <w:r>
        <w:t>Npcf_PolicyAuthorization_Create</w:t>
      </w:r>
      <w:proofErr w:type="spellEnd"/>
      <w:r>
        <w:t xml:space="preserve"> service operation as described in subclause 5.2.2.2.2.1, to request the creation of a new Individual Application Session Context resource specific to the received MAC address of the DS-TT port.</w:t>
      </w:r>
    </w:p>
    <w:p w14:paraId="757D23F3" w14:textId="77777777" w:rsidR="0022336A" w:rsidRDefault="0022336A" w:rsidP="0022336A">
      <w:pPr>
        <w:pStyle w:val="B2"/>
        <w:rPr>
          <w:lang w:eastAsia="zh-CN"/>
        </w:rPr>
      </w:pPr>
      <w:r>
        <w:t>6a.</w:t>
      </w:r>
      <w:r>
        <w:tab/>
        <w:t>The AF replies with a Diameter RAA and may provide updated service information within.</w:t>
      </w:r>
    </w:p>
    <w:p w14:paraId="5CD91052" w14:textId="77777777" w:rsidR="0022336A" w:rsidRDefault="0022336A" w:rsidP="0022336A">
      <w:pPr>
        <w:pStyle w:val="B1"/>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14:paraId="0E53FB20" w14:textId="77777777" w:rsidR="0022336A" w:rsidRDefault="0022336A" w:rsidP="0022336A">
      <w:pPr>
        <w:pStyle w:val="B1"/>
      </w:pPr>
      <w:r>
        <w:t>8.</w:t>
      </w:r>
      <w:r>
        <w:tab/>
        <w:t>The PCF sends an HTTP "200 OK" or an HTTP "204 No Content" response to the AF.</w:t>
      </w:r>
    </w:p>
    <w:p w14:paraId="46D5AC3A" w14:textId="77777777" w:rsidR="0022336A" w:rsidRDefault="0022336A" w:rsidP="0022336A">
      <w:pPr>
        <w:pStyle w:val="B1"/>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0E3D105B" w14:textId="77777777" w:rsidR="0022336A" w:rsidRDefault="0022336A" w:rsidP="0022336A">
      <w:pPr>
        <w:pStyle w:val="B1"/>
      </w:pPr>
      <w:r>
        <w:lastRenderedPageBreak/>
        <w:t>10.</w:t>
      </w:r>
      <w:r>
        <w:tab/>
        <w:t>The PCF removes the AF application session context and sends an HTTP "204 No Content". If the PCF need to include the notification of event, it sends an HTTP "200 OK" response.</w:t>
      </w:r>
    </w:p>
    <w:p w14:paraId="57A91A05" w14:textId="77777777" w:rsidR="0022336A" w:rsidRDefault="0022336A" w:rsidP="0022336A">
      <w:pPr>
        <w:pStyle w:val="B2"/>
      </w:pPr>
      <w:r>
        <w:t>7a-10a.</w:t>
      </w:r>
      <w:r>
        <w:tab/>
        <w:t>If all service data flows for an AF session are deleted, the AF session is terminated.</w:t>
      </w:r>
    </w:p>
    <w:p w14:paraId="0D581D0B" w14:textId="77777777" w:rsidR="0022336A" w:rsidRDefault="0022336A" w:rsidP="0022336A">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085EDFB4" w14:textId="77777777" w:rsidR="0022336A" w:rsidRDefault="0022336A" w:rsidP="0022336A">
      <w:pPr>
        <w:pStyle w:val="B1"/>
        <w:rPr>
          <w:lang w:eastAsia="zh-CN"/>
        </w:rPr>
      </w:pPr>
      <w:r>
        <w:rPr>
          <w:lang w:eastAsia="zh-CN"/>
        </w:rPr>
        <w:t>12.</w:t>
      </w:r>
      <w:r>
        <w:rPr>
          <w:lang w:eastAsia="zh-CN"/>
        </w:rPr>
        <w:tab/>
        <w:t>The PCF makes a policy decision. The PCF may determine that updated or new policy information needs to be sent to the SMF in step 19.</w:t>
      </w:r>
    </w:p>
    <w:p w14:paraId="3AB8B26A" w14:textId="77777777" w:rsidR="0022336A" w:rsidRDefault="0022336A" w:rsidP="0022336A">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13 to 14 will be performed, otherwise the steps 15 to 18 will be performed.</w:t>
      </w:r>
    </w:p>
    <w:p w14:paraId="5AA164EC" w14:textId="77777777" w:rsidR="0022336A" w:rsidRDefault="0022336A" w:rsidP="0022336A">
      <w:pPr>
        <w:pStyle w:val="B1"/>
        <w:rPr>
          <w:lang w:eastAsia="zh-CN"/>
        </w:rPr>
      </w:pPr>
      <w:r>
        <w:rPr>
          <w:lang w:eastAsia="zh-CN"/>
        </w:rPr>
        <w:t>13.</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7CA99875" w14:textId="77777777" w:rsidR="0022336A" w:rsidRDefault="0022336A" w:rsidP="0022336A">
      <w:pPr>
        <w:pStyle w:val="B1"/>
        <w:rPr>
          <w:lang w:eastAsia="zh-CN"/>
        </w:rPr>
      </w:pPr>
      <w:r>
        <w:rPr>
          <w:lang w:eastAsia="zh-CN"/>
        </w:rPr>
        <w:t>14.</w:t>
      </w:r>
      <w:r>
        <w:rPr>
          <w:lang w:eastAsia="zh-CN"/>
        </w:rPr>
        <w:tab/>
      </w:r>
      <w:r>
        <w:t>The PCF receives an HTTP "200 OK" response from the BSF.</w:t>
      </w:r>
    </w:p>
    <w:p w14:paraId="114AC1D5" w14:textId="77777777" w:rsidR="0022336A" w:rsidRDefault="0022336A" w:rsidP="0022336A">
      <w:pPr>
        <w:pStyle w:val="B1"/>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7BFACFA2" w14:textId="77777777" w:rsidR="0022336A" w:rsidRDefault="0022336A" w:rsidP="0022336A">
      <w:pPr>
        <w:pStyle w:val="B1"/>
      </w:pPr>
      <w:r>
        <w:t>16.</w:t>
      </w:r>
      <w:r>
        <w:tab/>
        <w:t xml:space="preserve">The PCF receives an HTTP </w:t>
      </w:r>
      <w:r>
        <w:rPr>
          <w:rFonts w:eastAsia="DengXian"/>
        </w:rPr>
        <w:t>"204 No Content"</w:t>
      </w:r>
      <w:r>
        <w:t xml:space="preserve"> response from the BSF as detailed in subclause 8.5.3.</w:t>
      </w:r>
    </w:p>
    <w:p w14:paraId="5FFC7016" w14:textId="77777777" w:rsidR="0022336A" w:rsidRDefault="0022336A" w:rsidP="0022336A">
      <w:pPr>
        <w:pStyle w:val="B1"/>
      </w:pPr>
      <w:r>
        <w:t>17.</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7264EE1B" w14:textId="77777777" w:rsidR="0022336A" w:rsidRDefault="0022336A" w:rsidP="0022336A">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250F7427" w14:textId="77777777" w:rsidR="0022336A" w:rsidRPr="00AD07B7" w:rsidRDefault="0022336A" w:rsidP="0022336A">
      <w:pPr>
        <w:pStyle w:val="B1"/>
        <w:rPr>
          <w:lang w:eastAsia="zh-CN"/>
        </w:rPr>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8"/>
    <w:bookmarkEnd w:id="9"/>
    <w:bookmarkEnd w:id="10"/>
    <w:bookmarkEnd w:id="11"/>
    <w:bookmarkEnd w:id="12"/>
    <w:bookmarkEnd w:id="13"/>
    <w:bookmarkEnd w:id="14"/>
    <w:bookmarkEnd w:id="15"/>
    <w:bookmarkEnd w:id="16"/>
    <w:bookmarkEnd w:id="17"/>
    <w:p w14:paraId="5CE7B6D6" w14:textId="77777777" w:rsidR="0022336A" w:rsidRPr="00EA015C" w:rsidRDefault="0022336A" w:rsidP="002233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FEB0F" w14:textId="77777777" w:rsidR="004831A1" w:rsidRDefault="004831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C7A49" w14:textId="77777777" w:rsidR="004831A1" w:rsidRDefault="004831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17AE9" w14:textId="77777777" w:rsidR="004831A1" w:rsidRDefault="004831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87E5" w14:textId="77777777" w:rsidR="004831A1" w:rsidRDefault="004831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20CD8" w14:textId="77777777" w:rsidR="004831A1" w:rsidRDefault="004831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E1233" w14:textId="77777777" w:rsidR="00EA015C" w:rsidRDefault="002233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A549" w14:textId="77777777" w:rsidR="00EA015C" w:rsidRDefault="002233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5D3C6" w14:textId="77777777" w:rsidR="00EA015C" w:rsidRDefault="002233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336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1A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CFD"/>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22336A"/>
    <w:rPr>
      <w:rFonts w:ascii="Arial" w:hAnsi="Arial"/>
      <w:b/>
      <w:lang w:val="en-GB" w:eastAsia="en-US"/>
    </w:rPr>
  </w:style>
  <w:style w:type="character" w:customStyle="1" w:styleId="B1Char">
    <w:name w:val="B1 Char"/>
    <w:link w:val="B1"/>
    <w:qFormat/>
    <w:rsid w:val="0022336A"/>
    <w:rPr>
      <w:rFonts w:ascii="Times New Roman" w:hAnsi="Times New Roman"/>
      <w:lang w:val="en-GB" w:eastAsia="en-US"/>
    </w:rPr>
  </w:style>
  <w:style w:type="character" w:customStyle="1" w:styleId="THChar">
    <w:name w:val="TH Char"/>
    <w:link w:val="TH"/>
    <w:qFormat/>
    <w:rsid w:val="0022336A"/>
    <w:rPr>
      <w:rFonts w:ascii="Arial" w:hAnsi="Arial"/>
      <w:b/>
      <w:lang w:val="en-GB" w:eastAsia="en-US"/>
    </w:rPr>
  </w:style>
  <w:style w:type="character" w:customStyle="1" w:styleId="B2Char">
    <w:name w:val="B2 Char"/>
    <w:link w:val="B2"/>
    <w:qFormat/>
    <w:rsid w:val="0022336A"/>
    <w:rPr>
      <w:rFonts w:ascii="Times New Roman" w:hAnsi="Times New Roman"/>
      <w:lang w:val="en-GB" w:eastAsia="en-US"/>
    </w:rPr>
  </w:style>
  <w:style w:type="character" w:customStyle="1" w:styleId="CommentTextChar">
    <w:name w:val="Comment Text Char"/>
    <w:link w:val="CommentText"/>
    <w:rsid w:val="0022336A"/>
    <w:rPr>
      <w:rFonts w:ascii="Times New Roman" w:hAnsi="Times New Roman"/>
      <w:lang w:val="en-GB" w:eastAsia="en-US"/>
    </w:rPr>
  </w:style>
  <w:style w:type="character" w:customStyle="1" w:styleId="Heading4Char">
    <w:name w:val="Heading 4 Char"/>
    <w:link w:val="Heading4"/>
    <w:rsid w:val="0022336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1513</Words>
  <Characters>9100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2021-05-12T12:53:00Z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C3-213247</vt:lpwstr>
  </property>
  <property fmtid="{D5CDD505-2E9C-101B-9397-08002B2CF9AE}" pid="10" name="Spec#">
    <vt:lpwstr>29.513</vt:lpwstr>
  </property>
  <property fmtid="{D5CDD505-2E9C-101B-9397-08002B2CF9AE}" pid="11" name="Cr#">
    <vt:lpwstr>0268</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missing interaction for updating UDR data based on usage report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2021-05-12</vt:lpwstr>
  </property>
  <property fmtid="{D5CDD505-2E9C-101B-9397-08002B2CF9AE}" pid="20" name="Release">
    <vt:lpwstr>Rel-16</vt:lpwstr>
  </property>
</Properties>
</file>