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>
        <w:rPr>
          <w:b/>
          <w:noProof/>
          <w:sz w:val="24"/>
        </w:rPr>
        <w:t>035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sz w:val="28"/>
        </w:rPr>
        <w:t>S2-2103217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000000"/>
        </w:rPr>
        <w:t xml:space="preserve">LS Reply on </w:t>
      </w:r>
      <w:bookmarkStart w:id="0" w:name="OLE_LINK125"/>
      <w:r>
        <w:rPr>
          <w:color w:val="000000"/>
        </w:rPr>
        <w:t>NSI ID on N7 interface</w:t>
      </w:r>
      <w:bookmarkEnd w:id="0"/>
    </w:p>
    <w:p>
      <w:pPr>
        <w:pStyle w:val="Title"/>
      </w:pPr>
      <w:r>
        <w:t>Response to:</w:t>
      </w:r>
      <w:r>
        <w:tab/>
      </w:r>
      <w:r>
        <w:rPr>
          <w:color w:val="000000"/>
        </w:rPr>
        <w:t>LS (S2-2102090/C3-210310) on NSI ID on N7 interface from CT3</w:t>
      </w:r>
    </w:p>
    <w:p>
      <w:pPr>
        <w:pStyle w:val="Title"/>
      </w:pPr>
      <w:r>
        <w:t>Release:</w:t>
      </w:r>
      <w:r>
        <w:tab/>
      </w:r>
      <w:r>
        <w:rPr>
          <w:color w:val="000000"/>
        </w:rPr>
        <w:t>Release 17</w:t>
      </w:r>
    </w:p>
    <w:p>
      <w:pPr>
        <w:pStyle w:val="Title"/>
      </w:pPr>
      <w:r>
        <w:t>Work Item:</w:t>
      </w:r>
      <w:r>
        <w:tab/>
      </w:r>
      <w:r>
        <w:rPr>
          <w:color w:val="000000"/>
        </w:rPr>
        <w:t>TEI17, 5GS_Ph1-CT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CT3</w:t>
      </w:r>
    </w:p>
    <w:p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CT4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Haiyang, Sun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sunhaiyang3 AT huawei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TS 23.502 CR2616, TS 23.502 CR2617, TS 23.502 CR2618, TS 23.503 CR0548, TS 23.503 CR0549, TS 23.503 CR0550, TS 23.288 CR 0264, TS 23.288 CR0265</w:t>
      </w:r>
    </w:p>
    <w:p>
      <w:pPr>
        <w:pStyle w:val="Title"/>
        <w:rPr>
          <w:color w:val="0000FF"/>
        </w:rPr>
      </w:pPr>
      <w:r>
        <w:rPr>
          <w:color w:val="0000FF"/>
        </w:rPr>
        <w:tab/>
        <w:t>(S2-2102869, S2-2102874, S2-2102898, S2-2102224, S2-2102225, S2-2102226, S2-2102227, S2-2103219)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r>
        <w:t xml:space="preserve">SA2 thanks CT3 for the questions on NSI ID. SA2 would like to answer the questions as below. </w:t>
      </w:r>
    </w:p>
    <w:p/>
    <w:p>
      <w:pPr>
        <w:jc w:val="both"/>
      </w:pPr>
      <w:r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>
      <w:pPr>
        <w:jc w:val="both"/>
      </w:pPr>
    </w:p>
    <w:p>
      <w:pPr>
        <w:jc w:val="both"/>
      </w:pPr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A2 Answer: </w:t>
      </w:r>
      <w:r>
        <w:rPr>
          <w:lang w:eastAsia="zh-CN"/>
        </w:rPr>
        <w:t xml:space="preserve">Stage 2 specifications currently consider that SMF is not aware of the NSI ID of a PDU Session.  So, SMF cannot provide the corresponding NSI ID to the PCF. SA2 agrees to correct this as in the attachments. </w:t>
      </w:r>
    </w:p>
    <w:p>
      <w:pPr>
        <w:jc w:val="both"/>
      </w:pPr>
    </w:p>
    <w:p>
      <w:pPr>
        <w:jc w:val="both"/>
      </w:pPr>
      <w:r>
        <w:rPr>
          <w:b/>
        </w:rPr>
        <w:t>Q2</w:t>
      </w:r>
      <w:r>
        <w:t>:</w:t>
      </w:r>
      <w:r>
        <w:tab/>
        <w:t>What is the foreseen use case behind it? In other words, how this parameter is expected to be used by the PCF in the frame of the Npcf_SMPolicyControl service?</w:t>
      </w:r>
    </w:p>
    <w:p>
      <w:pPr>
        <w:jc w:val="both"/>
        <w:rPr>
          <w:b/>
        </w:rPr>
      </w:pPr>
    </w:p>
    <w:p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was introduced in S2-187506 so that PCF could use it to retrieve slice instance load information from NWDAF during Rel-15.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asks CT3 group to </w:t>
      </w:r>
    </w:p>
    <w:p>
      <w:pPr>
        <w:rPr>
          <w:i/>
          <w:iCs/>
        </w:rPr>
      </w:pPr>
      <w:r>
        <w:t>Kindly take the above information into account and update their specifications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2002-04-23T08:10:00Z</cp:lastPrinted>
  <dcterms:created xsi:type="dcterms:W3CDTF">2021-04-16T02:36:00Z</dcterms:created>
  <dcterms:modified xsi:type="dcterms:W3CDTF">2021-05-10T12:35:00Z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