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C3-20102</w:t>
      </w:r>
      <w:r>
        <w:rPr>
          <w:b/>
          <w:noProof/>
          <w:sz w:val="24"/>
        </w:rPr>
        <w:t>9</w:t>
      </w:r>
    </w:p>
    <w:p>
      <w:pPr>
        <w:pStyle w:val="CRCoverPage"/>
        <w:outlineLvl w:val="0"/>
        <w:rPr>
          <w:b/>
          <w:noProof/>
          <w:sz w:val="24"/>
        </w:rPr>
      </w:pPr>
      <w:r>
        <w:rPr>
          <w:b/>
          <w:noProof/>
          <w:sz w:val="24"/>
        </w:rPr>
        <w:t>E-Meeting, 19th – 28th February 2020</w:t>
      </w:r>
    </w:p>
    <w:p>
      <w:pPr>
        <w:pStyle w:val="CRCoverPage"/>
        <w:tabs>
          <w:tab w:val="right" w:pos="9638"/>
        </w:tabs>
        <w:spacing w:after="0"/>
        <w:outlineLvl w:val="0"/>
        <w:rPr>
          <w:rFonts w:cs="Arial"/>
          <w:b/>
          <w:noProof/>
          <w:sz w:val="24"/>
        </w:rPr>
      </w:pPr>
    </w:p>
    <w:p>
      <w:pPr>
        <w:pStyle w:val="Header"/>
        <w:tabs>
          <w:tab w:val="clear" w:pos="4153"/>
          <w:tab w:val="clear" w:pos="8306"/>
          <w:tab w:val="right" w:pos="9639"/>
        </w:tabs>
        <w:rPr>
          <w:rFonts w:ascii="Arial" w:hAnsi="Arial" w:cs="Arial"/>
          <w:b/>
          <w:bCs/>
          <w:sz w:val="24"/>
          <w:szCs w:val="24"/>
        </w:rPr>
      </w:pPr>
      <w:r>
        <w:rPr>
          <w:rFonts w:ascii="Arial" w:hAnsi="Arial" w:cs="Arial"/>
          <w:b/>
          <w:bCs/>
          <w:sz w:val="24"/>
          <w:szCs w:val="24"/>
        </w:rPr>
        <w:t>3GPP TSG SA WG2 Meeting #136AH</w:t>
      </w:r>
      <w:r>
        <w:rPr>
          <w:rFonts w:ascii="Arial" w:hAnsi="Arial" w:cs="Arial"/>
          <w:b/>
          <w:bCs/>
          <w:sz w:val="24"/>
          <w:szCs w:val="24"/>
        </w:rPr>
        <w:tab/>
        <w:t>S2-2001575</w:t>
      </w:r>
      <w:bookmarkStart w:id="0" w:name="_GoBack"/>
      <w:bookmarkEnd w:id="0"/>
    </w:p>
    <w:p>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 South Korea, January 13 – 17, 2020</w:t>
      </w:r>
      <w:r>
        <w:rPr>
          <w:rFonts w:ascii="Arial" w:hAnsi="Arial" w:cs="Arial"/>
          <w:b/>
          <w:bCs/>
          <w:sz w:val="24"/>
          <w:szCs w:val="24"/>
        </w:rPr>
        <w:tab/>
      </w:r>
      <w:r>
        <w:rPr>
          <w:rFonts w:ascii="Arial" w:hAnsi="Arial" w:cs="Arial"/>
          <w:b/>
          <w:bCs/>
          <w:color w:val="0000FF"/>
        </w:rPr>
        <w:t>(revision of S2-2001274, 1330)</w:t>
      </w:r>
    </w:p>
    <w:p>
      <w:pPr>
        <w:rPr>
          <w:rFonts w:ascii="Arial" w:hAnsi="Arial" w:cs="Arial"/>
        </w:rPr>
      </w:pPr>
    </w:p>
    <w:p>
      <w:pPr>
        <w:pStyle w:val="Title"/>
      </w:pPr>
      <w:r>
        <w:t>Title:</w:t>
      </w:r>
      <w:r>
        <w:tab/>
        <w:t>Reply LS on Service on I-NEF Event Exposure</w:t>
      </w:r>
    </w:p>
    <w:p>
      <w:pPr>
        <w:pStyle w:val="Title"/>
      </w:pPr>
      <w:r>
        <w:t>Response to:</w:t>
      </w:r>
      <w:r>
        <w:tab/>
        <w:t>S2-2000011/C3-194445</w:t>
      </w:r>
    </w:p>
    <w:p>
      <w:pPr>
        <w:pStyle w:val="Title"/>
      </w:pPr>
      <w:r>
        <w:t>Release:</w:t>
      </w:r>
      <w:r>
        <w:tab/>
        <w:t>Rel-16</w:t>
      </w:r>
    </w:p>
    <w:p>
      <w:pPr>
        <w:pStyle w:val="Title"/>
      </w:pPr>
      <w:r>
        <w:t>Work Item:</w:t>
      </w:r>
      <w:r>
        <w:tab/>
        <w:t>5G_CIoT</w:t>
      </w:r>
    </w:p>
    <w:p>
      <w:pPr>
        <w:spacing w:after="60"/>
        <w:ind w:left="1985" w:hanging="1985"/>
        <w:rPr>
          <w:rFonts w:ascii="Arial" w:hAnsi="Arial" w:cs="Arial"/>
          <w:b/>
        </w:rPr>
      </w:pPr>
    </w:p>
    <w:p>
      <w:pPr>
        <w:pStyle w:val="Source"/>
      </w:pPr>
      <w:r>
        <w:t>Source:</w:t>
      </w:r>
      <w:r>
        <w:tab/>
      </w:r>
      <w:r>
        <w:rPr>
          <w:b w:val="0"/>
        </w:rPr>
        <w:t>SA2</w:t>
      </w:r>
    </w:p>
    <w:p>
      <w:pPr>
        <w:pStyle w:val="Source"/>
      </w:pPr>
      <w:r>
        <w:t>To:</w:t>
      </w:r>
      <w:r>
        <w:tab/>
      </w:r>
      <w:r>
        <w:rPr>
          <w:b w:val="0"/>
          <w:bCs/>
          <w:kern w:val="28"/>
        </w:rPr>
        <w:t>CT3</w:t>
      </w:r>
    </w:p>
    <w:p>
      <w:pPr>
        <w:pStyle w:val="Source"/>
      </w:pPr>
      <w:r>
        <w:t>Cc:</w:t>
      </w:r>
      <w:r>
        <w:tab/>
      </w:r>
      <w:r>
        <w:rPr>
          <w:b w:val="0"/>
          <w:bCs/>
          <w:kern w:val="28"/>
        </w:rPr>
        <w:t>CT4</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Steven Wenham</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steven &lt;dot&gt; wenham &lt;at&gt; huawei.com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TS23.502 CR2002</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bCs/>
          <w:kern w:val="28"/>
        </w:rPr>
      </w:pPr>
      <w:r>
        <w:rPr>
          <w:rFonts w:ascii="Arial" w:hAnsi="Arial" w:cs="Arial"/>
          <w:bCs/>
          <w:kern w:val="28"/>
        </w:rPr>
        <w:t>SA2 thanks CT3 for the LS on Service on I-NEF Event Exposure.</w:t>
      </w:r>
    </w:p>
    <w:p>
      <w:pPr>
        <w:rPr>
          <w:rFonts w:ascii="Arial" w:hAnsi="Arial" w:cs="Arial"/>
          <w:bCs/>
          <w:kern w:val="28"/>
        </w:rPr>
      </w:pPr>
    </w:p>
    <w:p>
      <w:pPr>
        <w:rPr>
          <w:rFonts w:ascii="Arial" w:hAnsi="Arial" w:cs="Arial"/>
          <w:bCs/>
          <w:kern w:val="28"/>
        </w:rPr>
      </w:pPr>
      <w:r>
        <w:rPr>
          <w:rFonts w:ascii="Arial" w:hAnsi="Arial" w:cs="Arial"/>
          <w:bCs/>
          <w:kern w:val="28"/>
        </w:rPr>
        <w:t xml:space="preserve">Stage 2 specifications show NEF and I-NEF as separate entities, since I-NEF always resides in VPLMN for monitoring purposes, and the NEF is always in HPLMN. TS 23.501 does not restrict </w:t>
      </w:r>
      <w:r>
        <w:rPr>
          <w:rFonts w:ascii="Arial" w:hAnsi="Arial" w:cs="Arial"/>
        </w:rPr>
        <w:t>deployments of the I-NEF with other NFs, see</w:t>
      </w:r>
      <w:r>
        <w:rPr>
          <w:rFonts w:ascii="Arial" w:hAnsi="Arial" w:cs="Arial"/>
          <w:lang w:eastAsia="zh-CN"/>
        </w:rPr>
        <w:t xml:space="preserve"> the NOTE in clause 6.2.5a, that reads “Deployments can choose to co-locate I-NEF with another NF”</w:t>
      </w:r>
      <w:r>
        <w:rPr>
          <w:rFonts w:ascii="Arial" w:hAnsi="Arial" w:cs="Arial"/>
        </w:rPr>
        <w:t xml:space="preserve">. </w:t>
      </w:r>
      <w:r>
        <w:rPr>
          <w:rFonts w:ascii="Arial" w:hAnsi="Arial" w:cs="Arial"/>
          <w:bCs/>
          <w:kern w:val="28"/>
        </w:rPr>
        <w:t xml:space="preserve">Consequently, deployments combining the I-NEF role and NEF role are possible. </w:t>
      </w:r>
    </w:p>
    <w:p>
      <w:pPr>
        <w:rPr>
          <w:rFonts w:ascii="Arial" w:hAnsi="Arial" w:cs="Arial"/>
          <w:bCs/>
          <w:kern w:val="28"/>
        </w:rPr>
      </w:pPr>
    </w:p>
    <w:p>
      <w:pPr>
        <w:rPr>
          <w:rFonts w:ascii="Arial" w:hAnsi="Arial" w:cs="Arial"/>
          <w:bCs/>
          <w:kern w:val="28"/>
        </w:rPr>
      </w:pPr>
      <w:r>
        <w:rPr>
          <w:rFonts w:ascii="Arial" w:hAnsi="Arial" w:cs="Arial"/>
          <w:bCs/>
          <w:kern w:val="28"/>
        </w:rPr>
        <w:t xml:space="preserve">SA2 leaves it for CT3 to determine whether the functionality of I-NEF Event Exposure can be implemented by re-using the Nnef_EventExposure service, and the SA2 modelling of separate service operations for NEF and I-NEF does not prevent that decision. </w:t>
      </w:r>
    </w:p>
    <w:p>
      <w:pPr>
        <w:rPr>
          <w:rFonts w:ascii="Arial" w:hAnsi="Arial" w:cs="Arial"/>
          <w:bCs/>
          <w:kern w:val="28"/>
        </w:rPr>
      </w:pPr>
    </w:p>
    <w:p>
      <w:pPr>
        <w:rPr>
          <w:rFonts w:ascii="Arial" w:hAnsi="Arial" w:cs="Arial"/>
          <w:bCs/>
          <w:kern w:val="28"/>
        </w:rPr>
      </w:pPr>
      <w:r>
        <w:rPr>
          <w:rFonts w:ascii="Arial" w:hAnsi="Arial" w:cs="Arial"/>
          <w:bCs/>
          <w:kern w:val="28"/>
        </w:rPr>
        <w:t xml:space="preserve">But, SA2 would also like to remind CT3 that the following </w:t>
      </w:r>
      <w:r>
        <w:rPr>
          <w:rFonts w:ascii="Arial" w:hAnsi="Arial" w:cs="Arial" w:hint="eastAsia"/>
          <w:bCs/>
          <w:kern w:val="28"/>
          <w:lang w:eastAsia="zh-CN"/>
        </w:rPr>
        <w:t>difference</w:t>
      </w:r>
      <w:r>
        <w:rPr>
          <w:rFonts w:ascii="Arial" w:hAnsi="Arial" w:cs="Arial"/>
          <w:bCs/>
          <w:kern w:val="28"/>
          <w:lang w:eastAsia="zh-CN"/>
        </w:rPr>
        <w:t>s</w:t>
      </w:r>
      <w:r>
        <w:rPr>
          <w:rFonts w:ascii="Arial" w:hAnsi="Arial" w:cs="Arial" w:hint="eastAsia"/>
          <w:bCs/>
          <w:kern w:val="28"/>
          <w:lang w:eastAsia="zh-CN"/>
        </w:rPr>
        <w:t xml:space="preserve"> between </w:t>
      </w:r>
      <w:r>
        <w:rPr>
          <w:rFonts w:ascii="Arial" w:hAnsi="Arial" w:cs="Arial"/>
          <w:bCs/>
          <w:kern w:val="28"/>
          <w:lang w:eastAsia="zh-CN"/>
        </w:rPr>
        <w:t>N</w:t>
      </w:r>
      <w:r>
        <w:rPr>
          <w:rFonts w:ascii="Arial" w:hAnsi="Arial" w:cs="Arial"/>
          <w:bCs/>
          <w:kern w:val="28"/>
        </w:rPr>
        <w:t xml:space="preserve">inef_EventExposure service and Nnef_EventExposure service should be taken into account when working on stage 3 details: </w:t>
      </w:r>
    </w:p>
    <w:p>
      <w:pPr>
        <w:rPr>
          <w:rFonts w:ascii="Arial" w:hAnsi="Arial" w:cs="Arial"/>
          <w:bCs/>
          <w:kern w:val="28"/>
        </w:rPr>
      </w:pPr>
    </w:p>
    <w:p>
      <w:pPr>
        <w:pStyle w:val="ListParagraph"/>
        <w:numPr>
          <w:ilvl w:val="0"/>
          <w:numId w:val="17"/>
        </w:numPr>
        <w:rPr>
          <w:rFonts w:ascii="Arial" w:hAnsi="Arial" w:cs="Arial"/>
        </w:rPr>
      </w:pPr>
      <w:r>
        <w:rPr>
          <w:rFonts w:ascii="Arial" w:hAnsi="Arial" w:cs="Arial"/>
        </w:rPr>
        <w:t xml:space="preserve">NEF service operations are designed for northbound traffic, AMF and SMF reside within 3GPP system. Consequently, NEF services address a target UE by Public identity (GPSI) or External Group Identifier, while I-NEF services address target UEs by SUPI or 3GPP internal group identifier. If </w:t>
      </w:r>
      <w:r>
        <w:rPr>
          <w:rFonts w:ascii="Arial" w:hAnsi="Arial" w:cs="Arial"/>
          <w:bCs/>
          <w:kern w:val="28"/>
        </w:rPr>
        <w:t>Nnef_EventExposure service</w:t>
      </w:r>
      <w:r>
        <w:rPr>
          <w:rFonts w:ascii="Arial" w:hAnsi="Arial" w:cs="Arial"/>
        </w:rPr>
        <w:t xml:space="preserve"> is used </w:t>
      </w:r>
      <w:r>
        <w:rPr>
          <w:rFonts w:ascii="Arial" w:hAnsi="Arial" w:cs="Arial"/>
          <w:lang w:eastAsia="zh-CN"/>
        </w:rPr>
        <w:t xml:space="preserve">to implement the </w:t>
      </w:r>
      <w:r>
        <w:rPr>
          <w:rFonts w:ascii="Arial" w:hAnsi="Arial" w:cs="Arial"/>
          <w:bCs/>
          <w:kern w:val="28"/>
        </w:rPr>
        <w:t>functionality of I-NEF Event Exposure</w:t>
      </w:r>
      <w:r>
        <w:rPr>
          <w:rFonts w:ascii="Arial" w:hAnsi="Arial" w:cs="Arial"/>
        </w:rPr>
        <w:t xml:space="preserve">, then the use of SUPI and Internal Group Identifier must be restricted to use cases when the service operation is used inside the 3GPP system (i.e. the use of these internal identifiers is not allowed in N33 / T8). </w:t>
      </w:r>
    </w:p>
    <w:p>
      <w:pPr>
        <w:pStyle w:val="ListParagraph"/>
        <w:numPr>
          <w:ilvl w:val="0"/>
          <w:numId w:val="17"/>
        </w:numPr>
        <w:rPr>
          <w:rFonts w:ascii="Arial" w:hAnsi="Arial" w:cs="Arial"/>
        </w:rPr>
      </w:pPr>
      <w:r>
        <w:rPr>
          <w:rFonts w:ascii="Arial" w:hAnsi="Arial" w:cs="Arial"/>
        </w:rPr>
        <w:t xml:space="preserve">NEF Event Exposure is designed for the consumer to subscribe to notifications. But via I-NEF Event Exposure, AMF or SMF is not subscribing to receive I-NEF notifications but configuring a routing address for sending its own notifications by means of subscription on behalf of third party NF (i.e. the NEF). This implies that the I-NEF processing for NEF Event Exposure differs from </w:t>
      </w:r>
      <w:r>
        <w:rPr>
          <w:rFonts w:ascii="Arial" w:hAnsi="Arial" w:cs="Arial"/>
          <w:lang w:eastAsia="zh-CN"/>
        </w:rPr>
        <w:t xml:space="preserve">NEF </w:t>
      </w:r>
      <w:r>
        <w:rPr>
          <w:rFonts w:ascii="Arial" w:hAnsi="Arial" w:cs="Arial"/>
        </w:rPr>
        <w:t xml:space="preserve">processing of the same service operation. </w:t>
      </w:r>
    </w:p>
    <w:p>
      <w:pPr>
        <w:rPr>
          <w:rFonts w:ascii="Arial" w:hAnsi="Arial" w:cs="Arial"/>
          <w:bCs/>
          <w:kern w:val="28"/>
          <w:lang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CT3 group.</w:t>
      </w:r>
    </w:p>
    <w:p>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SA2 kindly asks CT3 to take above information into account.</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TSG SA WG2 Meetings:</w:t>
      </w:r>
    </w:p>
    <w:p>
      <w:pPr>
        <w:tabs>
          <w:tab w:val="left" w:pos="3969"/>
          <w:tab w:val="left" w:pos="5103"/>
        </w:tabs>
        <w:spacing w:after="120"/>
        <w:ind w:left="2268" w:hanging="2268"/>
        <w:rPr>
          <w:rFonts w:ascii="Arial" w:hAnsi="Arial" w:cs="Arial"/>
          <w:bCs/>
        </w:rPr>
      </w:pPr>
      <w:r>
        <w:rPr>
          <w:rFonts w:ascii="Arial" w:hAnsi="Arial" w:cs="Arial"/>
          <w:bCs/>
        </w:rPr>
        <w:t>TSG-SA2 Meeting #137</w:t>
      </w:r>
      <w:r>
        <w:rPr>
          <w:rFonts w:ascii="Arial" w:hAnsi="Arial" w:cs="Arial"/>
          <w:bCs/>
        </w:rPr>
        <w:tab/>
      </w:r>
      <w:r>
        <w:rPr>
          <w:rFonts w:ascii="Arial" w:hAnsi="Arial" w:cs="Arial"/>
          <w:bCs/>
        </w:rPr>
        <w:tab/>
        <w:t>24 – 28 Feb 2020</w:t>
      </w:r>
      <w:r>
        <w:rPr>
          <w:rFonts w:ascii="Arial" w:hAnsi="Arial" w:cs="Arial"/>
          <w:bCs/>
        </w:rPr>
        <w:tab/>
      </w:r>
      <w:r>
        <w:rPr>
          <w:rFonts w:ascii="Arial" w:hAnsi="Arial" w:cs="Arial"/>
          <w:bCs/>
        </w:rPr>
        <w:tab/>
        <w:t>New Delhi, India</w:t>
      </w:r>
    </w:p>
    <w:p>
      <w:pPr>
        <w:tabs>
          <w:tab w:val="left" w:pos="3969"/>
          <w:tab w:val="left" w:pos="5103"/>
        </w:tabs>
        <w:spacing w:after="120"/>
        <w:ind w:left="2268" w:hanging="2268"/>
        <w:rPr>
          <w:rFonts w:ascii="Arial" w:hAnsi="Arial" w:cs="Arial"/>
          <w:bCs/>
        </w:rPr>
      </w:pPr>
      <w:r>
        <w:rPr>
          <w:rFonts w:ascii="Arial" w:hAnsi="Arial" w:cs="Arial"/>
          <w:bCs/>
        </w:rPr>
        <w:t>TSG-SA2 Meeting #138</w:t>
      </w:r>
      <w:r>
        <w:rPr>
          <w:rFonts w:ascii="Arial" w:hAnsi="Arial" w:cs="Arial"/>
          <w:bCs/>
        </w:rPr>
        <w:tab/>
      </w:r>
      <w:r>
        <w:rPr>
          <w:rFonts w:ascii="Arial" w:hAnsi="Arial" w:cs="Arial"/>
          <w:bCs/>
        </w:rPr>
        <w:tab/>
        <w:t>20 – 24 Apr 2020</w:t>
      </w:r>
      <w:r>
        <w:rPr>
          <w:rFonts w:ascii="Arial" w:hAnsi="Arial" w:cs="Arial"/>
          <w:bCs/>
        </w:rPr>
        <w:tab/>
      </w:r>
      <w:r>
        <w:rPr>
          <w:rFonts w:ascii="Arial" w:hAnsi="Arial" w:cs="Arial"/>
          <w:bCs/>
        </w:rPr>
        <w:tab/>
        <w:t>Dubrovnik, Croatia</w:t>
      </w: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700A65"/>
    <w:multiLevelType w:val="hybridMultilevel"/>
    <w:tmpl w:val="DEFAC8B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9AA60A1"/>
    <w:multiLevelType w:val="hybridMultilevel"/>
    <w:tmpl w:val="80165E98"/>
    <w:lvl w:ilvl="0" w:tplc="E4A0544A">
      <w:start w:val="1"/>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C286277"/>
    <w:multiLevelType w:val="hybridMultilevel"/>
    <w:tmpl w:val="58DC871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4"/>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link w:val="CRCoverPageZchn"/>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8</cp:revision>
  <cp:lastPrinted>2002-04-23T07:10:00Z</cp:lastPrinted>
  <dcterms:created xsi:type="dcterms:W3CDTF">2020-01-17T04:31:00Z</dcterms:created>
  <dcterms:modified xsi:type="dcterms:W3CDTF">2020-02-06T15:29:00Z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(3)RXYI4Qf6ymZxRxGi3jLM9gK78EGu+Kp7uYWFbNkCZxQrC4Jh31TEBlA4tnrNGzQKUnLbzTes
/r65SIYGopBcMYCVEqMdn3vlebDV+DPlTR9CGP9SLffgkvJ2KdsGjCYq6dQB/6AieZneFFmp
OmRtLxho2+owXxE/Vf7d0SbFk05IwV3gv41F5h0aFj5Pq8u0lcXEgxeJNnh8qsiFCIUYaRsx
I4EcA9V8afR9waY+qq</vt:lpwstr>
  </property>
  <property fmtid="{D5CDD505-2E9C-101B-9397-08002B2CF9AE}" pid="3" name="_2015_ms_pID_7253431">
    <vt:lpwstr>CIRHoal2me4MJ+R8db9nrPD/oAiHc07BBJEqvNCfp1txoLU+UvMLca
N0xt86Zp/sSZEuySlR3IJgRonP/wnrrwuazU61fMDHS9Ij5nUu4sBvXCMvGM6j8hNM2Zpa4b
cvQLMWBgWTdjavJ3p18I8dM/5qzzMEG1hVtKlCpz5TLV9q1CwS198h1ITggyYBY9lc360VrQ
G4oyf4KQ9zAgQfqB9sa2jaDjT31gM6y9qs8R</vt:lpwstr>
  </property>
  <property fmtid="{D5CDD505-2E9C-101B-9397-08002B2CF9AE}" pid="4" name="_2015_ms_pID_7253432">
    <vt:lpwstr>JdUweR1Pk6v9YWHSmCBp8EQ=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1579228095</vt:lpwstr>
  </property>
</Properties>
</file>