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AF" w:rsidRPr="00C16BAF" w:rsidRDefault="00C16BAF" w:rsidP="00C16BAF">
      <w:pPr>
        <w:rPr>
          <w:rFonts w:ascii="Arial" w:hAnsi="Arial"/>
          <w:b/>
          <w:i/>
          <w:noProof/>
          <w:sz w:val="24"/>
        </w:rPr>
      </w:pPr>
      <w:r w:rsidRPr="00C16BAF">
        <w:rPr>
          <w:rFonts w:ascii="Arial" w:hAnsi="Arial"/>
          <w:b/>
          <w:noProof/>
          <w:sz w:val="24"/>
        </w:rPr>
        <w:t>3GPP TSG CT WG1 Meeting #7</w:t>
      </w:r>
      <w:r w:rsidR="00055FA3">
        <w:rPr>
          <w:rFonts w:ascii="Arial" w:hAnsi="Arial"/>
          <w:b/>
          <w:noProof/>
          <w:sz w:val="24"/>
        </w:rPr>
        <w:t>6</w:t>
      </w:r>
      <w:r w:rsidRPr="00C16BAF">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1F517F">
        <w:rPr>
          <w:rFonts w:ascii="Arial" w:hAnsi="Arial"/>
          <w:b/>
          <w:noProof/>
          <w:sz w:val="24"/>
        </w:rPr>
        <w:t>20437</w:t>
      </w:r>
    </w:p>
    <w:p w:rsidR="00F9716A" w:rsidRDefault="00055FA3" w:rsidP="00132C83">
      <w:pPr>
        <w:outlineLvl w:val="0"/>
        <w:rPr>
          <w:rFonts w:ascii="Arial" w:hAnsi="Arial"/>
          <w:b/>
          <w:noProof/>
          <w:sz w:val="24"/>
        </w:rPr>
      </w:pPr>
      <w:r>
        <w:rPr>
          <w:rFonts w:ascii="Arial" w:hAnsi="Arial"/>
          <w:b/>
          <w:noProof/>
          <w:sz w:val="24"/>
        </w:rPr>
        <w:t>Xiamen (P.R. China), 6-10 February 2012</w:t>
      </w:r>
    </w:p>
    <w:p w:rsidR="00C16BAF" w:rsidRPr="00F9716A" w:rsidRDefault="00C16BAF" w:rsidP="00C16BAF">
      <w:pPr>
        <w:rPr>
          <w:rFonts w:ascii="Arial" w:hAnsi="Arial" w:cs="Arial"/>
          <w:b/>
          <w:bCs/>
          <w:noProof/>
          <w:sz w:val="24"/>
        </w:rPr>
      </w:pPr>
    </w:p>
    <w:p w:rsidR="00236D1F" w:rsidRPr="00132C83" w:rsidRDefault="00236D1F" w:rsidP="00132C83">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proofErr w:type="spellStart"/>
      <w:r w:rsidR="00132C83" w:rsidRPr="00132C83">
        <w:rPr>
          <w:rFonts w:ascii="Arial" w:hAnsi="Arial" w:cs="Arial"/>
          <w:b/>
          <w:bCs/>
        </w:rPr>
        <w:t>Renesas</w:t>
      </w:r>
      <w:proofErr w:type="spellEnd"/>
      <w:r w:rsidR="00132C83" w:rsidRPr="00132C83">
        <w:rPr>
          <w:rFonts w:ascii="Arial" w:hAnsi="Arial" w:cs="Arial"/>
          <w:b/>
          <w:bCs/>
        </w:rPr>
        <w:t xml:space="preserve"> </w:t>
      </w:r>
      <w:r w:rsidR="00132C83" w:rsidRPr="00132C83">
        <w:rPr>
          <w:rFonts w:ascii="Arial" w:hAnsi="Arial"/>
          <w:b/>
          <w:bCs/>
          <w:lang w:val="en-US"/>
        </w:rPr>
        <w:t>Mobile Europe Ltd</w:t>
      </w:r>
    </w:p>
    <w:p w:rsidR="00132C83" w:rsidRPr="00132C83" w:rsidRDefault="00236D1F" w:rsidP="00132C8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132C83" w:rsidRPr="00132C83">
        <w:rPr>
          <w:rFonts w:ascii="Arial" w:hAnsi="Arial" w:cs="Arial"/>
          <w:b/>
          <w:bCs/>
          <w:lang w:val="en-US"/>
        </w:rPr>
        <w:t xml:space="preserve">Equivalent PLMN List and CSG Reporting in Dedicated and DTM Mode </w:t>
      </w:r>
    </w:p>
    <w:p w:rsidR="00236D1F" w:rsidRDefault="00132C83">
      <w:pPr>
        <w:spacing w:after="120"/>
        <w:ind w:left="1985" w:hanging="1985"/>
        <w:rPr>
          <w:rFonts w:ascii="Arial" w:hAnsi="Arial" w:cs="Arial"/>
          <w:b/>
          <w:bCs/>
        </w:rPr>
      </w:pPr>
      <w:r>
        <w:rPr>
          <w:rFonts w:ascii="Arial" w:hAnsi="Arial" w:cs="Arial"/>
          <w:b/>
          <w:bCs/>
        </w:rPr>
        <w:t>Agenda item:</w:t>
      </w:r>
      <w:r>
        <w:rPr>
          <w:rFonts w:ascii="Arial" w:hAnsi="Arial" w:cs="Arial"/>
          <w:b/>
          <w:bCs/>
        </w:rPr>
        <w:tab/>
        <w:t>9.2</w:t>
      </w:r>
    </w:p>
    <w:p w:rsidR="00236D1F" w:rsidRDefault="00236D1F" w:rsidP="00132C83">
      <w:pPr>
        <w:spacing w:after="120"/>
        <w:ind w:left="1985" w:hanging="1985"/>
        <w:outlineLvl w:val="0"/>
        <w:rPr>
          <w:rFonts w:ascii="Arial" w:hAnsi="Arial" w:cs="Arial"/>
          <w:b/>
          <w:bCs/>
        </w:rPr>
      </w:pPr>
      <w:r>
        <w:rPr>
          <w:rFonts w:ascii="Arial" w:hAnsi="Arial" w:cs="Arial"/>
          <w:b/>
          <w:bCs/>
        </w:rPr>
        <w:t>Document for:</w:t>
      </w:r>
      <w:r w:rsidR="00132C83">
        <w:rPr>
          <w:rFonts w:ascii="Arial" w:hAnsi="Arial" w:cs="Arial"/>
          <w:b/>
          <w:bCs/>
        </w:rPr>
        <w:tab/>
        <w:t>Discussion</w:t>
      </w:r>
      <w:r>
        <w:rPr>
          <w:rFonts w:ascii="Arial" w:hAnsi="Arial" w:cs="Arial"/>
          <w:b/>
          <w:bCs/>
        </w:rPr>
        <w:tab/>
      </w:r>
    </w:p>
    <w:p w:rsidR="001F517F" w:rsidRDefault="001F517F" w:rsidP="001F517F">
      <w:pPr>
        <w:pBdr>
          <w:bottom w:val="single" w:sz="4" w:space="1" w:color="auto"/>
        </w:pBdr>
        <w:rPr>
          <w:rFonts w:ascii="Arial" w:hAnsi="Arial" w:cs="Arial"/>
          <w:b/>
          <w:bCs/>
        </w:rPr>
      </w:pPr>
    </w:p>
    <w:p w:rsidR="001F517F" w:rsidRDefault="001F517F" w:rsidP="001F517F">
      <w:pPr>
        <w:rPr>
          <w:rFonts w:ascii="Arial" w:hAnsi="Arial" w:cs="Arial"/>
          <w:b/>
          <w:bCs/>
        </w:rPr>
      </w:pPr>
    </w:p>
    <w:p w:rsidR="00132C83" w:rsidRDefault="00132C83" w:rsidP="00132C83">
      <w:pPr>
        <w:pStyle w:val="Heading1"/>
        <w:spacing w:before="240"/>
        <w:ind w:left="0" w:right="0" w:firstLine="0"/>
        <w:rPr>
          <w:lang w:val="en-US"/>
        </w:rPr>
      </w:pPr>
      <w:r>
        <w:rPr>
          <w:lang w:val="en-US"/>
        </w:rPr>
        <w:t xml:space="preserve">1. </w:t>
      </w:r>
      <w:r w:rsidRPr="0088333C">
        <w:rPr>
          <w:lang w:val="en-US"/>
        </w:rPr>
        <w:t>Introduction</w:t>
      </w:r>
    </w:p>
    <w:p w:rsidR="00132C83" w:rsidRDefault="00132C83" w:rsidP="00132C83">
      <w:r>
        <w:t>In this paper</w:t>
      </w:r>
      <w:r w:rsidR="00D6495D">
        <w:t>,</w:t>
      </w:r>
      <w:r>
        <w:t xml:space="preserve"> the background and a detailed analysis of the issues identified in GERAN with respect to C</w:t>
      </w:r>
      <w:r w:rsidR="00D6495D">
        <w:t xml:space="preserve">SG access check and PLMN, </w:t>
      </w:r>
      <w:proofErr w:type="spellStart"/>
      <w:r w:rsidR="00D6495D">
        <w:t>EPLMN</w:t>
      </w:r>
      <w:r>
        <w:t>lists</w:t>
      </w:r>
      <w:proofErr w:type="spellEnd"/>
      <w:r>
        <w:t xml:space="preserve"> in dedicated and DTM mode are presented. The intention is to provide better understanding of the issues depicted in the LS in </w:t>
      </w:r>
      <w:r w:rsidRPr="0071595D">
        <w:t>C1-120035</w:t>
      </w:r>
      <w:r>
        <w:t xml:space="preserve"> and enable CT1 to conclude on th</w:t>
      </w:r>
      <w:r w:rsidR="00206986">
        <w:t>ese</w:t>
      </w:r>
      <w:r>
        <w:t xml:space="preserve"> issues. </w:t>
      </w:r>
    </w:p>
    <w:p w:rsidR="005D0569" w:rsidRDefault="005D0569" w:rsidP="00132C83">
      <w:pPr>
        <w:pStyle w:val="Heading1"/>
        <w:spacing w:before="240"/>
        <w:ind w:left="0" w:right="0" w:firstLine="0"/>
        <w:rPr>
          <w:lang w:val="en-US"/>
        </w:rPr>
      </w:pPr>
    </w:p>
    <w:p w:rsidR="00132C83" w:rsidRPr="0088333C" w:rsidRDefault="00132C83" w:rsidP="00132C83">
      <w:pPr>
        <w:pStyle w:val="Heading1"/>
        <w:spacing w:before="240"/>
        <w:ind w:left="0" w:right="0" w:firstLine="0"/>
        <w:rPr>
          <w:lang w:val="en-US"/>
        </w:rPr>
      </w:pPr>
      <w:r>
        <w:rPr>
          <w:lang w:val="en-US"/>
        </w:rPr>
        <w:t xml:space="preserve">2. Background </w:t>
      </w:r>
    </w:p>
    <w:p w:rsidR="00132C83" w:rsidRPr="005A42BB" w:rsidRDefault="00132C83" w:rsidP="00D13945">
      <w:pPr>
        <w:jc w:val="both"/>
      </w:pPr>
      <w:r w:rsidRPr="005A42BB">
        <w:t xml:space="preserve">As given in TS25.304 and TS36.304 a CSG is considered suitable if the CSG ID broadcast by the cell is </w:t>
      </w:r>
      <w:proofErr w:type="spellStart"/>
      <w:r w:rsidRPr="005A42BB">
        <w:t>is</w:t>
      </w:r>
      <w:proofErr w:type="spellEnd"/>
      <w:r w:rsidRPr="005A42BB">
        <w:t xml:space="preserve"> present in the allowed CSG list associated with the PLMN which is either the: </w:t>
      </w:r>
    </w:p>
    <w:p w:rsidR="00132C83" w:rsidRPr="005A42BB" w:rsidRDefault="00132C83" w:rsidP="00D13945">
      <w:pPr>
        <w:numPr>
          <w:ilvl w:val="0"/>
          <w:numId w:val="9"/>
        </w:numPr>
        <w:jc w:val="both"/>
      </w:pPr>
      <w:r w:rsidRPr="005A42BB">
        <w:t>the selected PLMN, or:</w:t>
      </w:r>
    </w:p>
    <w:p w:rsidR="00132C83" w:rsidRPr="005A42BB" w:rsidRDefault="00132C83" w:rsidP="00D13945">
      <w:pPr>
        <w:numPr>
          <w:ilvl w:val="0"/>
          <w:numId w:val="9"/>
        </w:numPr>
        <w:jc w:val="both"/>
      </w:pPr>
      <w:r w:rsidRPr="005A42BB">
        <w:t>the registered PLMN, or:</w:t>
      </w:r>
    </w:p>
    <w:p w:rsidR="00132C83" w:rsidRPr="005A42BB" w:rsidRDefault="00132C83" w:rsidP="00D13945">
      <w:pPr>
        <w:numPr>
          <w:ilvl w:val="0"/>
          <w:numId w:val="9"/>
        </w:numPr>
        <w:jc w:val="both"/>
      </w:pPr>
      <w:r w:rsidRPr="005A42BB">
        <w:t>a PLMN of the Equivalent PLMN list</w:t>
      </w:r>
    </w:p>
    <w:p w:rsidR="00132C83" w:rsidRPr="005A42BB" w:rsidRDefault="00132C83" w:rsidP="00D13945">
      <w:pPr>
        <w:jc w:val="both"/>
      </w:pPr>
      <w:proofErr w:type="gramStart"/>
      <w:r w:rsidRPr="005A42BB">
        <w:t>for</w:t>
      </w:r>
      <w:proofErr w:type="gramEnd"/>
      <w:r w:rsidRPr="005A42BB">
        <w:t xml:space="preserve"> the mobile.</w:t>
      </w:r>
    </w:p>
    <w:p w:rsidR="00132C83" w:rsidRDefault="00132C83" w:rsidP="00D13945">
      <w:pPr>
        <w:jc w:val="both"/>
      </w:pPr>
      <w:r w:rsidRPr="0088333C">
        <w:t xml:space="preserve">As described in 3GPP TS 24.008 the mobile stores a list of "equivalent PLMNs" [EPLMN] received by the network in which it is registered. This list is replaced or deleted at the end of each location/registration update procedure, routing area update procedure and GPRS attach procedure. The stored list consists of a list of equivalent PLMNs as downloaded by the network plus the PLMN code of the registered PLMN that downloaded the list. </w:t>
      </w:r>
    </w:p>
    <w:p w:rsidR="007D2485" w:rsidRDefault="007D2485" w:rsidP="00D13945">
      <w:pPr>
        <w:jc w:val="both"/>
        <w:rPr>
          <w:u w:val="single"/>
        </w:rPr>
      </w:pPr>
    </w:p>
    <w:p w:rsidR="00132C83" w:rsidRPr="007D2485" w:rsidRDefault="00132C83" w:rsidP="00D13945">
      <w:pPr>
        <w:jc w:val="both"/>
        <w:rPr>
          <w:b/>
          <w:u w:val="single"/>
        </w:rPr>
      </w:pPr>
      <w:r w:rsidRPr="007D2485">
        <w:rPr>
          <w:b/>
          <w:u w:val="single"/>
        </w:rPr>
        <w:t xml:space="preserve">Registration Update Connected / Dedicated Mode </w:t>
      </w:r>
    </w:p>
    <w:p w:rsidR="00132C83" w:rsidRPr="0088333C" w:rsidRDefault="00132C83" w:rsidP="00D13945">
      <w:pPr>
        <w:jc w:val="both"/>
      </w:pPr>
      <w:r w:rsidRPr="0088333C">
        <w:t xml:space="preserve">In </w:t>
      </w:r>
      <w:r w:rsidRPr="005A42BB">
        <w:t>GERAN in connected mode/dedicated mode</w:t>
      </w:r>
      <w:r w:rsidRPr="0088333C">
        <w:t xml:space="preserve"> upon handover to a cell of a different location area, the location area update (LAU) can only be performed after the dedicated connection is released. </w:t>
      </w:r>
      <w:r>
        <w:t xml:space="preserve">Said otherwise, the UE is not aware of a possible change of location area (and possibly PLMN and/or EPLMN list change) at handover. </w:t>
      </w:r>
      <w:r w:rsidRPr="0088333C">
        <w:t>This had not been an issue before mobility to CSG cells was considered.</w:t>
      </w:r>
      <w:r>
        <w:t xml:space="preserve"> Note also that a location update may only be triggered by the UE.</w:t>
      </w:r>
    </w:p>
    <w:p w:rsidR="00132C83" w:rsidRDefault="00132C83" w:rsidP="00D13945">
      <w:pPr>
        <w:jc w:val="both"/>
      </w:pPr>
      <w:r>
        <w:t>The m</w:t>
      </w:r>
      <w:r w:rsidRPr="0088333C">
        <w:t xml:space="preserve">obility to CSG cells in dedicated mode relies on the ability of the </w:t>
      </w:r>
      <w:r>
        <w:t>UE</w:t>
      </w:r>
      <w:r w:rsidRPr="0088333C">
        <w:t xml:space="preserve"> to report CSG cells and on the ability of the network to hand the </w:t>
      </w:r>
      <w:r>
        <w:t>UE</w:t>
      </w:r>
      <w:r w:rsidRPr="0088333C">
        <w:t xml:space="preserve"> over to a (previously reported) CSG cell. </w:t>
      </w:r>
      <w:r>
        <w:t xml:space="preserve">Given the above, </w:t>
      </w:r>
      <w:r w:rsidRPr="0088333C">
        <w:t xml:space="preserve">the CSG Whitelist check performed by the </w:t>
      </w:r>
      <w:r>
        <w:t>UE</w:t>
      </w:r>
      <w:r w:rsidRPr="0088333C">
        <w:t xml:space="preserve"> for the CSG cell’s (CSG ID, PLMN ID) may not be completely accurate; the </w:t>
      </w:r>
      <w:r>
        <w:t>UE</w:t>
      </w:r>
      <w:r w:rsidRPr="0088333C">
        <w:t xml:space="preserve"> may be served by a different location area in a different PLMN than the one in which it last made a registration update such that this PLMN and/or associated list of equivalent PLMNs may be different from the </w:t>
      </w:r>
      <w:r>
        <w:t>UE</w:t>
      </w:r>
      <w:r w:rsidRPr="0088333C">
        <w:t xml:space="preserve">’s registered PLMN and EPLMN list obtained at the last registration update, e.g. across country borders. Differently from the network side, while the mobile does not know that there is a change of LA upon handover, </w:t>
      </w:r>
      <w:r>
        <w:t>t</w:t>
      </w:r>
      <w:r w:rsidRPr="0088333C">
        <w:t xml:space="preserve">he access check performed by the </w:t>
      </w:r>
      <w:r>
        <w:t>UE</w:t>
      </w:r>
      <w:r w:rsidRPr="0088333C">
        <w:t xml:space="preserve"> utilizing potentially obsolete PLMN and EPLMN list can yield the following problems:</w:t>
      </w:r>
    </w:p>
    <w:p w:rsidR="001F517F" w:rsidRPr="0088333C" w:rsidRDefault="001F517F" w:rsidP="00D13945">
      <w:pPr>
        <w:jc w:val="both"/>
      </w:pPr>
    </w:p>
    <w:p w:rsidR="00132C83" w:rsidRPr="0088333C" w:rsidRDefault="00132C83" w:rsidP="00D13945">
      <w:pPr>
        <w:pStyle w:val="ListParagraph"/>
        <w:numPr>
          <w:ilvl w:val="0"/>
          <w:numId w:val="12"/>
        </w:numPr>
        <w:jc w:val="both"/>
      </w:pPr>
      <w:r w:rsidRPr="0088333C">
        <w:t xml:space="preserve">A CSG cell determined as allowed (hence possibly reported) may not be an allowed CSG </w:t>
      </w:r>
      <w:r>
        <w:t>c</w:t>
      </w:r>
      <w:r w:rsidRPr="0088333C">
        <w:t>ell,</w:t>
      </w:r>
    </w:p>
    <w:p w:rsidR="00132C83" w:rsidRDefault="00132C83" w:rsidP="00D13945">
      <w:pPr>
        <w:pStyle w:val="ListParagraph"/>
        <w:numPr>
          <w:ilvl w:val="0"/>
          <w:numId w:val="12"/>
        </w:numPr>
        <w:jc w:val="both"/>
      </w:pPr>
      <w:r w:rsidRPr="0088333C">
        <w:t>An allowed CSG cell may not be determined as allowed (hence not reported at all)</w:t>
      </w:r>
    </w:p>
    <w:p w:rsidR="007D2485" w:rsidRDefault="007D2485" w:rsidP="00D13945">
      <w:pPr>
        <w:jc w:val="both"/>
        <w:rPr>
          <w:u w:val="single"/>
        </w:rPr>
      </w:pPr>
    </w:p>
    <w:p w:rsidR="00132C83" w:rsidRPr="007D2485" w:rsidRDefault="00132C83" w:rsidP="00D13945">
      <w:pPr>
        <w:jc w:val="both"/>
        <w:rPr>
          <w:b/>
          <w:u w:val="single"/>
        </w:rPr>
      </w:pPr>
      <w:r w:rsidRPr="007D2485">
        <w:rPr>
          <w:b/>
          <w:u w:val="single"/>
        </w:rPr>
        <w:t xml:space="preserve">Registration Update in DTM mode </w:t>
      </w:r>
    </w:p>
    <w:p w:rsidR="00132C83" w:rsidRDefault="00132C83" w:rsidP="00D13945">
      <w:pPr>
        <w:jc w:val="both"/>
        <w:rPr>
          <w:color w:val="000000"/>
          <w:lang w:val="en-US"/>
        </w:rPr>
      </w:pPr>
      <w:r w:rsidRPr="00315203">
        <w:t xml:space="preserve">In DTM the RA update and LA update procedures shall be supported in parallel in the main DCCH with SAPI 0. Upon </w:t>
      </w:r>
      <w:bookmarkStart w:id="0" w:name="_GoBack"/>
      <w:bookmarkEnd w:id="0"/>
      <w:proofErr w:type="spellStart"/>
      <w:r w:rsidRPr="00315203">
        <w:t>interPLMN</w:t>
      </w:r>
      <w:proofErr w:type="spellEnd"/>
      <w:r w:rsidRPr="00315203">
        <w:t xml:space="preserve"> </w:t>
      </w:r>
      <w:r w:rsidRPr="00315203">
        <w:rPr>
          <w:color w:val="000000"/>
          <w:lang w:val="en-US"/>
        </w:rPr>
        <w:t>Handover, RA update procedure is triggered right after succes</w:t>
      </w:r>
      <w:r>
        <w:rPr>
          <w:color w:val="000000"/>
          <w:lang w:val="en-US"/>
        </w:rPr>
        <w:t>sful completion of the handover and thus completed before the LA update is completed or even before it is initiated.</w:t>
      </w:r>
    </w:p>
    <w:p w:rsidR="00132C83" w:rsidRPr="005A42BB" w:rsidRDefault="00132C83" w:rsidP="00D13945">
      <w:pPr>
        <w:pStyle w:val="11BodyText"/>
        <w:rPr>
          <w:u w:val="single"/>
        </w:rPr>
      </w:pPr>
    </w:p>
    <w:p w:rsidR="00132C83" w:rsidRPr="0088333C" w:rsidRDefault="007D2485" w:rsidP="00D13945">
      <w:pPr>
        <w:pStyle w:val="Heading1"/>
        <w:spacing w:before="240"/>
        <w:ind w:left="0" w:right="0" w:firstLine="0"/>
        <w:jc w:val="both"/>
        <w:rPr>
          <w:lang w:val="en-US"/>
        </w:rPr>
      </w:pPr>
      <w:r>
        <w:rPr>
          <w:lang w:val="en-US"/>
        </w:rPr>
        <w:t xml:space="preserve">3. </w:t>
      </w:r>
      <w:r w:rsidR="00132C83">
        <w:rPr>
          <w:lang w:val="en-US"/>
        </w:rPr>
        <w:t>U</w:t>
      </w:r>
      <w:r w:rsidR="00132C83" w:rsidRPr="0088333C">
        <w:rPr>
          <w:lang w:val="en-US"/>
        </w:rPr>
        <w:t>tilizing obsolete PLM</w:t>
      </w:r>
      <w:r w:rsidR="00132C83">
        <w:rPr>
          <w:lang w:val="en-US"/>
        </w:rPr>
        <w:t>N</w:t>
      </w:r>
      <w:r w:rsidR="00132C83" w:rsidRPr="0088333C">
        <w:rPr>
          <w:lang w:val="en-US"/>
        </w:rPr>
        <w:t xml:space="preserve"> for CSG access check</w:t>
      </w:r>
      <w:r w:rsidR="00132C83">
        <w:rPr>
          <w:lang w:val="en-US"/>
        </w:rPr>
        <w:t xml:space="preserve"> in dedicated mode</w:t>
      </w:r>
    </w:p>
    <w:p w:rsidR="00132C83" w:rsidRDefault="00132C83" w:rsidP="00D13945">
      <w:pPr>
        <w:jc w:val="both"/>
      </w:pPr>
      <w:r w:rsidRPr="007D2485">
        <w:t xml:space="preserve">The problems identified above in dedicated mode result into the following problems: </w:t>
      </w:r>
    </w:p>
    <w:p w:rsidR="007D2485" w:rsidRPr="007D2485" w:rsidRDefault="007D2485" w:rsidP="00D13945">
      <w:pPr>
        <w:jc w:val="both"/>
      </w:pPr>
    </w:p>
    <w:p w:rsidR="00132C83" w:rsidRPr="0088333C" w:rsidDel="0071595D" w:rsidRDefault="00132C83" w:rsidP="00D13945">
      <w:pPr>
        <w:widowControl w:val="0"/>
        <w:autoSpaceDE w:val="0"/>
        <w:autoSpaceDN w:val="0"/>
        <w:adjustRightInd w:val="0"/>
        <w:ind w:left="1920"/>
        <w:jc w:val="both"/>
      </w:pPr>
      <w:r w:rsidRPr="0088333C" w:rsidDel="0071595D">
        <w:rPr>
          <w:b/>
          <w:bCs/>
        </w:rPr>
        <w:lastRenderedPageBreak/>
        <w:t>Problem 1</w:t>
      </w:r>
      <w:r w:rsidRPr="0088333C" w:rsidDel="0071595D">
        <w:t xml:space="preserve"> = A CSG cell is erroneously determined as allowed and may thus be reported. The access check should not have passed.</w:t>
      </w:r>
    </w:p>
    <w:p w:rsidR="00132C83" w:rsidRDefault="00132C83" w:rsidP="00D13945">
      <w:pPr>
        <w:ind w:left="1920"/>
        <w:jc w:val="both"/>
        <w:rPr>
          <w:b/>
          <w:bCs/>
        </w:rPr>
      </w:pPr>
    </w:p>
    <w:p w:rsidR="00132C83" w:rsidRPr="0088333C" w:rsidDel="0071595D" w:rsidRDefault="00132C83" w:rsidP="00D13945">
      <w:pPr>
        <w:ind w:left="1920"/>
        <w:jc w:val="both"/>
      </w:pPr>
      <w:r w:rsidRPr="0088333C" w:rsidDel="0071595D">
        <w:rPr>
          <w:b/>
          <w:bCs/>
        </w:rPr>
        <w:t xml:space="preserve">Problem 2 </w:t>
      </w:r>
      <w:r w:rsidRPr="0088333C" w:rsidDel="0071595D">
        <w:t>= A CSG cell is erroneously not determined as allowed hence cannot be reported. The check should have passed.</w:t>
      </w:r>
    </w:p>
    <w:p w:rsidR="00132C83" w:rsidRDefault="00132C83" w:rsidP="00D13945">
      <w:pPr>
        <w:ind w:left="1920"/>
        <w:jc w:val="both"/>
        <w:rPr>
          <w:b/>
          <w:bCs/>
        </w:rPr>
      </w:pPr>
    </w:p>
    <w:p w:rsidR="00132C83" w:rsidRPr="007D2485" w:rsidRDefault="00132C83" w:rsidP="00D13945">
      <w:pPr>
        <w:jc w:val="both"/>
      </w:pPr>
      <w:r w:rsidRPr="007D2485">
        <w:t>These two problems are described by means of the example in the Annex §</w:t>
      </w:r>
      <w:r w:rsidR="002537CB">
        <w:t>A</w:t>
      </w:r>
      <w:r w:rsidRPr="007D2485">
        <w:t xml:space="preserve">.1. </w:t>
      </w:r>
    </w:p>
    <w:p w:rsidR="00132C83" w:rsidRPr="0088333C" w:rsidRDefault="00132C83" w:rsidP="00D13945">
      <w:pPr>
        <w:ind w:firstLine="360"/>
        <w:jc w:val="both"/>
      </w:pPr>
    </w:p>
    <w:p w:rsidR="00132C83" w:rsidRPr="0088333C" w:rsidRDefault="007D2485" w:rsidP="00D13945">
      <w:pPr>
        <w:pStyle w:val="Heading1"/>
        <w:spacing w:before="240"/>
        <w:ind w:left="0" w:right="0" w:firstLine="0"/>
        <w:jc w:val="both"/>
        <w:rPr>
          <w:lang w:val="en-US"/>
        </w:rPr>
      </w:pPr>
      <w:r>
        <w:rPr>
          <w:lang w:val="en-US"/>
        </w:rPr>
        <w:t xml:space="preserve">4. </w:t>
      </w:r>
      <w:r w:rsidR="00132C83" w:rsidRPr="0088333C">
        <w:rPr>
          <w:lang w:val="en-US"/>
        </w:rPr>
        <w:t xml:space="preserve">Successful CSG access check </w:t>
      </w:r>
      <w:r w:rsidR="00132C83">
        <w:rPr>
          <w:lang w:val="en-US"/>
        </w:rPr>
        <w:t>in Dedicated Mode</w:t>
      </w:r>
    </w:p>
    <w:p w:rsidR="00132C83" w:rsidRDefault="00B74B14" w:rsidP="00D13945">
      <w:pPr>
        <w:jc w:val="both"/>
      </w:pPr>
      <w:r>
        <w:t>In order to enable the UE</w:t>
      </w:r>
      <w:r w:rsidR="00132C83">
        <w:t xml:space="preserve"> to report an allowed CSG cell the proposal is to perform a</w:t>
      </w:r>
      <w:r w:rsidR="00132C83" w:rsidRPr="0088333C">
        <w:t xml:space="preserve"> detection </w:t>
      </w:r>
      <w:r w:rsidR="00132C83">
        <w:t xml:space="preserve">such </w:t>
      </w:r>
      <w:r w:rsidR="00132C83" w:rsidRPr="0088333C">
        <w:t xml:space="preserve">that the </w:t>
      </w:r>
      <w:r w:rsidR="00132C83">
        <w:t>UE</w:t>
      </w:r>
      <w:r w:rsidR="00132C83" w:rsidRPr="0088333C">
        <w:t xml:space="preserve">’s registered PLMN and EPLMN list used in the old cell are made invalid by the PLMN and associated EPLMN list in the new cell. </w:t>
      </w:r>
    </w:p>
    <w:p w:rsidR="007D2485" w:rsidRPr="0088333C" w:rsidRDefault="007D2485" w:rsidP="00D13945">
      <w:pPr>
        <w:jc w:val="both"/>
      </w:pPr>
    </w:p>
    <w:p w:rsidR="00132C83" w:rsidRPr="0088333C" w:rsidRDefault="00132C83" w:rsidP="00D13945">
      <w:pPr>
        <w:jc w:val="both"/>
      </w:pPr>
      <w:r w:rsidRPr="0088333C">
        <w:t>This detection could be made:</w:t>
      </w:r>
    </w:p>
    <w:p w:rsidR="007D2485" w:rsidRDefault="007D2485" w:rsidP="00D13945">
      <w:pPr>
        <w:jc w:val="both"/>
        <w:rPr>
          <w:b/>
          <w:i/>
        </w:rPr>
      </w:pPr>
    </w:p>
    <w:p w:rsidR="007D2485" w:rsidRDefault="00132C83" w:rsidP="00D13945">
      <w:pPr>
        <w:ind w:left="720"/>
        <w:jc w:val="both"/>
      </w:pPr>
      <w:r w:rsidRPr="001F12CD">
        <w:rPr>
          <w:b/>
          <w:i/>
        </w:rPr>
        <w:t xml:space="preserve">a1) </w:t>
      </w:r>
      <w:r w:rsidRPr="0088333C">
        <w:t xml:space="preserve">by the network during the handover preparation </w:t>
      </w:r>
      <w:r>
        <w:t>(</w:t>
      </w:r>
      <w:proofErr w:type="spellStart"/>
      <w:r>
        <w:t>e.g</w:t>
      </w:r>
      <w:proofErr w:type="spellEnd"/>
      <w:r>
        <w:t xml:space="preserve"> as in </w:t>
      </w:r>
      <w:r w:rsidR="002537CB">
        <w:t xml:space="preserve">Annex </w:t>
      </w:r>
      <w:r>
        <w:t>§</w:t>
      </w:r>
      <w:r w:rsidR="002537CB">
        <w:t>A.2</w:t>
      </w:r>
      <w:r>
        <w:t>)</w:t>
      </w:r>
      <w:r w:rsidRPr="00143620">
        <w:t xml:space="preserve"> </w:t>
      </w:r>
    </w:p>
    <w:p w:rsidR="007D2485" w:rsidRDefault="007D2485" w:rsidP="00D13945">
      <w:pPr>
        <w:ind w:left="720"/>
        <w:jc w:val="both"/>
      </w:pPr>
    </w:p>
    <w:p w:rsidR="00132C83" w:rsidRDefault="00132C83" w:rsidP="00D13945">
      <w:pPr>
        <w:ind w:left="720"/>
        <w:jc w:val="both"/>
        <w:rPr>
          <w:i/>
        </w:rPr>
      </w:pPr>
      <w:r w:rsidRPr="0088333C">
        <w:t xml:space="preserve">and/or </w:t>
      </w:r>
    </w:p>
    <w:p w:rsidR="007D2485" w:rsidRDefault="007D2485" w:rsidP="00D13945">
      <w:pPr>
        <w:ind w:left="720"/>
        <w:jc w:val="both"/>
        <w:rPr>
          <w:b/>
          <w:i/>
        </w:rPr>
      </w:pPr>
    </w:p>
    <w:p w:rsidR="00132C83" w:rsidRDefault="00132C83" w:rsidP="00D13945">
      <w:pPr>
        <w:ind w:left="720"/>
        <w:jc w:val="both"/>
      </w:pPr>
      <w:proofErr w:type="gramStart"/>
      <w:r w:rsidRPr="001F12CD">
        <w:rPr>
          <w:b/>
          <w:i/>
        </w:rPr>
        <w:t>a2)</w:t>
      </w:r>
      <w:r w:rsidRPr="0088333C">
        <w:t xml:space="preserve"> by the </w:t>
      </w:r>
      <w:r>
        <w:t>UE</w:t>
      </w:r>
      <w:r w:rsidRPr="0088333C">
        <w:t xml:space="preserve"> during the handover execution or after the successful completion of the handover.</w:t>
      </w:r>
      <w:proofErr w:type="gramEnd"/>
      <w:r>
        <w:t xml:space="preserve"> </w:t>
      </w:r>
    </w:p>
    <w:p w:rsidR="007D2485" w:rsidRDefault="007D2485" w:rsidP="00D13945">
      <w:pPr>
        <w:jc w:val="both"/>
      </w:pPr>
    </w:p>
    <w:p w:rsidR="00132C83" w:rsidRPr="00143620" w:rsidRDefault="00132C83" w:rsidP="00D13945">
      <w:pPr>
        <w:jc w:val="both"/>
      </w:pPr>
      <w:r>
        <w:t xml:space="preserve">There are several solutions possible as listed below. </w:t>
      </w:r>
    </w:p>
    <w:p w:rsidR="007D2485" w:rsidRDefault="007D2485" w:rsidP="00D13945">
      <w:pPr>
        <w:jc w:val="both"/>
        <w:rPr>
          <w:b/>
        </w:rPr>
      </w:pPr>
    </w:p>
    <w:p w:rsidR="00132C83" w:rsidRPr="007D2485" w:rsidRDefault="00132C83" w:rsidP="00D13945">
      <w:pPr>
        <w:jc w:val="both"/>
        <w:rPr>
          <w:u w:val="single"/>
        </w:rPr>
      </w:pPr>
      <w:r w:rsidRPr="007D2485">
        <w:rPr>
          <w:b/>
          <w:u w:val="single"/>
        </w:rPr>
        <w:t>Solution 1)</w:t>
      </w:r>
      <w:r w:rsidRPr="007D2485">
        <w:rPr>
          <w:u w:val="single"/>
        </w:rPr>
        <w:t xml:space="preserve"> – No CSG Cells Reporting until registration update </w:t>
      </w:r>
    </w:p>
    <w:p w:rsidR="00132C83" w:rsidRPr="0088333C" w:rsidRDefault="00132C83" w:rsidP="00D13945">
      <w:pPr>
        <w:jc w:val="both"/>
      </w:pPr>
      <w:r>
        <w:t>The network b</w:t>
      </w:r>
      <w:r w:rsidRPr="0088333C">
        <w:t xml:space="preserve">ased on </w:t>
      </w:r>
      <w:r w:rsidRPr="0088333C">
        <w:rPr>
          <w:i/>
        </w:rPr>
        <w:t>a1</w:t>
      </w:r>
      <w:proofErr w:type="gramStart"/>
      <w:r w:rsidRPr="0088333C">
        <w:rPr>
          <w:i/>
        </w:rPr>
        <w:t>)</w:t>
      </w:r>
      <w:r w:rsidRPr="0088333C">
        <w:t xml:space="preserve">  </w:t>
      </w:r>
      <w:r>
        <w:t>i</w:t>
      </w:r>
      <w:r w:rsidRPr="0088333C">
        <w:t>ndicates</w:t>
      </w:r>
      <w:proofErr w:type="gramEnd"/>
      <w:r w:rsidRPr="0088333C">
        <w:t xml:space="preserve"> the result of the detection in the handover signalling</w:t>
      </w:r>
      <w:r>
        <w:t xml:space="preserve"> to the UE</w:t>
      </w:r>
      <w:r w:rsidRPr="0088333C">
        <w:t xml:space="preserve"> (e.g. in the RR HANDOVER COMMAND message). Such notification can be used to order the </w:t>
      </w:r>
      <w:r>
        <w:t xml:space="preserve">UE </w:t>
      </w:r>
      <w:r w:rsidRPr="0088333C">
        <w:t xml:space="preserve">not to report any CSG cells in dedicated mode after successful completion of the handover at least as long as no successful registration update is made in the </w:t>
      </w:r>
      <w:r>
        <w:t>UE</w:t>
      </w:r>
      <w:r w:rsidRPr="0088333C">
        <w:t xml:space="preserve"> in the new cell. This requires the introduction of a new indicator in the handover </w:t>
      </w:r>
      <w:proofErr w:type="spellStart"/>
      <w:r w:rsidRPr="0088333C">
        <w:t>signaling</w:t>
      </w:r>
      <w:proofErr w:type="spellEnd"/>
      <w:r w:rsidRPr="0088333C">
        <w:t>: PLMN/</w:t>
      </w:r>
      <w:proofErr w:type="spellStart"/>
      <w:r w:rsidRPr="0088333C">
        <w:t>EPLMNList</w:t>
      </w:r>
      <w:proofErr w:type="spellEnd"/>
      <w:r w:rsidRPr="0088333C">
        <w:t xml:space="preserve"> Change Indicator (set by the network).</w:t>
      </w:r>
    </w:p>
    <w:p w:rsidR="00132C83" w:rsidRPr="0088333C" w:rsidRDefault="00132C83" w:rsidP="00D13945">
      <w:pPr>
        <w:jc w:val="both"/>
      </w:pPr>
    </w:p>
    <w:p w:rsidR="00132C83" w:rsidRDefault="00132C83" w:rsidP="00D13945">
      <w:pPr>
        <w:jc w:val="both"/>
      </w:pPr>
      <w:r>
        <w:t>S</w:t>
      </w:r>
      <w:r w:rsidRPr="0088333C">
        <w:t xml:space="preserve">olution 1) addresses the </w:t>
      </w:r>
      <w:r w:rsidR="002537CB" w:rsidRPr="002537CB">
        <w:rPr>
          <w:b/>
          <w:u w:val="single"/>
        </w:rPr>
        <w:t>P</w:t>
      </w:r>
      <w:r w:rsidRPr="002537CB">
        <w:rPr>
          <w:b/>
          <w:u w:val="single"/>
        </w:rPr>
        <w:t>roble</w:t>
      </w:r>
      <w:r w:rsidRPr="00E7525B">
        <w:rPr>
          <w:b/>
          <w:u w:val="single"/>
        </w:rPr>
        <w:t>m 1</w:t>
      </w:r>
      <w:r w:rsidRPr="00E7525B">
        <w:rPr>
          <w:u w:val="single"/>
        </w:rPr>
        <w:t xml:space="preserve"> </w:t>
      </w:r>
      <w:r w:rsidRPr="0088333C">
        <w:t>only</w:t>
      </w:r>
      <w:r>
        <w:t xml:space="preserve"> as the UE in this case will not report the allowed CSG cells either. </w:t>
      </w:r>
    </w:p>
    <w:p w:rsidR="007D2485" w:rsidRDefault="007D2485" w:rsidP="00D13945">
      <w:pPr>
        <w:jc w:val="both"/>
        <w:rPr>
          <w:b/>
        </w:rPr>
      </w:pPr>
    </w:p>
    <w:p w:rsidR="00132C83" w:rsidRPr="007D2485" w:rsidRDefault="00132C83" w:rsidP="00D13945">
      <w:pPr>
        <w:jc w:val="both"/>
        <w:rPr>
          <w:u w:val="single"/>
        </w:rPr>
      </w:pPr>
      <w:r w:rsidRPr="007D2485">
        <w:rPr>
          <w:b/>
          <w:u w:val="single"/>
        </w:rPr>
        <w:t>Solution 2)</w:t>
      </w:r>
      <w:r w:rsidRPr="007D2485">
        <w:rPr>
          <w:u w:val="single"/>
        </w:rPr>
        <w:t xml:space="preserve"> – CSG Cells Reporting with corrected access check in the network until registration update</w:t>
      </w:r>
    </w:p>
    <w:p w:rsidR="00132C83" w:rsidRDefault="00132C83" w:rsidP="00D13945">
      <w:pPr>
        <w:jc w:val="both"/>
      </w:pPr>
      <w:r>
        <w:t>The UE continues reporting CSG cells irrespective of the {PLMN, EPLMN list} change. Based on a1) it is proposed the network performs the access check with the correct {PLMN, EPLMN list} in the new cell for each CSG cell reported by the UE in the new cell in dedicated mode after successful completion of the handover at least as long as no successful registration update is made in the UE in the new cell, to correctly determine whether the CSG cell is allowed or not.</w:t>
      </w:r>
    </w:p>
    <w:p w:rsidR="00132C83" w:rsidRDefault="00132C83" w:rsidP="00D13945">
      <w:pPr>
        <w:jc w:val="both"/>
        <w:rPr>
          <w:rFonts w:eastAsia="SimSun"/>
        </w:rPr>
      </w:pPr>
      <w:r>
        <w:t>Note however that the core network already has the possibility to make this access check. T</w:t>
      </w:r>
      <w:r w:rsidRPr="00AA28FA">
        <w:t>he solution provided in the TS 23.401 Rel-10</w:t>
      </w:r>
      <w:r>
        <w:rPr>
          <w:rFonts w:eastAsia="SimSun"/>
        </w:rPr>
        <w:t>i</w:t>
      </w:r>
      <w:r w:rsidRPr="00315203">
        <w:rPr>
          <w:rFonts w:eastAsia="SimSun"/>
        </w:rPr>
        <w:t xml:space="preserve">s not applicable to the MSC/dedicated mode. Once applicable can be used for the CSG membership checking </w:t>
      </w:r>
      <w:r>
        <w:rPr>
          <w:rFonts w:eastAsia="SimSun"/>
        </w:rPr>
        <w:t>but</w:t>
      </w:r>
      <w:r w:rsidRPr="00315203">
        <w:rPr>
          <w:rFonts w:eastAsia="SimSun"/>
        </w:rPr>
        <w:t xml:space="preserve"> this will go at the cost of the potentially reporting not allowed CSG cell and consequently waste of radio resources in GERAN. </w:t>
      </w:r>
      <w:r>
        <w:rPr>
          <w:rFonts w:eastAsia="SimSun"/>
        </w:rPr>
        <w:t xml:space="preserve">In addition this will not solve the </w:t>
      </w:r>
      <w:r w:rsidR="002537CB" w:rsidRPr="002537CB">
        <w:rPr>
          <w:rFonts w:eastAsia="SimSun"/>
          <w:b/>
          <w:u w:val="single"/>
        </w:rPr>
        <w:t>P</w:t>
      </w:r>
      <w:r w:rsidRPr="002537CB">
        <w:rPr>
          <w:rFonts w:eastAsia="SimSun"/>
          <w:b/>
          <w:u w:val="single"/>
        </w:rPr>
        <w:t>roblem 2</w:t>
      </w:r>
      <w:r>
        <w:rPr>
          <w:rFonts w:eastAsia="SimSun"/>
        </w:rPr>
        <w:t xml:space="preserve"> and it will not solve entirely </w:t>
      </w:r>
      <w:r w:rsidR="002537CB" w:rsidRPr="002537CB">
        <w:rPr>
          <w:rFonts w:eastAsia="SimSun"/>
          <w:b/>
          <w:u w:val="single"/>
        </w:rPr>
        <w:t>P</w:t>
      </w:r>
      <w:r w:rsidRPr="002537CB">
        <w:rPr>
          <w:rFonts w:eastAsia="SimSun"/>
          <w:b/>
          <w:u w:val="single"/>
        </w:rPr>
        <w:t>roblem 1</w:t>
      </w:r>
      <w:r>
        <w:rPr>
          <w:rFonts w:eastAsia="SimSun"/>
          <w:u w:val="single"/>
        </w:rPr>
        <w:t>.</w:t>
      </w:r>
    </w:p>
    <w:p w:rsidR="00132C83" w:rsidRDefault="00132C83" w:rsidP="00D13945">
      <w:pPr>
        <w:jc w:val="both"/>
      </w:pPr>
    </w:p>
    <w:p w:rsidR="00132C83" w:rsidRPr="007D2485" w:rsidRDefault="00132C83" w:rsidP="00D13945">
      <w:pPr>
        <w:jc w:val="both"/>
        <w:rPr>
          <w:u w:val="single"/>
        </w:rPr>
      </w:pPr>
      <w:r w:rsidRPr="007D2485">
        <w:rPr>
          <w:b/>
          <w:u w:val="single"/>
        </w:rPr>
        <w:t>Solution 3)</w:t>
      </w:r>
      <w:r w:rsidRPr="007D2485">
        <w:rPr>
          <w:u w:val="single"/>
        </w:rPr>
        <w:t xml:space="preserve"> – Unsolicited Registration Update in dedicated mode</w:t>
      </w:r>
    </w:p>
    <w:p w:rsidR="00132C83" w:rsidRPr="0088333C" w:rsidRDefault="00132C83" w:rsidP="00D13945">
      <w:pPr>
        <w:jc w:val="both"/>
      </w:pPr>
      <w:r>
        <w:t>T</w:t>
      </w:r>
      <w:r w:rsidRPr="0088333C">
        <w:t xml:space="preserve">he network triggers an unsolicited (i.e. not requested by the </w:t>
      </w:r>
      <w:r>
        <w:t>UE</w:t>
      </w:r>
      <w:r w:rsidRPr="0088333C">
        <w:t xml:space="preserve">), based on </w:t>
      </w:r>
      <w:r w:rsidRPr="0088333C">
        <w:rPr>
          <w:i/>
        </w:rPr>
        <w:t xml:space="preserve">a1) </w:t>
      </w:r>
      <w:r>
        <w:t>UE</w:t>
      </w:r>
      <w:r w:rsidR="00B74B14">
        <w:t xml:space="preserve"> </w:t>
      </w:r>
      <w:r w:rsidRPr="0088333C">
        <w:t xml:space="preserve">registration update in the </w:t>
      </w:r>
      <w:r>
        <w:t>UE</w:t>
      </w:r>
      <w:r w:rsidRPr="0088333C">
        <w:t xml:space="preserve"> in dedicated mode after successful completion of the handover to the new cell, by sending a NAS or RR message including the PLMN ID of the PLMN serving the </w:t>
      </w:r>
      <w:r>
        <w:t>UE</w:t>
      </w:r>
      <w:r w:rsidRPr="0088333C">
        <w:t xml:space="preserve"> in the new cell and the associated EPLMN list for use by the </w:t>
      </w:r>
      <w:r>
        <w:t>UE</w:t>
      </w:r>
      <w:r w:rsidRPr="0088333C">
        <w:t xml:space="preserve"> in the new cell so the </w:t>
      </w:r>
      <w:r>
        <w:t>UE</w:t>
      </w:r>
      <w:r w:rsidRPr="0088333C">
        <w:t xml:space="preserve"> can update its registered PLMN and EPLMN list accordingly. The EPLMN list being normally conveyed by NAS, it is preferred that NAS </w:t>
      </w:r>
      <w:proofErr w:type="spellStart"/>
      <w:r w:rsidRPr="0088333C">
        <w:t>signaling</w:t>
      </w:r>
      <w:proofErr w:type="spellEnd"/>
      <w:r w:rsidRPr="0088333C">
        <w:t xml:space="preserve"> be used here as well e.g. LOCATION UPDATING ACCEPT message.</w:t>
      </w:r>
      <w:r w:rsidRPr="0071595D">
        <w:t xml:space="preserve"> </w:t>
      </w:r>
      <w:r w:rsidRPr="0088333C">
        <w:t>This requires that the MS indicate to the network its support for receiving the unsolicited message in dedicated mode.</w:t>
      </w:r>
    </w:p>
    <w:p w:rsidR="00132C83" w:rsidRPr="0088333C" w:rsidRDefault="00132C83" w:rsidP="00D13945">
      <w:pPr>
        <w:jc w:val="both"/>
      </w:pPr>
      <w:r>
        <w:t>S</w:t>
      </w:r>
      <w:r w:rsidR="002537CB">
        <w:t xml:space="preserve">olution 3) addresses the </w:t>
      </w:r>
      <w:r w:rsidR="002537CB" w:rsidRPr="00D6495D">
        <w:rPr>
          <w:b/>
          <w:u w:val="single"/>
        </w:rPr>
        <w:t>P</w:t>
      </w:r>
      <w:r w:rsidRPr="00D6495D">
        <w:rPr>
          <w:b/>
          <w:u w:val="single"/>
        </w:rPr>
        <w:t>roblem 2</w:t>
      </w:r>
      <w:r w:rsidRPr="00D6495D">
        <w:t xml:space="preserve"> only</w:t>
      </w:r>
      <w:r w:rsidRPr="0088333C">
        <w:t xml:space="preserve">. Handling of CSG cells before the registration update is </w:t>
      </w:r>
      <w:r>
        <w:t xml:space="preserve">completed </w:t>
      </w:r>
      <w:r w:rsidRPr="0088333C">
        <w:t>need to be addressed (see complete solutions below</w:t>
      </w:r>
      <w:r w:rsidR="002537CB">
        <w:t xml:space="preserve"> §4.1</w:t>
      </w:r>
      <w:r w:rsidRPr="0088333C">
        <w:t>)</w:t>
      </w:r>
    </w:p>
    <w:p w:rsidR="007D2485" w:rsidRDefault="007D2485" w:rsidP="00D13945">
      <w:pPr>
        <w:jc w:val="both"/>
        <w:rPr>
          <w:b/>
        </w:rPr>
      </w:pPr>
    </w:p>
    <w:p w:rsidR="00132C83" w:rsidRPr="007D2485" w:rsidRDefault="00132C83" w:rsidP="00D13945">
      <w:pPr>
        <w:jc w:val="both"/>
        <w:rPr>
          <w:u w:val="single"/>
        </w:rPr>
      </w:pPr>
      <w:r w:rsidRPr="007D2485">
        <w:rPr>
          <w:b/>
          <w:u w:val="single"/>
        </w:rPr>
        <w:t>Solution 4)</w:t>
      </w:r>
      <w:r w:rsidRPr="007D2485">
        <w:rPr>
          <w:u w:val="single"/>
        </w:rPr>
        <w:t xml:space="preserve"> – Solicited Registration Update in dedicated mode</w:t>
      </w:r>
    </w:p>
    <w:p w:rsidR="00132C83" w:rsidRPr="0088333C" w:rsidRDefault="00132C83" w:rsidP="00D13945">
      <w:pPr>
        <w:jc w:val="both"/>
      </w:pPr>
      <w:r>
        <w:t>Based on the sol</w:t>
      </w:r>
      <w:r w:rsidR="00924773">
        <w:t>ution assumed in GERAN (see §4</w:t>
      </w:r>
      <w:r>
        <w:t>.2) and t</w:t>
      </w:r>
      <w:r w:rsidRPr="0088333C">
        <w:t xml:space="preserve">hereafter based on </w:t>
      </w:r>
      <w:r w:rsidRPr="0088333C">
        <w:rPr>
          <w:i/>
        </w:rPr>
        <w:t xml:space="preserve">a2) </w:t>
      </w:r>
      <w:r w:rsidRPr="0088333C">
        <w:t xml:space="preserve">the </w:t>
      </w:r>
      <w:r>
        <w:t>UE</w:t>
      </w:r>
      <w:r w:rsidRPr="0088333C">
        <w:t xml:space="preserve"> in dedicated mode requests a registration update from the network through NAS </w:t>
      </w:r>
      <w:proofErr w:type="spellStart"/>
      <w:r w:rsidRPr="0088333C">
        <w:t>signaling</w:t>
      </w:r>
      <w:proofErr w:type="spellEnd"/>
      <w:r w:rsidRPr="0088333C">
        <w:t xml:space="preserve"> (e.g. LOCATION UPDATING REQUEST), upon which the network triggers a (solicited) registration update by NAS (e.g. LOCATION UPDATING ACCEPT) to the </w:t>
      </w:r>
      <w:r>
        <w:t>UE</w:t>
      </w:r>
      <w:r w:rsidRPr="0088333C">
        <w:t xml:space="preserve"> indicate the PLMN and EPLMN list in the new cell so the </w:t>
      </w:r>
      <w:r>
        <w:t>UE</w:t>
      </w:r>
      <w:r w:rsidRPr="0088333C">
        <w:t xml:space="preserve"> can update its registered PLMN and EPLMN list accordingly.</w:t>
      </w:r>
    </w:p>
    <w:p w:rsidR="00132C83" w:rsidRPr="0088333C" w:rsidRDefault="00132C83" w:rsidP="00D13945">
      <w:pPr>
        <w:jc w:val="both"/>
      </w:pPr>
      <w:r>
        <w:t>S</w:t>
      </w:r>
      <w:r w:rsidRPr="0088333C">
        <w:t xml:space="preserve">olution 4) addresses the </w:t>
      </w:r>
      <w:r w:rsidR="00924773" w:rsidRPr="00924773">
        <w:rPr>
          <w:b/>
          <w:u w:val="single"/>
        </w:rPr>
        <w:t>P</w:t>
      </w:r>
      <w:r w:rsidRPr="00924773">
        <w:rPr>
          <w:b/>
          <w:u w:val="single"/>
        </w:rPr>
        <w:t>roblem 2</w:t>
      </w:r>
      <w:r w:rsidRPr="0088333C">
        <w:t xml:space="preserve"> only. The handling of CSG cells before the registration update is </w:t>
      </w:r>
      <w:r>
        <w:t>completed</w:t>
      </w:r>
      <w:r w:rsidRPr="0088333C">
        <w:t xml:space="preserve"> need to be addressed (see complete solutions below).</w:t>
      </w:r>
    </w:p>
    <w:p w:rsidR="00132C83" w:rsidRDefault="00132C83" w:rsidP="00D13945">
      <w:pPr>
        <w:jc w:val="both"/>
      </w:pPr>
      <w:r w:rsidRPr="001F12CD">
        <w:t>Solution</w:t>
      </w:r>
      <w:r w:rsidRPr="0088333C">
        <w:t xml:space="preserve"> 4) requires that the network indicate to the </w:t>
      </w:r>
      <w:r>
        <w:t>UE</w:t>
      </w:r>
      <w:r w:rsidRPr="0088333C">
        <w:t xml:space="preserve"> that a request for registration update is allowed to be sent by the MS in dedicated mode.</w:t>
      </w:r>
    </w:p>
    <w:p w:rsidR="007D2485" w:rsidRPr="0088333C" w:rsidRDefault="007D2485" w:rsidP="007D2485"/>
    <w:p w:rsidR="00132C83" w:rsidRPr="007D2485" w:rsidRDefault="00212181" w:rsidP="007D2485">
      <w:pPr>
        <w:pStyle w:val="Heading2"/>
        <w:rPr>
          <w:rStyle w:val="FootnoteReference"/>
          <w:vertAlign w:val="baseline"/>
        </w:rPr>
      </w:pPr>
      <w:r>
        <w:rPr>
          <w:rStyle w:val="FootnoteReference"/>
          <w:vertAlign w:val="baseline"/>
        </w:rPr>
        <w:t xml:space="preserve">4.1 </w:t>
      </w:r>
      <w:r w:rsidR="00132C83" w:rsidRPr="007D2485">
        <w:rPr>
          <w:rStyle w:val="FootnoteReference"/>
          <w:vertAlign w:val="baseline"/>
        </w:rPr>
        <w:t>Complete Solutions</w:t>
      </w:r>
      <w:r w:rsidR="00132C83" w:rsidRPr="007D2485">
        <w:t xml:space="preserve"> </w:t>
      </w:r>
      <w:proofErr w:type="gramStart"/>
      <w:r w:rsidR="00132C83" w:rsidRPr="007D2485">
        <w:t>in</w:t>
      </w:r>
      <w:proofErr w:type="gramEnd"/>
      <w:r w:rsidR="00132C83" w:rsidRPr="007D2485">
        <w:t xml:space="preserve"> Dedicated Mode</w:t>
      </w:r>
    </w:p>
    <w:p w:rsidR="00F24E2F" w:rsidRDefault="00F24E2F" w:rsidP="00F24E2F"/>
    <w:p w:rsidR="00132C83" w:rsidRDefault="00132C83" w:rsidP="00F24E2F">
      <w:r w:rsidRPr="00F24E2F">
        <w:t xml:space="preserve">Based on the above it is possible to derive complete solutions to address both </w:t>
      </w:r>
      <w:r w:rsidRPr="00924773">
        <w:rPr>
          <w:b/>
          <w:u w:val="single"/>
        </w:rPr>
        <w:t>problems 1 and 2</w:t>
      </w:r>
      <w:r w:rsidRPr="00F24E2F">
        <w:t xml:space="preserve"> to a varying degree.</w:t>
      </w:r>
    </w:p>
    <w:p w:rsidR="00924773" w:rsidRPr="00F24E2F" w:rsidRDefault="00924773" w:rsidP="00F24E2F"/>
    <w:p w:rsidR="00132C83" w:rsidRDefault="00132C83" w:rsidP="00132C83">
      <w:pPr>
        <w:widowControl w:val="0"/>
        <w:numPr>
          <w:ilvl w:val="0"/>
          <w:numId w:val="5"/>
        </w:numPr>
        <w:autoSpaceDE w:val="0"/>
        <w:autoSpaceDN w:val="0"/>
        <w:adjustRightInd w:val="0"/>
      </w:pPr>
      <w:r w:rsidRPr="0088333C">
        <w:t xml:space="preserve"> solution 1 and  solution 3 combined</w:t>
      </w:r>
    </w:p>
    <w:p w:rsidR="00132C83" w:rsidRDefault="00132C83" w:rsidP="00132C83">
      <w:pPr>
        <w:widowControl w:val="0"/>
        <w:numPr>
          <w:ilvl w:val="0"/>
          <w:numId w:val="5"/>
        </w:numPr>
        <w:autoSpaceDE w:val="0"/>
        <w:autoSpaceDN w:val="0"/>
        <w:adjustRightInd w:val="0"/>
      </w:pPr>
      <w:r>
        <w:t xml:space="preserve"> solution 2 and  solution 3 combined (not fully addressing problem 1)</w:t>
      </w:r>
    </w:p>
    <w:p w:rsidR="00132C83" w:rsidRDefault="00132C83" w:rsidP="00132C83">
      <w:pPr>
        <w:widowControl w:val="0"/>
        <w:numPr>
          <w:ilvl w:val="0"/>
          <w:numId w:val="5"/>
        </w:numPr>
        <w:autoSpaceDE w:val="0"/>
        <w:autoSpaceDN w:val="0"/>
        <w:adjustRightInd w:val="0"/>
      </w:pPr>
      <w:r>
        <w:t xml:space="preserve"> solution 1 and  solution 4 combined</w:t>
      </w:r>
    </w:p>
    <w:p w:rsidR="00132C83" w:rsidRDefault="00132C83" w:rsidP="00132C83">
      <w:pPr>
        <w:widowControl w:val="0"/>
        <w:numPr>
          <w:ilvl w:val="0"/>
          <w:numId w:val="5"/>
        </w:numPr>
        <w:autoSpaceDE w:val="0"/>
        <w:autoSpaceDN w:val="0"/>
        <w:adjustRightInd w:val="0"/>
      </w:pPr>
      <w:r>
        <w:t xml:space="preserve"> solution 2 and  solution 4 combined (not fully addressing problem 1)</w:t>
      </w:r>
    </w:p>
    <w:p w:rsidR="00924773" w:rsidRDefault="00924773" w:rsidP="00924773">
      <w:pPr>
        <w:widowControl w:val="0"/>
        <w:autoSpaceDE w:val="0"/>
        <w:autoSpaceDN w:val="0"/>
        <w:adjustRightInd w:val="0"/>
        <w:ind w:left="1658"/>
      </w:pPr>
    </w:p>
    <w:p w:rsidR="00132C83" w:rsidRPr="00F24E2F" w:rsidRDefault="00132C83" w:rsidP="00F24E2F">
      <w:r w:rsidRPr="00F24E2F">
        <w:t xml:space="preserve">It must be noted that these solutions can be used also in other handover cases for example in UTRAN and E-UTRAN where the PLMN/EPLMN list is expected to change but where no location area, routing area or tracking area is to be performed after handover.   </w:t>
      </w:r>
    </w:p>
    <w:p w:rsidR="00132C83" w:rsidRDefault="00132C83" w:rsidP="00132C83">
      <w:pPr>
        <w:pStyle w:val="11BodyText"/>
      </w:pPr>
    </w:p>
    <w:p w:rsidR="00132C83" w:rsidRDefault="00F24E2F" w:rsidP="00132C83">
      <w:pPr>
        <w:pStyle w:val="Heading2"/>
        <w:numPr>
          <w:ilvl w:val="1"/>
          <w:numId w:val="0"/>
        </w:numPr>
        <w:spacing w:before="120" w:after="220"/>
        <w:ind w:right="0"/>
      </w:pPr>
      <w:r>
        <w:t xml:space="preserve">4.2 </w:t>
      </w:r>
      <w:r w:rsidR="00132C83">
        <w:t xml:space="preserve">Solution in GERAN </w:t>
      </w:r>
    </w:p>
    <w:p w:rsidR="00132C83" w:rsidRPr="00F24E2F" w:rsidRDefault="00D6495D" w:rsidP="00924773">
      <w:pPr>
        <w:jc w:val="both"/>
      </w:pPr>
      <w:r>
        <w:t>As indicated in the LS [C1-</w:t>
      </w:r>
      <w:r w:rsidRPr="00D6495D">
        <w:rPr>
          <w:lang w:val="en-US"/>
        </w:rPr>
        <w:t>120035</w:t>
      </w:r>
      <w:r w:rsidR="00132C83" w:rsidRPr="00F24E2F">
        <w:t xml:space="preserve">] GERAN has acknowledged the problems and agreed to a working assumption where the SYSTEM INFORMATION TYPE 6 message which contains the LAI of the cell (LAI = PLMN ID with LAC) is extended to be used by the mobiles and the networks supporting CSG cells reporting in dedicated mode. Currently this message is restricted to the use of VGCS/VBS feature. The network in this case would not necessarily make </w:t>
      </w:r>
      <w:proofErr w:type="gramStart"/>
      <w:r w:rsidR="00132C83" w:rsidRPr="00F24E2F">
        <w:t>a detection</w:t>
      </w:r>
      <w:proofErr w:type="gramEnd"/>
      <w:r w:rsidR="00132C83" w:rsidRPr="00F24E2F">
        <w:t xml:space="preserve"> (a1) before sending the SI6 message. Based on the received PLMN ID in </w:t>
      </w:r>
      <w:proofErr w:type="gramStart"/>
      <w:r w:rsidR="00132C83" w:rsidRPr="00F24E2F">
        <w:t>SI6  the</w:t>
      </w:r>
      <w:proofErr w:type="gramEnd"/>
      <w:r w:rsidR="00132C83" w:rsidRPr="00F24E2F">
        <w:t xml:space="preserve"> UE could detect whether there is a change of the registered PLMN or not and thereafter  based on a2) the UE in dedicated mode would use the {PLMN}new cell instead of the {</w:t>
      </w:r>
      <w:proofErr w:type="spellStart"/>
      <w:r w:rsidR="00132C83" w:rsidRPr="00F24E2F">
        <w:t>rPLMN</w:t>
      </w:r>
      <w:proofErr w:type="spellEnd"/>
      <w:r w:rsidR="00132C83" w:rsidRPr="00F24E2F">
        <w:t>, EPLMN list}old cell to perform the access check in order to determine whether CSG cells are allowed or not.</w:t>
      </w:r>
    </w:p>
    <w:p w:rsidR="00132C83" w:rsidRPr="00F24E2F" w:rsidRDefault="00132C83" w:rsidP="00924773">
      <w:pPr>
        <w:jc w:val="both"/>
      </w:pPr>
      <w:r w:rsidRPr="00F24E2F">
        <w:t>In this case the EPLMN list</w:t>
      </w:r>
      <w:r w:rsidR="002032A1">
        <w:t xml:space="preserve"> of the </w:t>
      </w:r>
      <w:r w:rsidRPr="00F24E2F">
        <w:t xml:space="preserve">new cell is not provided and as such it is seen as a partial registration update. </w:t>
      </w:r>
    </w:p>
    <w:p w:rsidR="00132C83" w:rsidRPr="0088333C" w:rsidRDefault="00132C83" w:rsidP="00132C83">
      <w:pPr>
        <w:pStyle w:val="11BodyText"/>
      </w:pPr>
    </w:p>
    <w:p w:rsidR="00132C83" w:rsidRDefault="002877CB" w:rsidP="00132C83">
      <w:pPr>
        <w:pStyle w:val="Heading1"/>
        <w:spacing w:before="240"/>
        <w:ind w:left="0" w:right="0" w:firstLine="0"/>
        <w:rPr>
          <w:lang w:val="en-US"/>
        </w:rPr>
      </w:pPr>
      <w:r>
        <w:rPr>
          <w:lang w:val="en-US"/>
        </w:rPr>
        <w:t xml:space="preserve">5. </w:t>
      </w:r>
      <w:r w:rsidR="00132C83" w:rsidRPr="0088333C">
        <w:rPr>
          <w:lang w:val="en-US"/>
        </w:rPr>
        <w:t xml:space="preserve">Successful CSG access check </w:t>
      </w:r>
      <w:r w:rsidR="00132C83">
        <w:rPr>
          <w:lang w:val="en-US"/>
        </w:rPr>
        <w:t>in DTM Mode</w:t>
      </w:r>
    </w:p>
    <w:p w:rsidR="00132C83" w:rsidRDefault="00132C83" w:rsidP="00D13945">
      <w:pPr>
        <w:jc w:val="both"/>
        <w:rPr>
          <w:rFonts w:eastAsia="SimSun"/>
        </w:rPr>
      </w:pPr>
      <w:r>
        <w:rPr>
          <w:rFonts w:eastAsia="SimSun"/>
        </w:rPr>
        <w:t xml:space="preserve">Differently from the UE in dedicated mode, </w:t>
      </w:r>
      <w:r w:rsidRPr="00315203">
        <w:rPr>
          <w:rFonts w:eastAsia="SimSun"/>
        </w:rPr>
        <w:t>for a</w:t>
      </w:r>
      <w:r>
        <w:rPr>
          <w:rFonts w:eastAsia="SimSun"/>
        </w:rPr>
        <w:t xml:space="preserve"> UE </w:t>
      </w:r>
      <w:r w:rsidRPr="00315203">
        <w:rPr>
          <w:rFonts w:eastAsia="SimSun"/>
        </w:rPr>
        <w:t xml:space="preserve">n DTM mode upon handover the CSG membership checking and CSG reporting </w:t>
      </w:r>
      <w:r>
        <w:rPr>
          <w:rFonts w:eastAsia="SimSun"/>
        </w:rPr>
        <w:t xml:space="preserve">can be based </w:t>
      </w:r>
      <w:r w:rsidRPr="00315203">
        <w:rPr>
          <w:rFonts w:eastAsia="SimSun"/>
        </w:rPr>
        <w:t>on the target PS side PLMN and EPLMN list</w:t>
      </w:r>
      <w:r>
        <w:rPr>
          <w:rFonts w:eastAsia="SimSun"/>
        </w:rPr>
        <w:t xml:space="preserve"> received upon RAU Accept. These are</w:t>
      </w:r>
      <w:r w:rsidRPr="00315203">
        <w:rPr>
          <w:rFonts w:eastAsia="SimSun"/>
        </w:rPr>
        <w:t xml:space="preserve"> accurate in the following scenarios:</w:t>
      </w:r>
    </w:p>
    <w:p w:rsidR="002877CB" w:rsidRPr="00315203" w:rsidRDefault="002877CB" w:rsidP="00D13945">
      <w:pPr>
        <w:jc w:val="both"/>
        <w:rPr>
          <w:rFonts w:eastAsia="SimSun"/>
        </w:rPr>
      </w:pPr>
    </w:p>
    <w:p w:rsidR="00132C83" w:rsidRPr="002877CB" w:rsidRDefault="00132C83" w:rsidP="00D13945">
      <w:pPr>
        <w:pStyle w:val="ListParagraph"/>
        <w:numPr>
          <w:ilvl w:val="0"/>
          <w:numId w:val="10"/>
        </w:numPr>
        <w:jc w:val="both"/>
        <w:rPr>
          <w:rFonts w:eastAsia="SimSun"/>
        </w:rPr>
      </w:pPr>
      <w:proofErr w:type="gramStart"/>
      <w:r w:rsidRPr="002877CB">
        <w:rPr>
          <w:rFonts w:eastAsia="SimSun"/>
        </w:rPr>
        <w:t>if</w:t>
      </w:r>
      <w:proofErr w:type="gramEnd"/>
      <w:r w:rsidRPr="002877CB">
        <w:rPr>
          <w:rFonts w:eastAsia="SimSun"/>
        </w:rPr>
        <w:t xml:space="preserve"> a single PLMN and EPLMN list is used for the CS and PS domain.</w:t>
      </w:r>
    </w:p>
    <w:p w:rsidR="00132C83" w:rsidRDefault="00132C83" w:rsidP="00D13945">
      <w:pPr>
        <w:pStyle w:val="ListParagraph"/>
        <w:numPr>
          <w:ilvl w:val="0"/>
          <w:numId w:val="10"/>
        </w:numPr>
        <w:jc w:val="both"/>
        <w:rPr>
          <w:rFonts w:eastAsia="SimSun"/>
        </w:rPr>
      </w:pPr>
      <w:proofErr w:type="gramStart"/>
      <w:r w:rsidRPr="002877CB">
        <w:rPr>
          <w:rFonts w:eastAsia="SimSun"/>
        </w:rPr>
        <w:t>if</w:t>
      </w:r>
      <w:proofErr w:type="gramEnd"/>
      <w:r w:rsidRPr="002877CB">
        <w:rPr>
          <w:rFonts w:eastAsia="SimSun"/>
        </w:rPr>
        <w:t xml:space="preserve"> the CS and PS domain are different but equivalent ones and the CSG Whitelist includes the CSG ID and associated equivalent PLMNs.</w:t>
      </w:r>
    </w:p>
    <w:p w:rsidR="002877CB" w:rsidRPr="002877CB" w:rsidRDefault="002877CB" w:rsidP="00D13945">
      <w:pPr>
        <w:pStyle w:val="ListParagraph"/>
        <w:jc w:val="both"/>
        <w:rPr>
          <w:rFonts w:eastAsia="SimSun"/>
        </w:rPr>
      </w:pPr>
    </w:p>
    <w:p w:rsidR="00132C83" w:rsidRPr="005A42BB" w:rsidRDefault="00132C83" w:rsidP="00D13945">
      <w:pPr>
        <w:jc w:val="both"/>
      </w:pPr>
      <w:r w:rsidRPr="00315203">
        <w:rPr>
          <w:rFonts w:cs="Arial"/>
          <w:bCs/>
          <w:lang w:eastAsia="zh-CN"/>
        </w:rPr>
        <w:t>For the other scenarios where the target CS side PLMN and</w:t>
      </w:r>
      <w:r>
        <w:rPr>
          <w:rFonts w:cs="Arial"/>
          <w:bCs/>
          <w:lang w:eastAsia="zh-CN"/>
        </w:rPr>
        <w:t>/or</w:t>
      </w:r>
      <w:r w:rsidRPr="00315203">
        <w:rPr>
          <w:rFonts w:cs="Arial"/>
          <w:bCs/>
          <w:lang w:eastAsia="zh-CN"/>
        </w:rPr>
        <w:t xml:space="preserve"> its EPLMN </w:t>
      </w:r>
      <w:r>
        <w:rPr>
          <w:rFonts w:cs="Arial"/>
          <w:bCs/>
          <w:lang w:eastAsia="zh-CN"/>
        </w:rPr>
        <w:t xml:space="preserve">List are different from the PS side it </w:t>
      </w:r>
      <w:r w:rsidRPr="00315203">
        <w:rPr>
          <w:rFonts w:cs="Arial"/>
          <w:bCs/>
          <w:lang w:eastAsia="zh-CN"/>
        </w:rPr>
        <w:t>needs to be considered</w:t>
      </w:r>
      <w:r>
        <w:rPr>
          <w:rFonts w:cs="Arial"/>
          <w:bCs/>
          <w:lang w:eastAsia="zh-CN"/>
        </w:rPr>
        <w:t xml:space="preserve"> whether the PS side PLMN and its EPLMN list are sufficient</w:t>
      </w:r>
      <w:r w:rsidRPr="00315203">
        <w:rPr>
          <w:rFonts w:cs="Arial"/>
          <w:bCs/>
          <w:lang w:eastAsia="zh-CN"/>
        </w:rPr>
        <w:t xml:space="preserve">. </w:t>
      </w:r>
    </w:p>
    <w:p w:rsidR="00132C83" w:rsidRPr="005A42BB" w:rsidRDefault="00132C83" w:rsidP="00132C83">
      <w:pPr>
        <w:pStyle w:val="11BodyText"/>
      </w:pPr>
    </w:p>
    <w:p w:rsidR="00132C83" w:rsidRDefault="002877CB" w:rsidP="00132C83">
      <w:pPr>
        <w:pStyle w:val="Heading1"/>
        <w:spacing w:before="240"/>
        <w:ind w:left="0" w:right="0" w:firstLine="0"/>
      </w:pPr>
      <w:r>
        <w:t xml:space="preserve">6. </w:t>
      </w:r>
      <w:r w:rsidR="00132C83">
        <w:t>Conclusion</w:t>
      </w:r>
    </w:p>
    <w:p w:rsidR="00132C83" w:rsidRPr="002877CB" w:rsidRDefault="00132C83" w:rsidP="00924773">
      <w:pPr>
        <w:jc w:val="both"/>
      </w:pPr>
      <w:r w:rsidRPr="002877CB">
        <w:t>It is suggested that the both problems identified in this proposal with regard to CSG access check in dedicated mode upon PLMN/EPLMN list change are acknowledged in TSG CT WG1. It is proposed that CT1 based on the analysis of the issues and solutions presented</w:t>
      </w:r>
      <w:r w:rsidR="00924773">
        <w:t xml:space="preserve"> in this paper </w:t>
      </w:r>
      <w:r w:rsidRPr="002877CB">
        <w:t xml:space="preserve">provides feedback to GERAN2 on the questions in </w:t>
      </w:r>
      <w:r w:rsidR="00924773">
        <w:t xml:space="preserve">the </w:t>
      </w:r>
      <w:r w:rsidRPr="002877CB">
        <w:t>LS. In addition it is recommended that CT1 select</w:t>
      </w:r>
      <w:r w:rsidR="00924773">
        <w:t>s</w:t>
      </w:r>
      <w:r w:rsidRPr="002877CB">
        <w:t xml:space="preserve"> a preferred combination of the solutions presented in  §</w:t>
      </w:r>
      <w:r w:rsidR="00924773">
        <w:t xml:space="preserve"> 4</w:t>
      </w:r>
      <w:r w:rsidRPr="002877CB">
        <w:t xml:space="preserve">.1 for dedicated mode and that this preference is noted in the </w:t>
      </w:r>
      <w:proofErr w:type="spellStart"/>
      <w:r w:rsidRPr="002877CB">
        <w:t>ReplyLS</w:t>
      </w:r>
      <w:proofErr w:type="spellEnd"/>
      <w:r w:rsidRPr="002877CB">
        <w:t xml:space="preserve"> to GERAN2. </w:t>
      </w:r>
    </w:p>
    <w:p w:rsidR="00132C83" w:rsidRDefault="00132C83" w:rsidP="00132C83">
      <w:r>
        <w:br w:type="page"/>
      </w:r>
    </w:p>
    <w:p w:rsidR="00132C83" w:rsidRDefault="00D13945" w:rsidP="00132C83">
      <w:pPr>
        <w:pStyle w:val="Heading1"/>
        <w:spacing w:before="240"/>
        <w:ind w:left="0" w:right="0" w:firstLine="0"/>
      </w:pPr>
      <w:r>
        <w:lastRenderedPageBreak/>
        <w:t>Annex</w:t>
      </w:r>
    </w:p>
    <w:p w:rsidR="00132C83" w:rsidRPr="00E7525B" w:rsidRDefault="002877CB" w:rsidP="00132C83">
      <w:pPr>
        <w:pStyle w:val="Heading2"/>
        <w:numPr>
          <w:ilvl w:val="1"/>
          <w:numId w:val="0"/>
        </w:numPr>
        <w:spacing w:before="120" w:after="220"/>
        <w:ind w:right="0"/>
      </w:pPr>
      <w:r>
        <w:t xml:space="preserve">A1. </w:t>
      </w:r>
      <w:r w:rsidR="00132C83">
        <w:t>Example of the problems in Dedicated Mode</w:t>
      </w:r>
    </w:p>
    <w:p w:rsidR="00132C83" w:rsidRPr="002877CB" w:rsidRDefault="00132C83" w:rsidP="002877CB">
      <w:r w:rsidRPr="002877CB">
        <w:t>The MS is in a cell under PLMN1 and has EPLMN List 1 where PLMN1 is the registered PLMN (</w:t>
      </w:r>
      <w:proofErr w:type="spellStart"/>
      <w:r w:rsidRPr="002877CB">
        <w:t>rPLMN</w:t>
      </w:r>
      <w:proofErr w:type="spellEnd"/>
      <w:r w:rsidRPr="002877CB">
        <w:t xml:space="preserve"> = PLMN1) of the MS. The MS is CS-handed over to a new cell from PLMN2 (with EPLMN List 2). As the MS is in dedicated mode no LAU takes place in the MS which still assumes </w:t>
      </w:r>
      <w:proofErr w:type="gramStart"/>
      <w:r w:rsidRPr="002877CB">
        <w:t xml:space="preserve">that  </w:t>
      </w:r>
      <w:proofErr w:type="spellStart"/>
      <w:r w:rsidRPr="002877CB">
        <w:t>rPLMN</w:t>
      </w:r>
      <w:proofErr w:type="spellEnd"/>
      <w:proofErr w:type="gramEnd"/>
      <w:r w:rsidRPr="002877CB">
        <w:t xml:space="preserve"> = PLMN1, and still uses the EPLMN List 1. The MS does not know that in the new cell PLMN2 and EPLMN List 2 apply.</w:t>
      </w:r>
    </w:p>
    <w:p w:rsidR="00132C83" w:rsidRPr="002877CB" w:rsidRDefault="00132C83" w:rsidP="002877CB">
      <w:r w:rsidRPr="002877CB">
        <w:t xml:space="preserve">The MS finds a CSG Cell: CSG </w:t>
      </w:r>
      <w:proofErr w:type="spellStart"/>
      <w:r w:rsidRPr="002877CB">
        <w:t>IDa</w:t>
      </w:r>
      <w:proofErr w:type="spellEnd"/>
      <w:r w:rsidRPr="002877CB">
        <w:t xml:space="preserve"> and PLMN Ida</w:t>
      </w:r>
    </w:p>
    <w:p w:rsidR="00132C83" w:rsidRPr="00EF041A" w:rsidRDefault="00132C83" w:rsidP="00EF041A">
      <w:pPr>
        <w:ind w:firstLine="720"/>
        <w:rPr>
          <w:b/>
        </w:rPr>
      </w:pPr>
      <w:r w:rsidRPr="00EF041A">
        <w:rPr>
          <w:b/>
        </w:rPr>
        <w:t>Problem Scenario 1:</w:t>
      </w:r>
    </w:p>
    <w:p w:rsidR="00132C83" w:rsidRPr="0088333C" w:rsidRDefault="00132C83" w:rsidP="00132C83">
      <w:pPr>
        <w:widowControl w:val="0"/>
        <w:autoSpaceDE w:val="0"/>
        <w:autoSpaceDN w:val="0"/>
        <w:adjustRightInd w:val="0"/>
        <w:ind w:left="1920"/>
      </w:pPr>
      <w:r w:rsidRPr="0088333C">
        <w:t>The access check can pass in the MS if:</w:t>
      </w:r>
    </w:p>
    <w:p w:rsidR="00132C83" w:rsidRPr="0088333C" w:rsidRDefault="00132C83" w:rsidP="00132C83">
      <w:pPr>
        <w:widowControl w:val="0"/>
        <w:autoSpaceDE w:val="0"/>
        <w:autoSpaceDN w:val="0"/>
        <w:adjustRightInd w:val="0"/>
        <w:ind w:left="2880"/>
      </w:pPr>
      <w:r w:rsidRPr="0088333C">
        <w:rPr>
          <w:i/>
        </w:rPr>
        <w:t xml:space="preserve">CSG </w:t>
      </w:r>
      <w:proofErr w:type="spellStart"/>
      <w:r w:rsidRPr="0088333C">
        <w:rPr>
          <w:i/>
        </w:rPr>
        <w:t>ID</w:t>
      </w:r>
      <w:r w:rsidRPr="0088333C">
        <w:rPr>
          <w:b/>
          <w:bCs/>
          <w:i/>
          <w:iCs/>
        </w:rPr>
        <w:t>a</w:t>
      </w:r>
      <w:proofErr w:type="spellEnd"/>
      <w:r w:rsidRPr="0088333C">
        <w:t xml:space="preserve"> and </w:t>
      </w:r>
      <w:r w:rsidRPr="0088333C">
        <w:rPr>
          <w:i/>
        </w:rPr>
        <w:t xml:space="preserve">PLMN </w:t>
      </w:r>
      <w:proofErr w:type="spellStart"/>
      <w:r w:rsidRPr="0088333C">
        <w:rPr>
          <w:i/>
        </w:rPr>
        <w:t>ID</w:t>
      </w:r>
      <w:r w:rsidRPr="0088333C">
        <w:rPr>
          <w:b/>
          <w:bCs/>
          <w:i/>
          <w:iCs/>
        </w:rPr>
        <w:t>a</w:t>
      </w:r>
      <w:proofErr w:type="spellEnd"/>
      <w:r w:rsidRPr="0088333C">
        <w:rPr>
          <w:b/>
          <w:bCs/>
          <w:i/>
          <w:iCs/>
        </w:rPr>
        <w:t xml:space="preserve"> </w:t>
      </w:r>
      <w:r w:rsidRPr="0088333C">
        <w:t>are in the CSG Whitelist</w:t>
      </w:r>
    </w:p>
    <w:p w:rsidR="00132C83" w:rsidRPr="0088333C" w:rsidRDefault="00132C83" w:rsidP="00132C83">
      <w:pPr>
        <w:widowControl w:val="0"/>
        <w:autoSpaceDE w:val="0"/>
        <w:autoSpaceDN w:val="0"/>
        <w:adjustRightInd w:val="0"/>
        <w:ind w:left="2880"/>
      </w:pPr>
      <w:r w:rsidRPr="0088333C">
        <w:rPr>
          <w:i/>
        </w:rPr>
        <w:t xml:space="preserve">PLMN </w:t>
      </w:r>
      <w:proofErr w:type="spellStart"/>
      <w:r w:rsidRPr="0088333C">
        <w:rPr>
          <w:i/>
        </w:rPr>
        <w:t>ID</w:t>
      </w:r>
      <w:r w:rsidRPr="0088333C">
        <w:rPr>
          <w:b/>
          <w:bCs/>
          <w:i/>
          <w:iCs/>
        </w:rPr>
        <w:t>a</w:t>
      </w:r>
      <w:proofErr w:type="spellEnd"/>
      <w:r w:rsidRPr="0088333C">
        <w:rPr>
          <w:i/>
        </w:rPr>
        <w:t xml:space="preserve"> </w:t>
      </w:r>
      <w:r w:rsidRPr="0088333C">
        <w:t>is equal to one PLMN of {</w:t>
      </w:r>
      <w:r w:rsidRPr="0088333C">
        <w:rPr>
          <w:i/>
        </w:rPr>
        <w:t>PLMN1</w:t>
      </w:r>
      <w:r w:rsidRPr="0088333C">
        <w:t xml:space="preserve">; </w:t>
      </w:r>
      <w:r w:rsidRPr="0088333C">
        <w:rPr>
          <w:i/>
        </w:rPr>
        <w:t>EPLMN List 1</w:t>
      </w:r>
      <w:r w:rsidRPr="0088333C">
        <w:t>}</w:t>
      </w:r>
    </w:p>
    <w:p w:rsidR="00132C83" w:rsidRPr="0088333C" w:rsidRDefault="00132C83" w:rsidP="00132C83">
      <w:pPr>
        <w:widowControl w:val="0"/>
        <w:autoSpaceDE w:val="0"/>
        <w:autoSpaceDN w:val="0"/>
        <w:adjustRightInd w:val="0"/>
        <w:ind w:left="1920"/>
      </w:pPr>
      <w:r w:rsidRPr="0088333C">
        <w:t> </w:t>
      </w:r>
    </w:p>
    <w:p w:rsidR="00132C83" w:rsidRPr="0088333C" w:rsidRDefault="00132C83" w:rsidP="00132C83">
      <w:pPr>
        <w:widowControl w:val="0"/>
        <w:autoSpaceDE w:val="0"/>
        <w:autoSpaceDN w:val="0"/>
        <w:adjustRightInd w:val="0"/>
        <w:ind w:left="1920"/>
      </w:pPr>
      <w:r w:rsidRPr="0088333C">
        <w:t xml:space="preserve">But if </w:t>
      </w:r>
      <w:r w:rsidRPr="0088333C">
        <w:rPr>
          <w:i/>
        </w:rPr>
        <w:t>PLMN2</w:t>
      </w:r>
      <w:r w:rsidRPr="0088333C">
        <w:t xml:space="preserve"> is not within the </w:t>
      </w:r>
      <w:r w:rsidRPr="0088333C">
        <w:rPr>
          <w:i/>
        </w:rPr>
        <w:t>EPLMN List 1</w:t>
      </w:r>
      <w:r w:rsidRPr="0088333C">
        <w:t xml:space="preserve"> and thus the </w:t>
      </w:r>
      <w:r w:rsidRPr="0088333C">
        <w:rPr>
          <w:i/>
        </w:rPr>
        <w:t xml:space="preserve">PLMN </w:t>
      </w:r>
      <w:proofErr w:type="spellStart"/>
      <w:r w:rsidRPr="0088333C">
        <w:rPr>
          <w:i/>
        </w:rPr>
        <w:t>ID</w:t>
      </w:r>
      <w:r w:rsidRPr="0088333C">
        <w:rPr>
          <w:b/>
          <w:bCs/>
          <w:i/>
          <w:iCs/>
        </w:rPr>
        <w:t>a</w:t>
      </w:r>
      <w:proofErr w:type="spellEnd"/>
      <w:r w:rsidRPr="0088333C">
        <w:t xml:space="preserve"> is not equal to one of {</w:t>
      </w:r>
      <w:r w:rsidRPr="0088333C">
        <w:rPr>
          <w:i/>
        </w:rPr>
        <w:t>PLMN2</w:t>
      </w:r>
      <w:r w:rsidRPr="0088333C">
        <w:t xml:space="preserve">, </w:t>
      </w:r>
      <w:r w:rsidRPr="0088333C">
        <w:rPr>
          <w:i/>
        </w:rPr>
        <w:t>EPLMN List 2</w:t>
      </w:r>
      <w:r w:rsidRPr="0088333C">
        <w:t>} then the following problem occurs: </w:t>
      </w:r>
    </w:p>
    <w:p w:rsidR="00132C83" w:rsidRPr="0088333C" w:rsidRDefault="00132C83" w:rsidP="00132C83">
      <w:pPr>
        <w:widowControl w:val="0"/>
        <w:autoSpaceDE w:val="0"/>
        <w:autoSpaceDN w:val="0"/>
        <w:adjustRightInd w:val="0"/>
        <w:ind w:left="1920"/>
      </w:pPr>
    </w:p>
    <w:p w:rsidR="00132C83" w:rsidRPr="0088333C" w:rsidDel="0071595D" w:rsidRDefault="00132C83" w:rsidP="00132C83">
      <w:pPr>
        <w:widowControl w:val="0"/>
        <w:autoSpaceDE w:val="0"/>
        <w:autoSpaceDN w:val="0"/>
        <w:adjustRightInd w:val="0"/>
        <w:ind w:left="1920"/>
      </w:pPr>
      <w:r w:rsidRPr="0088333C" w:rsidDel="0071595D">
        <w:rPr>
          <w:b/>
          <w:bCs/>
        </w:rPr>
        <w:t>Problem 1</w:t>
      </w:r>
      <w:r w:rsidRPr="0088333C" w:rsidDel="0071595D">
        <w:t xml:space="preserve"> = A CSG cell is erroneously determined as allowed and may thus be reported. The access check should not have passed.</w:t>
      </w:r>
    </w:p>
    <w:p w:rsidR="00132C83" w:rsidRPr="0088333C" w:rsidRDefault="00132C83" w:rsidP="00132C83">
      <w:pPr>
        <w:widowControl w:val="0"/>
        <w:autoSpaceDE w:val="0"/>
        <w:autoSpaceDN w:val="0"/>
        <w:adjustRightInd w:val="0"/>
        <w:ind w:left="1920"/>
        <w:rPr>
          <w:bCs/>
        </w:rPr>
      </w:pPr>
    </w:p>
    <w:p w:rsidR="00132C83" w:rsidRPr="0088333C" w:rsidRDefault="00132C83" w:rsidP="00132C83">
      <w:pPr>
        <w:widowControl w:val="0"/>
        <w:autoSpaceDE w:val="0"/>
        <w:autoSpaceDN w:val="0"/>
        <w:adjustRightInd w:val="0"/>
        <w:ind w:left="1920"/>
      </w:pPr>
      <w:r w:rsidRPr="0088333C">
        <w:rPr>
          <w:bCs/>
        </w:rPr>
        <w:t xml:space="preserve">The reporting of a CSG cell with routing parameters is heavy in terms of </w:t>
      </w:r>
      <w:proofErr w:type="spellStart"/>
      <w:r w:rsidRPr="0088333C">
        <w:rPr>
          <w:bCs/>
        </w:rPr>
        <w:t>signaling</w:t>
      </w:r>
      <w:proofErr w:type="spellEnd"/>
      <w:r w:rsidRPr="0088333C">
        <w:rPr>
          <w:bCs/>
        </w:rPr>
        <w:t xml:space="preserve"> in GERAN hence the problem above should be solved.</w:t>
      </w:r>
    </w:p>
    <w:p w:rsidR="00132C83" w:rsidRPr="0088333C" w:rsidRDefault="00132C83" w:rsidP="00132C83">
      <w:pPr>
        <w:widowControl w:val="0"/>
        <w:autoSpaceDE w:val="0"/>
        <w:autoSpaceDN w:val="0"/>
        <w:adjustRightInd w:val="0"/>
        <w:ind w:left="960"/>
      </w:pPr>
    </w:p>
    <w:p w:rsidR="00132C83" w:rsidRPr="00EF041A" w:rsidRDefault="00132C83" w:rsidP="00EF041A">
      <w:pPr>
        <w:ind w:firstLine="720"/>
        <w:rPr>
          <w:b/>
        </w:rPr>
      </w:pPr>
      <w:r w:rsidRPr="00EF041A">
        <w:rPr>
          <w:b/>
        </w:rPr>
        <w:t>Problem Scenario 2:</w:t>
      </w:r>
    </w:p>
    <w:p w:rsidR="00132C83" w:rsidRPr="0088333C" w:rsidRDefault="00132C83" w:rsidP="00132C83">
      <w:pPr>
        <w:widowControl w:val="0"/>
        <w:autoSpaceDE w:val="0"/>
        <w:autoSpaceDN w:val="0"/>
        <w:adjustRightInd w:val="0"/>
        <w:ind w:left="1920"/>
      </w:pPr>
      <w:r w:rsidRPr="0088333C">
        <w:t>The access check does not pass in the MS if:</w:t>
      </w:r>
    </w:p>
    <w:p w:rsidR="00132C83" w:rsidRPr="0088333C" w:rsidRDefault="00132C83" w:rsidP="00132C83">
      <w:pPr>
        <w:widowControl w:val="0"/>
        <w:autoSpaceDE w:val="0"/>
        <w:autoSpaceDN w:val="0"/>
        <w:adjustRightInd w:val="0"/>
        <w:ind w:left="2880"/>
      </w:pPr>
      <w:r w:rsidRPr="0088333C">
        <w:rPr>
          <w:i/>
        </w:rPr>
        <w:t xml:space="preserve">CSG </w:t>
      </w:r>
      <w:proofErr w:type="spellStart"/>
      <w:r w:rsidRPr="0088333C">
        <w:rPr>
          <w:i/>
        </w:rPr>
        <w:t>IDa</w:t>
      </w:r>
      <w:proofErr w:type="spellEnd"/>
      <w:r w:rsidRPr="0088333C">
        <w:t xml:space="preserve"> and </w:t>
      </w:r>
      <w:r w:rsidRPr="0088333C">
        <w:rPr>
          <w:i/>
        </w:rPr>
        <w:t xml:space="preserve">PLMN </w:t>
      </w:r>
      <w:proofErr w:type="spellStart"/>
      <w:r w:rsidRPr="0088333C">
        <w:rPr>
          <w:i/>
        </w:rPr>
        <w:t>ID</w:t>
      </w:r>
      <w:r w:rsidRPr="0088333C">
        <w:rPr>
          <w:b/>
          <w:bCs/>
          <w:i/>
          <w:iCs/>
        </w:rPr>
        <w:t>a</w:t>
      </w:r>
      <w:proofErr w:type="spellEnd"/>
      <w:r w:rsidRPr="0088333C">
        <w:t xml:space="preserve"> are in the CSG Whitelist</w:t>
      </w:r>
    </w:p>
    <w:p w:rsidR="00132C83" w:rsidRPr="0088333C" w:rsidRDefault="00132C83" w:rsidP="00132C83">
      <w:pPr>
        <w:widowControl w:val="0"/>
        <w:autoSpaceDE w:val="0"/>
        <w:autoSpaceDN w:val="0"/>
        <w:adjustRightInd w:val="0"/>
        <w:ind w:left="2880"/>
      </w:pPr>
      <w:r w:rsidRPr="0088333C">
        <w:rPr>
          <w:i/>
        </w:rPr>
        <w:t xml:space="preserve">PLMN </w:t>
      </w:r>
      <w:proofErr w:type="spellStart"/>
      <w:r w:rsidRPr="0088333C">
        <w:rPr>
          <w:i/>
        </w:rPr>
        <w:t>ID</w:t>
      </w:r>
      <w:r w:rsidRPr="0088333C">
        <w:rPr>
          <w:b/>
          <w:bCs/>
          <w:i/>
          <w:iCs/>
        </w:rPr>
        <w:t>a</w:t>
      </w:r>
      <w:proofErr w:type="spellEnd"/>
      <w:r w:rsidRPr="0088333C">
        <w:t xml:space="preserve"> is not equal to one of {</w:t>
      </w:r>
      <w:r w:rsidRPr="0088333C">
        <w:rPr>
          <w:i/>
        </w:rPr>
        <w:t>PLMN1</w:t>
      </w:r>
      <w:r w:rsidRPr="0088333C">
        <w:t xml:space="preserve">; </w:t>
      </w:r>
      <w:r w:rsidRPr="0088333C">
        <w:rPr>
          <w:i/>
        </w:rPr>
        <w:t>EPLMN List 1</w:t>
      </w:r>
      <w:r w:rsidRPr="0088333C">
        <w:t>}</w:t>
      </w:r>
    </w:p>
    <w:p w:rsidR="00132C83" w:rsidRPr="0088333C" w:rsidRDefault="00132C83" w:rsidP="00132C83">
      <w:pPr>
        <w:widowControl w:val="0"/>
        <w:autoSpaceDE w:val="0"/>
        <w:autoSpaceDN w:val="0"/>
        <w:adjustRightInd w:val="0"/>
        <w:ind w:left="1920"/>
      </w:pPr>
      <w:r w:rsidRPr="0088333C">
        <w:t> </w:t>
      </w:r>
    </w:p>
    <w:p w:rsidR="00132C83" w:rsidRPr="0088333C" w:rsidRDefault="00132C83" w:rsidP="00132C83">
      <w:pPr>
        <w:widowControl w:val="0"/>
        <w:autoSpaceDE w:val="0"/>
        <w:autoSpaceDN w:val="0"/>
        <w:adjustRightInd w:val="0"/>
        <w:ind w:left="1920"/>
      </w:pPr>
      <w:r w:rsidRPr="0088333C">
        <w:t xml:space="preserve">But if </w:t>
      </w:r>
      <w:r w:rsidRPr="0088333C">
        <w:rPr>
          <w:i/>
        </w:rPr>
        <w:t>PLMN2</w:t>
      </w:r>
      <w:r w:rsidRPr="0088333C">
        <w:t xml:space="preserve"> is not within </w:t>
      </w:r>
      <w:r w:rsidRPr="0088333C">
        <w:rPr>
          <w:i/>
        </w:rPr>
        <w:t>EPLMN List 1</w:t>
      </w:r>
      <w:r w:rsidRPr="0088333C">
        <w:t xml:space="preserve"> and if </w:t>
      </w:r>
      <w:r w:rsidRPr="0088333C">
        <w:rPr>
          <w:i/>
        </w:rPr>
        <w:t xml:space="preserve">PLMN </w:t>
      </w:r>
      <w:proofErr w:type="spellStart"/>
      <w:r w:rsidRPr="0088333C">
        <w:rPr>
          <w:i/>
        </w:rPr>
        <w:t>ID</w:t>
      </w:r>
      <w:r w:rsidRPr="0088333C">
        <w:rPr>
          <w:b/>
          <w:bCs/>
          <w:i/>
          <w:iCs/>
        </w:rPr>
        <w:t>a</w:t>
      </w:r>
      <w:proofErr w:type="spellEnd"/>
      <w:r w:rsidRPr="0088333C">
        <w:t xml:space="preserve"> is equal to one of {</w:t>
      </w:r>
      <w:r w:rsidRPr="0088333C">
        <w:rPr>
          <w:i/>
        </w:rPr>
        <w:t>PLMN2</w:t>
      </w:r>
      <w:r w:rsidRPr="0088333C">
        <w:t xml:space="preserve">, </w:t>
      </w:r>
      <w:r w:rsidRPr="0088333C">
        <w:rPr>
          <w:i/>
        </w:rPr>
        <w:t>EPLMN List 2</w:t>
      </w:r>
      <w:r w:rsidRPr="0088333C">
        <w:t>} then the following problem occurs:</w:t>
      </w:r>
    </w:p>
    <w:p w:rsidR="00132C83" w:rsidRPr="0088333C" w:rsidRDefault="00132C83" w:rsidP="00132C83">
      <w:pPr>
        <w:widowControl w:val="0"/>
        <w:autoSpaceDE w:val="0"/>
        <w:autoSpaceDN w:val="0"/>
        <w:adjustRightInd w:val="0"/>
        <w:ind w:left="1920"/>
      </w:pPr>
      <w:r w:rsidRPr="0088333C">
        <w:t> </w:t>
      </w:r>
    </w:p>
    <w:p w:rsidR="00132C83" w:rsidRPr="0088333C" w:rsidDel="0071595D" w:rsidRDefault="00132C83" w:rsidP="00132C83">
      <w:pPr>
        <w:ind w:left="1920"/>
      </w:pPr>
      <w:r w:rsidRPr="0088333C" w:rsidDel="0071595D">
        <w:rPr>
          <w:b/>
          <w:bCs/>
        </w:rPr>
        <w:t xml:space="preserve">Problem 2 </w:t>
      </w:r>
      <w:r w:rsidRPr="0088333C" w:rsidDel="0071595D">
        <w:t>= A CSG cell is erroneously not determined as allowed hence cannot be reported. The check should have passed.</w:t>
      </w:r>
    </w:p>
    <w:p w:rsidR="00132C83" w:rsidRPr="00E7525B" w:rsidRDefault="00132C83" w:rsidP="00132C83">
      <w:pPr>
        <w:pStyle w:val="11BodyText"/>
      </w:pPr>
    </w:p>
    <w:p w:rsidR="00132C83" w:rsidRPr="0088333C" w:rsidRDefault="00EF041A" w:rsidP="00132C83">
      <w:pPr>
        <w:pStyle w:val="Heading2"/>
        <w:numPr>
          <w:ilvl w:val="1"/>
          <w:numId w:val="0"/>
        </w:numPr>
        <w:spacing w:before="120" w:after="220"/>
        <w:ind w:right="0"/>
      </w:pPr>
      <w:r>
        <w:t xml:space="preserve">A2. </w:t>
      </w:r>
      <w:r w:rsidR="00132C83">
        <w:t>De</w:t>
      </w:r>
      <w:r w:rsidR="00132C83" w:rsidRPr="001665C5">
        <w:t xml:space="preserve">tecting the PLMN/EPLMN list during handover preparation phase </w:t>
      </w:r>
    </w:p>
    <w:p w:rsidR="00132C83" w:rsidRPr="00EF041A" w:rsidRDefault="00132C83" w:rsidP="00EF041A">
      <w:r w:rsidRPr="00EF041A">
        <w:t>An example of the procedure detecting the PLMN/EPLMN list during handover preparation phase (see above a1</w:t>
      </w:r>
      <w:r w:rsidR="00D13945">
        <w:t xml:space="preserve"> in §4</w:t>
      </w:r>
      <w:r w:rsidRPr="00EF041A">
        <w:t xml:space="preserve">) is given below. </w:t>
      </w:r>
    </w:p>
    <w:p w:rsidR="00132C83" w:rsidRPr="00EF041A" w:rsidRDefault="00132C83" w:rsidP="00EF041A">
      <w:r w:rsidRPr="00EF041A">
        <w:t>The PLMN/</w:t>
      </w:r>
      <w:proofErr w:type="spellStart"/>
      <w:r w:rsidRPr="00EF041A">
        <w:t>EPLMNList_CHANGE</w:t>
      </w:r>
      <w:proofErr w:type="spellEnd"/>
      <w:r w:rsidRPr="00EF041A">
        <w:t xml:space="preserve"> Indicator will be added to the handover </w:t>
      </w:r>
      <w:proofErr w:type="spellStart"/>
      <w:r w:rsidRPr="00EF041A">
        <w:t>signaling</w:t>
      </w:r>
      <w:proofErr w:type="spellEnd"/>
      <w:r w:rsidRPr="00EF041A">
        <w:t xml:space="preserve"> on the A interface to indicate to the mobile whether an EPLMN list will change due to the LA change. The </w:t>
      </w:r>
      <w:proofErr w:type="spellStart"/>
      <w:r w:rsidRPr="00EF041A">
        <w:t>signaling</w:t>
      </w:r>
      <w:proofErr w:type="spellEnd"/>
      <w:r w:rsidRPr="00EF041A">
        <w:t xml:space="preserve"> flow is depicted in Figure 1. The MSC-B shall be able to set the PLMN/</w:t>
      </w:r>
      <w:proofErr w:type="spellStart"/>
      <w:r w:rsidRPr="00EF041A">
        <w:t>EPLMNList_CHANGE</w:t>
      </w:r>
      <w:proofErr w:type="spellEnd"/>
      <w:r w:rsidRPr="00EF041A">
        <w:t xml:space="preserve"> Indicator on the A interface (see steps 3 and 4 in Figure 1) based on the indicator received from the old MSC namely MSC-B. One possible implementation of the inter-MSC procedure is depicted in steps 1 and 2 in Figure 1. The MSC-A may also set the E-PLMN List Indicator based on the target cell ID in the Handover Required if it can determine that another PLMN and E-PLMN list different from its current list is valid in the new cell.</w:t>
      </w:r>
    </w:p>
    <w:p w:rsidR="00132C83" w:rsidRPr="0088333C" w:rsidRDefault="00132C83" w:rsidP="00132C83">
      <w:pPr>
        <w:pStyle w:val="MediumGrid1-Accent21"/>
        <w:ind w:left="284"/>
      </w:pPr>
      <w:r w:rsidRPr="0088333C">
        <w:object w:dxaOrig="10120" w:dyaOrig="7960" w14:anchorId="76A0B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392.25pt" o:ole="" fillcolor="window">
            <v:imagedata r:id="rId8" o:title=""/>
          </v:shape>
          <o:OLEObject Type="Embed" ProgID="Word.Picture.8" ShapeID="_x0000_i1025" DrawAspect="Content" ObjectID="_1389443741" r:id="rId9"/>
        </w:object>
      </w:r>
    </w:p>
    <w:p w:rsidR="00132C83" w:rsidRDefault="00132C83" w:rsidP="001F517F">
      <w:pPr>
        <w:jc w:val="center"/>
      </w:pPr>
      <w:proofErr w:type="gramStart"/>
      <w:r w:rsidRPr="001F517F">
        <w:t xml:space="preserve">Figure </w:t>
      </w:r>
      <w:r w:rsidRPr="001F517F">
        <w:fldChar w:fldCharType="begin"/>
      </w:r>
      <w:r w:rsidRPr="001F517F">
        <w:instrText xml:space="preserve"> SEQ Figure \* ARABIC </w:instrText>
      </w:r>
      <w:r w:rsidRPr="001F517F">
        <w:fldChar w:fldCharType="separate"/>
      </w:r>
      <w:r w:rsidRPr="001F517F">
        <w:t>1</w:t>
      </w:r>
      <w:r w:rsidRPr="001F517F">
        <w:fldChar w:fldCharType="end"/>
      </w:r>
      <w:r w:rsidRPr="001F517F">
        <w:t>.</w:t>
      </w:r>
      <w:proofErr w:type="gramEnd"/>
      <w:r w:rsidRPr="001F517F">
        <w:t xml:space="preserve"> Procedure for addition of the PLMN/</w:t>
      </w:r>
      <w:proofErr w:type="spellStart"/>
      <w:r w:rsidRPr="001F517F">
        <w:t>EPLMNList_CHANGE</w:t>
      </w:r>
      <w:proofErr w:type="spellEnd"/>
      <w:r w:rsidRPr="001F517F">
        <w:t xml:space="preserve"> Indicator to the handover </w:t>
      </w:r>
      <w:proofErr w:type="spellStart"/>
      <w:r w:rsidRPr="001F517F">
        <w:t>signaling</w:t>
      </w:r>
      <w:proofErr w:type="spellEnd"/>
      <w:r w:rsidRPr="001F517F">
        <w:t xml:space="preserve"> in GERAN inter/MSC handover </w:t>
      </w:r>
      <w:r w:rsidR="001F517F">
        <w:t>–</w:t>
      </w:r>
      <w:r w:rsidRPr="001F517F">
        <w:t xml:space="preserve"> Example</w:t>
      </w:r>
    </w:p>
    <w:p w:rsidR="001F517F" w:rsidRPr="001F517F" w:rsidRDefault="001F517F" w:rsidP="001F517F">
      <w:pPr>
        <w:jc w:val="center"/>
      </w:pPr>
    </w:p>
    <w:p w:rsidR="00132C83" w:rsidRPr="00EF041A" w:rsidRDefault="00132C83" w:rsidP="00EF041A">
      <w:r w:rsidRPr="00EF041A">
        <w:t>The PLMN/</w:t>
      </w:r>
      <w:proofErr w:type="spellStart"/>
      <w:r w:rsidRPr="00EF041A">
        <w:t>EPLMNList_CHANGEindicator</w:t>
      </w:r>
      <w:proofErr w:type="spellEnd"/>
      <w:r w:rsidRPr="00EF041A">
        <w:t xml:space="preserve"> is to be added to the Handover Request on the A interface defined in 3GPP TS 48.008 and to the RR Handover Command defined in 3GPP TSG 44.018. </w:t>
      </w:r>
    </w:p>
    <w:p w:rsidR="001F517F" w:rsidRDefault="001F517F" w:rsidP="00EF041A"/>
    <w:p w:rsidR="00132C83" w:rsidRDefault="00132C83" w:rsidP="00EF041A">
      <w:r w:rsidRPr="00EF041A">
        <w:t>One possible specification is given below:</w:t>
      </w:r>
    </w:p>
    <w:p w:rsidR="001F517F" w:rsidRPr="00EF041A" w:rsidRDefault="001F517F" w:rsidP="00EF041A"/>
    <w:p w:rsidR="00132C83" w:rsidRPr="00EF041A" w:rsidRDefault="00132C83" w:rsidP="00EF041A">
      <w:r w:rsidRPr="00EF041A">
        <w:t>The purpose of the PLMN/</w:t>
      </w:r>
      <w:proofErr w:type="spellStart"/>
      <w:r w:rsidRPr="00EF041A">
        <w:t>EPLMNList_CHANGE</w:t>
      </w:r>
      <w:proofErr w:type="spellEnd"/>
      <w:r w:rsidRPr="00EF041A">
        <w:t xml:space="preserve"> Indication information element is to indicate whether the PLMN/</w:t>
      </w:r>
      <w:proofErr w:type="spellStart"/>
      <w:r w:rsidRPr="00EF041A">
        <w:t>EPLMNList_CHANGEin</w:t>
      </w:r>
      <w:proofErr w:type="spellEnd"/>
      <w:r w:rsidRPr="00EF041A">
        <w:t xml:space="preserve"> the new cell after handover will change or not, while in dedicated mode.</w:t>
      </w:r>
    </w:p>
    <w:p w:rsidR="00132C83" w:rsidRPr="00EF041A" w:rsidRDefault="00132C83" w:rsidP="00EF041A">
      <w:r w:rsidRPr="00EF041A">
        <w:t>The PLMN/</w:t>
      </w:r>
      <w:proofErr w:type="spellStart"/>
      <w:r w:rsidRPr="00EF041A">
        <w:t>EPLMNList_CHANGE</w:t>
      </w:r>
      <w:proofErr w:type="spellEnd"/>
      <w:r w:rsidRPr="00EF041A">
        <w:t xml:space="preserve"> Indication information element is coded as shown in figure 2 and table 1.</w:t>
      </w:r>
    </w:p>
    <w:p w:rsidR="00132C83" w:rsidRPr="00EF041A" w:rsidRDefault="00132C83" w:rsidP="00EF041A">
      <w:r w:rsidRPr="00EF041A">
        <w:t>The PLMN/</w:t>
      </w:r>
      <w:proofErr w:type="spellStart"/>
      <w:r w:rsidRPr="00EF041A">
        <w:t>EPLMNList_CHANGE</w:t>
      </w:r>
      <w:proofErr w:type="spellEnd"/>
      <w:r w:rsidRPr="00EF041A">
        <w:t xml:space="preserve"> Indication is a type 1 information element.</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911"/>
        <w:gridCol w:w="911"/>
        <w:gridCol w:w="910"/>
        <w:gridCol w:w="907"/>
        <w:gridCol w:w="907"/>
        <w:gridCol w:w="907"/>
        <w:gridCol w:w="1506"/>
        <w:gridCol w:w="914"/>
      </w:tblGrid>
      <w:tr w:rsidR="00132C83" w:rsidRPr="00EF041A" w:rsidTr="007D2485">
        <w:tc>
          <w:tcPr>
            <w:tcW w:w="951" w:type="dxa"/>
            <w:tcBorders>
              <w:top w:val="nil"/>
              <w:left w:val="nil"/>
              <w:bottom w:val="single" w:sz="4" w:space="0" w:color="auto"/>
              <w:right w:val="nil"/>
            </w:tcBorders>
            <w:shd w:val="clear" w:color="auto" w:fill="auto"/>
          </w:tcPr>
          <w:p w:rsidR="00132C83" w:rsidRPr="00EF041A" w:rsidRDefault="00132C83" w:rsidP="00EF041A">
            <w:r w:rsidRPr="00EF041A">
              <w:t>8</w:t>
            </w:r>
          </w:p>
        </w:tc>
        <w:tc>
          <w:tcPr>
            <w:tcW w:w="952" w:type="dxa"/>
            <w:tcBorders>
              <w:top w:val="nil"/>
              <w:left w:val="nil"/>
              <w:bottom w:val="single" w:sz="4" w:space="0" w:color="auto"/>
              <w:right w:val="nil"/>
            </w:tcBorders>
            <w:shd w:val="clear" w:color="auto" w:fill="auto"/>
          </w:tcPr>
          <w:p w:rsidR="00132C83" w:rsidRPr="00EF041A" w:rsidRDefault="00132C83" w:rsidP="00EF041A">
            <w:r w:rsidRPr="00EF041A">
              <w:t>7</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6</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5</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4</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3</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2</w:t>
            </w:r>
          </w:p>
        </w:tc>
        <w:tc>
          <w:tcPr>
            <w:tcW w:w="953" w:type="dxa"/>
            <w:tcBorders>
              <w:top w:val="nil"/>
              <w:left w:val="nil"/>
              <w:bottom w:val="single" w:sz="4" w:space="0" w:color="auto"/>
              <w:right w:val="nil"/>
            </w:tcBorders>
            <w:shd w:val="clear" w:color="auto" w:fill="auto"/>
          </w:tcPr>
          <w:p w:rsidR="00132C83" w:rsidRPr="00EF041A" w:rsidRDefault="00132C83" w:rsidP="00EF041A">
            <w:r w:rsidRPr="00EF041A">
              <w:t>1</w:t>
            </w:r>
          </w:p>
        </w:tc>
        <w:tc>
          <w:tcPr>
            <w:tcW w:w="935" w:type="dxa"/>
            <w:tcBorders>
              <w:top w:val="nil"/>
              <w:left w:val="nil"/>
              <w:bottom w:val="nil"/>
              <w:right w:val="nil"/>
            </w:tcBorders>
            <w:shd w:val="clear" w:color="auto" w:fill="auto"/>
          </w:tcPr>
          <w:p w:rsidR="00132C83" w:rsidRPr="00EF041A" w:rsidRDefault="00132C83" w:rsidP="00EF041A"/>
        </w:tc>
      </w:tr>
      <w:tr w:rsidR="00132C83" w:rsidRPr="00EF041A" w:rsidTr="007D2485">
        <w:tc>
          <w:tcPr>
            <w:tcW w:w="3809" w:type="dxa"/>
            <w:gridSpan w:val="4"/>
            <w:vMerge w:val="restart"/>
            <w:tcBorders>
              <w:top w:val="single" w:sz="4" w:space="0" w:color="auto"/>
            </w:tcBorders>
            <w:shd w:val="clear" w:color="auto" w:fill="auto"/>
          </w:tcPr>
          <w:p w:rsidR="00132C83" w:rsidRPr="00EF041A" w:rsidRDefault="00132C83" w:rsidP="00EF041A">
            <w:r w:rsidRPr="00EF041A">
              <w:t>PLMN/EPLMN List Change</w:t>
            </w:r>
          </w:p>
          <w:p w:rsidR="00132C83" w:rsidRPr="00EF041A" w:rsidRDefault="00132C83" w:rsidP="00EF041A">
            <w:r w:rsidRPr="00EF041A">
              <w:t>Indication</w:t>
            </w:r>
          </w:p>
          <w:p w:rsidR="00132C83" w:rsidRPr="00EF041A" w:rsidRDefault="00132C83" w:rsidP="00EF041A">
            <w:r w:rsidRPr="00EF041A">
              <w:t>IEI</w:t>
            </w:r>
          </w:p>
        </w:tc>
        <w:tc>
          <w:tcPr>
            <w:tcW w:w="2859" w:type="dxa"/>
            <w:gridSpan w:val="3"/>
            <w:tcBorders>
              <w:top w:val="single" w:sz="4" w:space="0" w:color="auto"/>
            </w:tcBorders>
            <w:shd w:val="clear" w:color="auto" w:fill="auto"/>
          </w:tcPr>
          <w:p w:rsidR="00132C83" w:rsidRPr="00EF041A" w:rsidRDefault="00132C83" w:rsidP="00EF041A">
            <w:r w:rsidRPr="00EF041A">
              <w:t>Spare</w:t>
            </w:r>
          </w:p>
        </w:tc>
        <w:tc>
          <w:tcPr>
            <w:tcW w:w="953" w:type="dxa"/>
            <w:vMerge w:val="restart"/>
            <w:tcBorders>
              <w:top w:val="single" w:sz="4" w:space="0" w:color="auto"/>
            </w:tcBorders>
            <w:shd w:val="clear" w:color="auto" w:fill="auto"/>
          </w:tcPr>
          <w:p w:rsidR="00132C83" w:rsidRPr="00EF041A" w:rsidRDefault="00132C83" w:rsidP="00EF041A">
            <w:r w:rsidRPr="00EF041A">
              <w:t xml:space="preserve">PLMN/EPLMN List Change </w:t>
            </w:r>
            <w:proofErr w:type="spellStart"/>
            <w:r w:rsidRPr="00EF041A">
              <w:t>Ind</w:t>
            </w:r>
            <w:proofErr w:type="spellEnd"/>
          </w:p>
        </w:tc>
        <w:tc>
          <w:tcPr>
            <w:tcW w:w="935" w:type="dxa"/>
            <w:vMerge w:val="restart"/>
            <w:tcBorders>
              <w:top w:val="nil"/>
              <w:bottom w:val="nil"/>
              <w:right w:val="nil"/>
            </w:tcBorders>
            <w:shd w:val="clear" w:color="auto" w:fill="auto"/>
          </w:tcPr>
          <w:p w:rsidR="00132C83" w:rsidRPr="00EF041A" w:rsidRDefault="00132C83" w:rsidP="00EF041A">
            <w:r w:rsidRPr="00EF041A">
              <w:t>Octet 1</w:t>
            </w:r>
          </w:p>
        </w:tc>
      </w:tr>
      <w:tr w:rsidR="00132C83" w:rsidRPr="00EF041A" w:rsidTr="007D2485">
        <w:tc>
          <w:tcPr>
            <w:tcW w:w="3809" w:type="dxa"/>
            <w:gridSpan w:val="4"/>
            <w:vMerge/>
            <w:shd w:val="clear" w:color="auto" w:fill="auto"/>
          </w:tcPr>
          <w:p w:rsidR="00132C83" w:rsidRPr="00EF041A" w:rsidRDefault="00132C83" w:rsidP="00EF041A"/>
        </w:tc>
        <w:tc>
          <w:tcPr>
            <w:tcW w:w="953" w:type="dxa"/>
            <w:shd w:val="clear" w:color="auto" w:fill="auto"/>
          </w:tcPr>
          <w:p w:rsidR="00132C83" w:rsidRPr="00EF041A" w:rsidRDefault="00132C83" w:rsidP="00EF041A">
            <w:r w:rsidRPr="00EF041A">
              <w:t>0</w:t>
            </w:r>
          </w:p>
        </w:tc>
        <w:tc>
          <w:tcPr>
            <w:tcW w:w="953" w:type="dxa"/>
            <w:shd w:val="clear" w:color="auto" w:fill="auto"/>
          </w:tcPr>
          <w:p w:rsidR="00132C83" w:rsidRPr="00EF041A" w:rsidRDefault="00132C83" w:rsidP="00EF041A">
            <w:r w:rsidRPr="00EF041A">
              <w:t>0</w:t>
            </w:r>
          </w:p>
        </w:tc>
        <w:tc>
          <w:tcPr>
            <w:tcW w:w="953" w:type="dxa"/>
            <w:shd w:val="clear" w:color="auto" w:fill="auto"/>
          </w:tcPr>
          <w:p w:rsidR="00132C83" w:rsidRPr="00EF041A" w:rsidRDefault="00132C83" w:rsidP="00EF041A">
            <w:r w:rsidRPr="00EF041A">
              <w:t>0</w:t>
            </w:r>
          </w:p>
        </w:tc>
        <w:tc>
          <w:tcPr>
            <w:tcW w:w="953" w:type="dxa"/>
            <w:vMerge/>
            <w:shd w:val="clear" w:color="auto" w:fill="auto"/>
          </w:tcPr>
          <w:p w:rsidR="00132C83" w:rsidRPr="00EF041A" w:rsidRDefault="00132C83" w:rsidP="00EF041A"/>
        </w:tc>
        <w:tc>
          <w:tcPr>
            <w:tcW w:w="935" w:type="dxa"/>
            <w:vMerge/>
            <w:tcBorders>
              <w:bottom w:val="nil"/>
              <w:right w:val="nil"/>
            </w:tcBorders>
            <w:shd w:val="clear" w:color="auto" w:fill="auto"/>
          </w:tcPr>
          <w:p w:rsidR="00132C83" w:rsidRPr="00EF041A" w:rsidRDefault="00132C83" w:rsidP="00EF041A"/>
        </w:tc>
      </w:tr>
    </w:tbl>
    <w:p w:rsidR="00132C83" w:rsidRPr="00EF041A" w:rsidRDefault="00132C83" w:rsidP="001F517F">
      <w:pPr>
        <w:jc w:val="center"/>
      </w:pPr>
      <w:r w:rsidRPr="00EF041A">
        <w:t>Figure 2: PLMN/EPLMN List Change Indication information element</w:t>
      </w:r>
    </w:p>
    <w:p w:rsidR="001F517F" w:rsidRDefault="001F517F" w:rsidP="001F517F">
      <w:pPr>
        <w:jc w:val="center"/>
      </w:pPr>
    </w:p>
    <w:p w:rsidR="00132C83" w:rsidRPr="00EF041A" w:rsidRDefault="00132C83" w:rsidP="001F517F">
      <w:pPr>
        <w:jc w:val="center"/>
      </w:pPr>
      <w:r w:rsidRPr="00EF041A">
        <w:t>Table 2: PLMN/EPLMN List Change Indication information element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132C83" w:rsidRPr="00EF041A" w:rsidTr="007D2485">
        <w:tc>
          <w:tcPr>
            <w:tcW w:w="8612" w:type="dxa"/>
            <w:shd w:val="clear" w:color="auto" w:fill="auto"/>
          </w:tcPr>
          <w:p w:rsidR="00132C83" w:rsidRPr="00EF041A" w:rsidRDefault="00132C83" w:rsidP="00EF041A">
            <w:r w:rsidRPr="00EF041A">
              <w:t xml:space="preserve">The PLMN/EPLMN List Change </w:t>
            </w:r>
            <w:proofErr w:type="spellStart"/>
            <w:r w:rsidRPr="00EF041A">
              <w:t>Ind</w:t>
            </w:r>
            <w:proofErr w:type="spellEnd"/>
            <w:r w:rsidRPr="00EF041A">
              <w:t xml:space="preserve"> field (1 bit) is the binary indication whether the PLMN/</w:t>
            </w:r>
            <w:proofErr w:type="spellStart"/>
            <w:r w:rsidRPr="00EF041A">
              <w:t>EPLMNList_CHANGE</w:t>
            </w:r>
            <w:proofErr w:type="spellEnd"/>
            <w:r w:rsidRPr="00EF041A">
              <w:t xml:space="preserve"> will change in the new cell upon LAU:</w:t>
            </w:r>
          </w:p>
          <w:p w:rsidR="00132C83" w:rsidRPr="00EF041A" w:rsidRDefault="00132C83" w:rsidP="00EF041A">
            <w:r w:rsidRPr="00EF041A">
              <w:t>0</w:t>
            </w:r>
            <w:r w:rsidRPr="00EF041A">
              <w:tab/>
              <w:t>the PLMN/</w:t>
            </w:r>
            <w:proofErr w:type="spellStart"/>
            <w:r w:rsidRPr="00EF041A">
              <w:t>EPLMNList</w:t>
            </w:r>
            <w:proofErr w:type="spellEnd"/>
            <w:r w:rsidRPr="00EF041A">
              <w:t xml:space="preserve"> will not change;</w:t>
            </w:r>
          </w:p>
          <w:p w:rsidR="00132C83" w:rsidRPr="00EF041A" w:rsidRDefault="00132C83" w:rsidP="00EF041A">
            <w:r w:rsidRPr="00EF041A">
              <w:t>1</w:t>
            </w:r>
            <w:r w:rsidRPr="00EF041A">
              <w:tab/>
              <w:t>the PLMN/</w:t>
            </w:r>
            <w:proofErr w:type="spellStart"/>
            <w:r w:rsidRPr="00EF041A">
              <w:t>EPLMNList</w:t>
            </w:r>
            <w:proofErr w:type="spellEnd"/>
            <w:r w:rsidRPr="00EF041A">
              <w:t xml:space="preserve"> will change;</w:t>
            </w:r>
          </w:p>
        </w:tc>
      </w:tr>
    </w:tbl>
    <w:p w:rsidR="00132C83" w:rsidRPr="00EF041A" w:rsidRDefault="00132C83" w:rsidP="00EF041A"/>
    <w:p w:rsidR="00132C83" w:rsidRPr="00EF041A" w:rsidRDefault="00132C83" w:rsidP="00EF041A">
      <w:r w:rsidRPr="00EF041A">
        <w:t>The PLMN/</w:t>
      </w:r>
      <w:proofErr w:type="spellStart"/>
      <w:r w:rsidRPr="00EF041A">
        <w:t>EPLMNList_CHANGEIndication</w:t>
      </w:r>
      <w:proofErr w:type="spellEnd"/>
      <w:r w:rsidRPr="00EF041A">
        <w:t xml:space="preserve"> is a type 1 information element.</w:t>
      </w:r>
    </w:p>
    <w:p w:rsidR="00132C83" w:rsidRPr="00EF041A" w:rsidRDefault="00132C83" w:rsidP="00EF041A"/>
    <w:p w:rsidR="00236D1F" w:rsidRPr="00EF041A" w:rsidRDefault="00236D1F" w:rsidP="00EF041A"/>
    <w:sectPr w:rsidR="00236D1F" w:rsidRPr="00EF04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C21" w:rsidRDefault="00785C21">
      <w:r>
        <w:separator/>
      </w:r>
    </w:p>
  </w:endnote>
  <w:endnote w:type="continuationSeparator" w:id="0">
    <w:p w:rsidR="00785C21" w:rsidRDefault="0078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C21" w:rsidRDefault="00785C21">
      <w:r>
        <w:separator/>
      </w:r>
    </w:p>
  </w:footnote>
  <w:footnote w:type="continuationSeparator" w:id="0">
    <w:p w:rsidR="00785C21" w:rsidRDefault="00785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743AF0"/>
    <w:multiLevelType w:val="hybridMultilevel"/>
    <w:tmpl w:val="C0588B6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4CA5297F"/>
    <w:multiLevelType w:val="hybridMultilevel"/>
    <w:tmpl w:val="33C6B922"/>
    <w:lvl w:ilvl="0" w:tplc="733C1EAC">
      <w:start w:val="6"/>
      <w:numFmt w:val="bullet"/>
      <w:lvlText w:val="-"/>
      <w:lvlJc w:val="left"/>
      <w:pPr>
        <w:ind w:left="784" w:hanging="360"/>
      </w:pPr>
      <w:rPr>
        <w:rFonts w:ascii="Verdana" w:eastAsia="Times New Roman" w:hAnsi="Verdana" w:cs="Times New Roman"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
    <w:nsid w:val="52DE4CB2"/>
    <w:multiLevelType w:val="hybridMultilevel"/>
    <w:tmpl w:val="09AE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B61471"/>
    <w:multiLevelType w:val="hybridMultilevel"/>
    <w:tmpl w:val="6F5A4A4E"/>
    <w:lvl w:ilvl="0" w:tplc="733C1EAC">
      <w:start w:val="6"/>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0C4951"/>
    <w:multiLevelType w:val="hybridMultilevel"/>
    <w:tmpl w:val="BE30B57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7E414B74"/>
    <w:multiLevelType w:val="hybridMultilevel"/>
    <w:tmpl w:val="A9049E88"/>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1">
    <w:nsid w:val="7E4B68A2"/>
    <w:multiLevelType w:val="hybridMultilevel"/>
    <w:tmpl w:val="B6962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10"/>
  </w:num>
  <w:num w:numId="6">
    <w:abstractNumId w:val="8"/>
  </w:num>
  <w:num w:numId="7">
    <w:abstractNumId w:val="6"/>
  </w:num>
  <w:num w:numId="8">
    <w:abstractNumId w:val="9"/>
  </w:num>
  <w:num w:numId="9">
    <w:abstractNumId w:val="4"/>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55FA3"/>
    <w:rsid w:val="00056F79"/>
    <w:rsid w:val="000967F4"/>
    <w:rsid w:val="00132C83"/>
    <w:rsid w:val="00135045"/>
    <w:rsid w:val="00155ECA"/>
    <w:rsid w:val="00166FE2"/>
    <w:rsid w:val="00197731"/>
    <w:rsid w:val="001B67F4"/>
    <w:rsid w:val="001E2D52"/>
    <w:rsid w:val="001F2939"/>
    <w:rsid w:val="001F517F"/>
    <w:rsid w:val="002032A1"/>
    <w:rsid w:val="00206986"/>
    <w:rsid w:val="002070CB"/>
    <w:rsid w:val="00212181"/>
    <w:rsid w:val="00226CBC"/>
    <w:rsid w:val="00236D1F"/>
    <w:rsid w:val="002537CB"/>
    <w:rsid w:val="002877CB"/>
    <w:rsid w:val="002968F2"/>
    <w:rsid w:val="002B5361"/>
    <w:rsid w:val="002E54A0"/>
    <w:rsid w:val="003073CD"/>
    <w:rsid w:val="00325E33"/>
    <w:rsid w:val="00326E55"/>
    <w:rsid w:val="00375C49"/>
    <w:rsid w:val="003B23B5"/>
    <w:rsid w:val="00407ADA"/>
    <w:rsid w:val="0045162D"/>
    <w:rsid w:val="004573AF"/>
    <w:rsid w:val="00461D67"/>
    <w:rsid w:val="004631B5"/>
    <w:rsid w:val="00481D67"/>
    <w:rsid w:val="004B55A2"/>
    <w:rsid w:val="004E31CD"/>
    <w:rsid w:val="004F2B01"/>
    <w:rsid w:val="00505310"/>
    <w:rsid w:val="0052032E"/>
    <w:rsid w:val="00567D6B"/>
    <w:rsid w:val="005C0FFC"/>
    <w:rsid w:val="005C3F71"/>
    <w:rsid w:val="005D0569"/>
    <w:rsid w:val="005D0E2A"/>
    <w:rsid w:val="005E0CD0"/>
    <w:rsid w:val="005E7235"/>
    <w:rsid w:val="006474E6"/>
    <w:rsid w:val="00660354"/>
    <w:rsid w:val="00665B9B"/>
    <w:rsid w:val="00672963"/>
    <w:rsid w:val="00674AFB"/>
    <w:rsid w:val="00695FD2"/>
    <w:rsid w:val="006E478F"/>
    <w:rsid w:val="006F1ECB"/>
    <w:rsid w:val="007025BE"/>
    <w:rsid w:val="00715209"/>
    <w:rsid w:val="00785C21"/>
    <w:rsid w:val="00787383"/>
    <w:rsid w:val="0079245A"/>
    <w:rsid w:val="007A5B7E"/>
    <w:rsid w:val="007D2485"/>
    <w:rsid w:val="007F0D64"/>
    <w:rsid w:val="008519AF"/>
    <w:rsid w:val="008911CF"/>
    <w:rsid w:val="008B75C2"/>
    <w:rsid w:val="0091399A"/>
    <w:rsid w:val="00924773"/>
    <w:rsid w:val="00965448"/>
    <w:rsid w:val="0096716A"/>
    <w:rsid w:val="009768C3"/>
    <w:rsid w:val="00993F53"/>
    <w:rsid w:val="009A62E2"/>
    <w:rsid w:val="009C3478"/>
    <w:rsid w:val="00A10ADB"/>
    <w:rsid w:val="00A468D5"/>
    <w:rsid w:val="00A57FF6"/>
    <w:rsid w:val="00A82FCC"/>
    <w:rsid w:val="00AD5B51"/>
    <w:rsid w:val="00B13C6C"/>
    <w:rsid w:val="00B23065"/>
    <w:rsid w:val="00B74B14"/>
    <w:rsid w:val="00B847B1"/>
    <w:rsid w:val="00BA435F"/>
    <w:rsid w:val="00BF0A84"/>
    <w:rsid w:val="00C006C6"/>
    <w:rsid w:val="00C03706"/>
    <w:rsid w:val="00C16BAF"/>
    <w:rsid w:val="00C218FF"/>
    <w:rsid w:val="00C231A5"/>
    <w:rsid w:val="00C42176"/>
    <w:rsid w:val="00C50BBF"/>
    <w:rsid w:val="00C770D3"/>
    <w:rsid w:val="00CE6B2B"/>
    <w:rsid w:val="00D04FFE"/>
    <w:rsid w:val="00D13945"/>
    <w:rsid w:val="00D2526F"/>
    <w:rsid w:val="00D44A74"/>
    <w:rsid w:val="00D45429"/>
    <w:rsid w:val="00D57E66"/>
    <w:rsid w:val="00D6495D"/>
    <w:rsid w:val="00D8756E"/>
    <w:rsid w:val="00D925F4"/>
    <w:rsid w:val="00DE72A5"/>
    <w:rsid w:val="00E01A50"/>
    <w:rsid w:val="00E363A9"/>
    <w:rsid w:val="00E90686"/>
    <w:rsid w:val="00E97344"/>
    <w:rsid w:val="00ED333C"/>
    <w:rsid w:val="00EF041A"/>
    <w:rsid w:val="00F24E2F"/>
    <w:rsid w:val="00F85DCD"/>
    <w:rsid w:val="00F9716A"/>
    <w:rsid w:val="00FA01B8"/>
    <w:rsid w:val="00FA2392"/>
    <w:rsid w:val="00FE20E8"/>
    <w:rsid w:val="00FE5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link w:val="00BodyTextChar"/>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DocumentMap">
    <w:name w:val="Document Map"/>
    <w:basedOn w:val="Normal"/>
    <w:link w:val="DocumentMapChar"/>
    <w:rsid w:val="00132C83"/>
    <w:rPr>
      <w:rFonts w:ascii="Lucida Grande" w:hAnsi="Lucida Grande" w:cs="Lucida Grande"/>
      <w:sz w:val="24"/>
      <w:szCs w:val="24"/>
    </w:rPr>
  </w:style>
  <w:style w:type="character" w:customStyle="1" w:styleId="DocumentMapChar">
    <w:name w:val="Document Map Char"/>
    <w:basedOn w:val="DefaultParagraphFont"/>
    <w:link w:val="DocumentMap"/>
    <w:rsid w:val="00132C83"/>
    <w:rPr>
      <w:rFonts w:ascii="Lucida Grande" w:hAnsi="Lucida Grande" w:cs="Lucida Grande"/>
      <w:sz w:val="24"/>
      <w:szCs w:val="24"/>
      <w:lang w:val="en-GB"/>
    </w:rPr>
  </w:style>
  <w:style w:type="paragraph" w:customStyle="1" w:styleId="11BodyText">
    <w:name w:val="11 BodyText"/>
    <w:basedOn w:val="Normal"/>
    <w:link w:val="11BodyTextChar"/>
    <w:rsid w:val="00132C83"/>
    <w:pPr>
      <w:spacing w:after="220"/>
      <w:ind w:left="1298"/>
      <w:jc w:val="both"/>
    </w:pPr>
    <w:rPr>
      <w:rFonts w:ascii="Verdana" w:hAnsi="Verdana"/>
      <w:sz w:val="24"/>
      <w:szCs w:val="24"/>
    </w:rPr>
  </w:style>
  <w:style w:type="character" w:customStyle="1" w:styleId="11BodyTextChar">
    <w:name w:val="11 BodyText Char"/>
    <w:link w:val="11BodyText"/>
    <w:rsid w:val="00132C83"/>
    <w:rPr>
      <w:rFonts w:ascii="Verdana" w:hAnsi="Verdana"/>
      <w:sz w:val="24"/>
      <w:szCs w:val="24"/>
      <w:lang w:val="en-GB"/>
    </w:rPr>
  </w:style>
  <w:style w:type="character" w:customStyle="1" w:styleId="00BodyTextChar">
    <w:name w:val="00 BodyText Char"/>
    <w:link w:val="00BodyText"/>
    <w:rsid w:val="00132C83"/>
    <w:rPr>
      <w:rFonts w:ascii="Arial" w:hAnsi="Arial"/>
      <w:sz w:val="22"/>
    </w:rPr>
  </w:style>
  <w:style w:type="character" w:styleId="FootnoteReference">
    <w:name w:val="footnote reference"/>
    <w:rsid w:val="00132C83"/>
    <w:rPr>
      <w:vertAlign w:val="superscript"/>
    </w:rPr>
  </w:style>
  <w:style w:type="paragraph" w:customStyle="1" w:styleId="MediumGrid1-Accent21">
    <w:name w:val="Medium Grid 1 - Accent 21"/>
    <w:basedOn w:val="Normal"/>
    <w:uiPriority w:val="34"/>
    <w:qFormat/>
    <w:rsid w:val="00132C83"/>
    <w:pPr>
      <w:ind w:left="720"/>
      <w:contextualSpacing/>
    </w:pPr>
    <w:rPr>
      <w:rFonts w:ascii="Verdana" w:hAnsi="Verdana"/>
      <w:sz w:val="24"/>
      <w:szCs w:val="24"/>
    </w:rPr>
  </w:style>
  <w:style w:type="paragraph" w:customStyle="1" w:styleId="TF">
    <w:name w:val="TF"/>
    <w:basedOn w:val="Normal"/>
    <w:rsid w:val="00132C83"/>
    <w:pPr>
      <w:keepLines/>
      <w:overflowPunct w:val="0"/>
      <w:autoSpaceDE w:val="0"/>
      <w:autoSpaceDN w:val="0"/>
      <w:adjustRightInd w:val="0"/>
      <w:spacing w:after="240"/>
      <w:jc w:val="center"/>
    </w:pPr>
    <w:rPr>
      <w:rFonts w:ascii="Arial" w:hAnsi="Arial"/>
      <w:b/>
      <w:sz w:val="24"/>
      <w:szCs w:val="24"/>
      <w:lang w:eastAsia="en-GB"/>
    </w:rPr>
  </w:style>
  <w:style w:type="paragraph" w:styleId="Title">
    <w:name w:val="Title"/>
    <w:basedOn w:val="Normal"/>
    <w:next w:val="Normal"/>
    <w:link w:val="TitleChar"/>
    <w:qFormat/>
    <w:rsid w:val="00132C8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32C83"/>
    <w:rPr>
      <w:rFonts w:ascii="Cambria" w:hAnsi="Cambria"/>
      <w:b/>
      <w:bCs/>
      <w:kern w:val="28"/>
      <w:sz w:val="32"/>
      <w:szCs w:val="32"/>
      <w:lang w:val="en-GB"/>
    </w:rPr>
  </w:style>
  <w:style w:type="paragraph" w:customStyle="1" w:styleId="TH">
    <w:name w:val="TH"/>
    <w:basedOn w:val="Normal"/>
    <w:rsid w:val="00132C83"/>
    <w:pPr>
      <w:keepNext/>
      <w:keepLines/>
      <w:overflowPunct w:val="0"/>
      <w:autoSpaceDE w:val="0"/>
      <w:autoSpaceDN w:val="0"/>
      <w:adjustRightInd w:val="0"/>
      <w:spacing w:before="60" w:after="180"/>
      <w:jc w:val="center"/>
      <w:textAlignment w:val="baseline"/>
    </w:pPr>
    <w:rPr>
      <w:rFonts w:ascii="Arial" w:hAnsi="Arial"/>
      <w:b/>
      <w:sz w:val="24"/>
      <w:szCs w:val="24"/>
      <w:lang w:eastAsia="en-GB"/>
    </w:rPr>
  </w:style>
  <w:style w:type="paragraph" w:styleId="ListParagraph">
    <w:name w:val="List Paragraph"/>
    <w:basedOn w:val="Normal"/>
    <w:uiPriority w:val="34"/>
    <w:qFormat/>
    <w:rsid w:val="002877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link w:val="00BodyTextChar"/>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paragraph" w:styleId="DocumentMap">
    <w:name w:val="Document Map"/>
    <w:basedOn w:val="Normal"/>
    <w:link w:val="DocumentMapChar"/>
    <w:rsid w:val="00132C83"/>
    <w:rPr>
      <w:rFonts w:ascii="Lucida Grande" w:hAnsi="Lucida Grande" w:cs="Lucida Grande"/>
      <w:sz w:val="24"/>
      <w:szCs w:val="24"/>
    </w:rPr>
  </w:style>
  <w:style w:type="character" w:customStyle="1" w:styleId="DocumentMapChar">
    <w:name w:val="Document Map Char"/>
    <w:basedOn w:val="DefaultParagraphFont"/>
    <w:link w:val="DocumentMap"/>
    <w:rsid w:val="00132C83"/>
    <w:rPr>
      <w:rFonts w:ascii="Lucida Grande" w:hAnsi="Lucida Grande" w:cs="Lucida Grande"/>
      <w:sz w:val="24"/>
      <w:szCs w:val="24"/>
      <w:lang w:val="en-GB"/>
    </w:rPr>
  </w:style>
  <w:style w:type="paragraph" w:customStyle="1" w:styleId="11BodyText">
    <w:name w:val="11 BodyText"/>
    <w:basedOn w:val="Normal"/>
    <w:link w:val="11BodyTextChar"/>
    <w:rsid w:val="00132C83"/>
    <w:pPr>
      <w:spacing w:after="220"/>
      <w:ind w:left="1298"/>
      <w:jc w:val="both"/>
    </w:pPr>
    <w:rPr>
      <w:rFonts w:ascii="Verdana" w:hAnsi="Verdana"/>
      <w:sz w:val="24"/>
      <w:szCs w:val="24"/>
    </w:rPr>
  </w:style>
  <w:style w:type="character" w:customStyle="1" w:styleId="11BodyTextChar">
    <w:name w:val="11 BodyText Char"/>
    <w:link w:val="11BodyText"/>
    <w:rsid w:val="00132C83"/>
    <w:rPr>
      <w:rFonts w:ascii="Verdana" w:hAnsi="Verdana"/>
      <w:sz w:val="24"/>
      <w:szCs w:val="24"/>
      <w:lang w:val="en-GB"/>
    </w:rPr>
  </w:style>
  <w:style w:type="character" w:customStyle="1" w:styleId="00BodyTextChar">
    <w:name w:val="00 BodyText Char"/>
    <w:link w:val="00BodyText"/>
    <w:rsid w:val="00132C83"/>
    <w:rPr>
      <w:rFonts w:ascii="Arial" w:hAnsi="Arial"/>
      <w:sz w:val="22"/>
    </w:rPr>
  </w:style>
  <w:style w:type="character" w:styleId="FootnoteReference">
    <w:name w:val="footnote reference"/>
    <w:rsid w:val="00132C83"/>
    <w:rPr>
      <w:vertAlign w:val="superscript"/>
    </w:rPr>
  </w:style>
  <w:style w:type="paragraph" w:customStyle="1" w:styleId="MediumGrid1-Accent21">
    <w:name w:val="Medium Grid 1 - Accent 21"/>
    <w:basedOn w:val="Normal"/>
    <w:uiPriority w:val="34"/>
    <w:qFormat/>
    <w:rsid w:val="00132C83"/>
    <w:pPr>
      <w:ind w:left="720"/>
      <w:contextualSpacing/>
    </w:pPr>
    <w:rPr>
      <w:rFonts w:ascii="Verdana" w:hAnsi="Verdana"/>
      <w:sz w:val="24"/>
      <w:szCs w:val="24"/>
    </w:rPr>
  </w:style>
  <w:style w:type="paragraph" w:customStyle="1" w:styleId="TF">
    <w:name w:val="TF"/>
    <w:basedOn w:val="Normal"/>
    <w:rsid w:val="00132C83"/>
    <w:pPr>
      <w:keepLines/>
      <w:overflowPunct w:val="0"/>
      <w:autoSpaceDE w:val="0"/>
      <w:autoSpaceDN w:val="0"/>
      <w:adjustRightInd w:val="0"/>
      <w:spacing w:after="240"/>
      <w:jc w:val="center"/>
    </w:pPr>
    <w:rPr>
      <w:rFonts w:ascii="Arial" w:hAnsi="Arial"/>
      <w:b/>
      <w:sz w:val="24"/>
      <w:szCs w:val="24"/>
      <w:lang w:eastAsia="en-GB"/>
    </w:rPr>
  </w:style>
  <w:style w:type="paragraph" w:styleId="Title">
    <w:name w:val="Title"/>
    <w:basedOn w:val="Normal"/>
    <w:next w:val="Normal"/>
    <w:link w:val="TitleChar"/>
    <w:qFormat/>
    <w:rsid w:val="00132C8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32C83"/>
    <w:rPr>
      <w:rFonts w:ascii="Cambria" w:hAnsi="Cambria"/>
      <w:b/>
      <w:bCs/>
      <w:kern w:val="28"/>
      <w:sz w:val="32"/>
      <w:szCs w:val="32"/>
      <w:lang w:val="en-GB"/>
    </w:rPr>
  </w:style>
  <w:style w:type="paragraph" w:customStyle="1" w:styleId="TH">
    <w:name w:val="TH"/>
    <w:basedOn w:val="Normal"/>
    <w:rsid w:val="00132C83"/>
    <w:pPr>
      <w:keepNext/>
      <w:keepLines/>
      <w:overflowPunct w:val="0"/>
      <w:autoSpaceDE w:val="0"/>
      <w:autoSpaceDN w:val="0"/>
      <w:adjustRightInd w:val="0"/>
      <w:spacing w:before="60" w:after="180"/>
      <w:jc w:val="center"/>
      <w:textAlignment w:val="baseline"/>
    </w:pPr>
    <w:rPr>
      <w:rFonts w:ascii="Arial" w:hAnsi="Arial"/>
      <w:b/>
      <w:sz w:val="24"/>
      <w:szCs w:val="24"/>
      <w:lang w:eastAsia="en-GB"/>
    </w:rPr>
  </w:style>
  <w:style w:type="paragraph" w:styleId="ListParagraph">
    <w:name w:val="List Paragraph"/>
    <w:basedOn w:val="Normal"/>
    <w:uiPriority w:val="34"/>
    <w:qFormat/>
    <w:rsid w:val="00287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C1-120437</vt:lpstr>
    </vt:vector>
  </TitlesOfParts>
  <Company>Renesas Mobile Europe Ltd</Company>
  <LinksUpToDate>false</LinksUpToDate>
  <CharactersWithSpaces>14165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C1-120437</dc:title>
  <dc:creator>Renesas Mobile Europe Ltd</dc:creator>
  <cp:lastModifiedBy>Niemi Marko</cp:lastModifiedBy>
  <cp:revision>3</cp:revision>
  <cp:lastPrinted>2001-04-23T09:30:00Z</cp:lastPrinted>
  <dcterms:created xsi:type="dcterms:W3CDTF">2012-01-30T13:40:00Z</dcterms:created>
  <dcterms:modified xsi:type="dcterms:W3CDTF">2012-01-30T13:49:00Z</dcterms:modified>
</cp:coreProperties>
</file>