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AF3721" w14:textId="39F3FE9E" w:rsidR="00F94650" w:rsidRDefault="00F94650" w:rsidP="00F9465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C1-242</w:t>
      </w:r>
      <w:r w:rsidR="007A1E8A">
        <w:rPr>
          <w:b/>
          <w:noProof/>
          <w:sz w:val="24"/>
        </w:rPr>
        <w:t>293</w:t>
      </w:r>
      <w:bookmarkStart w:id="1" w:name="_GoBack"/>
      <w:bookmarkEnd w:id="1"/>
    </w:p>
    <w:p w14:paraId="54E2E4DF" w14:textId="77777777" w:rsidR="00F94650" w:rsidRDefault="00F94650" w:rsidP="00F94650">
      <w:pPr>
        <w:pStyle w:val="CRCoverPage"/>
        <w:outlineLvl w:val="0"/>
        <w:rPr>
          <w:b/>
          <w:noProof/>
          <w:sz w:val="24"/>
        </w:rPr>
      </w:pPr>
      <w:r>
        <w:rPr>
          <w:b/>
          <w:noProof/>
          <w:sz w:val="24"/>
        </w:rPr>
        <w:t>Changsha, China, 15 -19 April 2024</w:t>
      </w:r>
    </w:p>
    <w:bookmarkEnd w:id="0"/>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CAAA9E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14411">
        <w:rPr>
          <w:rFonts w:ascii="Arial" w:hAnsi="Arial" w:cs="Arial"/>
          <w:b/>
          <w:bCs/>
          <w:lang w:val="en-US"/>
        </w:rPr>
        <w:t>Google Inc.</w:t>
      </w:r>
    </w:p>
    <w:p w14:paraId="18BE02D5" w14:textId="3CEDB15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14411">
        <w:rPr>
          <w:rFonts w:ascii="Arial" w:hAnsi="Arial" w:cs="Arial"/>
          <w:b/>
          <w:bCs/>
          <w:lang w:val="en-US"/>
        </w:rPr>
        <w:t>Discussion on handling of the UE not allowed to use satellite network</w:t>
      </w:r>
    </w:p>
    <w:p w14:paraId="4ED68054" w14:textId="335F305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A7A42">
        <w:rPr>
          <w:rFonts w:ascii="Arial" w:hAnsi="Arial" w:cs="Arial"/>
          <w:b/>
          <w:bCs/>
          <w:lang w:val="en-US"/>
        </w:rPr>
        <w:t>18.2.32</w:t>
      </w:r>
    </w:p>
    <w:p w14:paraId="16060915" w14:textId="27FEBA1A" w:rsidR="00CD2478" w:rsidRPr="006B5418" w:rsidRDefault="00514411"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4EA823DD" w:rsidR="001E41F3" w:rsidRPr="006B5418" w:rsidRDefault="00CD2478" w:rsidP="00CD2478">
      <w:pPr>
        <w:pStyle w:val="CRCoverPage"/>
        <w:rPr>
          <w:b/>
          <w:lang w:val="en-US"/>
        </w:rPr>
      </w:pPr>
      <w:r w:rsidRPr="006B5418">
        <w:rPr>
          <w:b/>
          <w:lang w:val="en-US"/>
        </w:rPr>
        <w:t>1. Introduction</w:t>
      </w:r>
    </w:p>
    <w:p w14:paraId="1416EACB" w14:textId="300D7CBB" w:rsidR="006F6CCA" w:rsidRPr="006F6CCA" w:rsidRDefault="006F6CCA" w:rsidP="008F15DC">
      <w:r>
        <w:rPr>
          <w:lang w:val="en-US"/>
        </w:rPr>
        <w:t xml:space="preserve">CT1 has discussed the issue of introducing new 5GMM cause code for the UE not allowed to use satellite access for several meetings. </w:t>
      </w:r>
      <w:r w:rsidR="008F15DC">
        <w:rPr>
          <w:lang w:val="en-US"/>
        </w:rPr>
        <w:t xml:space="preserve">CT1 has already received a guidance from SA1 that the operator is able to restrict a RAT within its PLMN, but failed to reach any consensus during CT1#148 meeting in February 2024. </w:t>
      </w:r>
    </w:p>
    <w:p w14:paraId="0BFDAA88" w14:textId="6A500BAC" w:rsidR="008F15DC" w:rsidRDefault="006F6CCA" w:rsidP="00CD2478">
      <w:pPr>
        <w:rPr>
          <w:lang w:val="en-US"/>
        </w:rPr>
      </w:pPr>
      <w:r>
        <w:rPr>
          <w:lang w:val="en-US"/>
        </w:rPr>
        <w:t xml:space="preserve">In this paper, </w:t>
      </w:r>
      <w:r w:rsidR="008F15DC">
        <w:rPr>
          <w:lang w:val="en-US"/>
        </w:rPr>
        <w:t xml:space="preserve">the author would like to </w:t>
      </w:r>
      <w:r>
        <w:rPr>
          <w:lang w:val="en-US"/>
        </w:rPr>
        <w:t xml:space="preserve">provide </w:t>
      </w:r>
      <w:r w:rsidR="008F15DC">
        <w:rPr>
          <w:lang w:val="en-US"/>
        </w:rPr>
        <w:t>some explanations on the issue, and propose multiple way forwards including a new alternative solution which can be considered as a compromised solution.</w:t>
      </w:r>
    </w:p>
    <w:p w14:paraId="4B17D139" w14:textId="1117B10C" w:rsidR="00CD2478" w:rsidRDefault="00CD2478" w:rsidP="00CD2478">
      <w:pPr>
        <w:pStyle w:val="CRCoverPage"/>
        <w:rPr>
          <w:b/>
          <w:lang w:val="en-US"/>
        </w:rPr>
      </w:pPr>
      <w:r w:rsidRPr="006B5418">
        <w:rPr>
          <w:b/>
          <w:lang w:val="en-US"/>
        </w:rPr>
        <w:t xml:space="preserve">2. </w:t>
      </w:r>
      <w:r w:rsidR="00055F0D">
        <w:rPr>
          <w:b/>
          <w:lang w:val="en-US"/>
        </w:rPr>
        <w:t>Discussion</w:t>
      </w:r>
    </w:p>
    <w:p w14:paraId="5323544A" w14:textId="259E8878" w:rsidR="008F15DC" w:rsidRDefault="008F15DC" w:rsidP="00CD2478">
      <w:pPr>
        <w:rPr>
          <w:b/>
          <w:lang w:val="en-US"/>
        </w:rPr>
      </w:pPr>
      <w:r>
        <w:rPr>
          <w:b/>
          <w:lang w:val="en-US"/>
        </w:rPr>
        <w:t xml:space="preserve">2.1. </w:t>
      </w:r>
      <w:r w:rsidRPr="008F15DC">
        <w:rPr>
          <w:b/>
          <w:lang w:val="en-US"/>
        </w:rPr>
        <w:t>The difference between the existing cause #15 and the problem scenario</w:t>
      </w:r>
    </w:p>
    <w:p w14:paraId="14BB7DE8" w14:textId="6BDF88D6" w:rsidR="004F3965" w:rsidRDefault="004F3965" w:rsidP="004F3965">
      <w:pPr>
        <w:rPr>
          <w:lang w:val="en-US"/>
        </w:rPr>
      </w:pPr>
      <w:r>
        <w:rPr>
          <w:lang w:val="en-US"/>
        </w:rPr>
        <w:t xml:space="preserve">During the online discussions and the offline discussions, </w:t>
      </w:r>
      <w:r>
        <w:rPr>
          <w:lang w:val="en-US"/>
        </w:rPr>
        <w:t>it has been questioned whether the existing cause #15 can be used for the scenario mentioned for new cause code.</w:t>
      </w:r>
    </w:p>
    <w:p w14:paraId="23348F55" w14:textId="3B2FB2C0" w:rsidR="008F15DC" w:rsidRDefault="008F15DC" w:rsidP="00CD2478">
      <w:pPr>
        <w:rPr>
          <w:lang w:val="en-US"/>
        </w:rPr>
      </w:pPr>
      <w:r>
        <w:rPr>
          <w:noProof/>
          <w:lang w:val="en-US" w:eastAsia="ko-KR"/>
        </w:rPr>
        <w:drawing>
          <wp:inline distT="0" distB="0" distL="0" distR="0" wp14:anchorId="6C671E8E" wp14:editId="00FFC032">
            <wp:extent cx="5747827" cy="2694975"/>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70618" cy="2705661"/>
                    </a:xfrm>
                    <a:prstGeom prst="rect">
                      <a:avLst/>
                    </a:prstGeom>
                    <a:noFill/>
                  </pic:spPr>
                </pic:pic>
              </a:graphicData>
            </a:graphic>
          </wp:inline>
        </w:drawing>
      </w:r>
    </w:p>
    <w:p w14:paraId="62433E90" w14:textId="77777777" w:rsidR="005E03C2" w:rsidRDefault="008F15DC" w:rsidP="008F15DC">
      <w:pPr>
        <w:rPr>
          <w:noProof/>
          <w:lang w:eastAsia="zh-CN"/>
        </w:rPr>
      </w:pPr>
      <w:r>
        <w:rPr>
          <w:lang w:val="en-US"/>
        </w:rPr>
        <w:t xml:space="preserve">As we have explained, the existing cause code #15 </w:t>
      </w:r>
      <w:r>
        <w:rPr>
          <w:noProof/>
          <w:lang w:eastAsia="zh-CN"/>
        </w:rPr>
        <w:t xml:space="preserve">might be able to used for certain cases, e.g. when the number of TA of satellite cells is limited in a PLMN. But there can be a scenario where the network operator deploys the satellite all over its coverage, i.e. full coverage, and want to control the access from the UE based on the subscription or for inbound roamers. </w:t>
      </w:r>
      <w:r w:rsidR="005E03C2">
        <w:rPr>
          <w:noProof/>
          <w:lang w:eastAsia="zh-CN"/>
        </w:rPr>
        <w:t>For example, a</w:t>
      </w:r>
      <w:r>
        <w:rPr>
          <w:noProof/>
          <w:lang w:eastAsia="zh-CN"/>
        </w:rPr>
        <w:t xml:space="preserve">s mentioned in a discussion paper from Vodafone in C1-240959 [1], there is a </w:t>
      </w:r>
      <w:r w:rsidR="005E03C2">
        <w:rPr>
          <w:noProof/>
          <w:lang w:eastAsia="zh-CN"/>
        </w:rPr>
        <w:t>scenario considerred valid by</w:t>
      </w:r>
      <w:r>
        <w:rPr>
          <w:noProof/>
          <w:lang w:eastAsia="zh-CN"/>
        </w:rPr>
        <w:t xml:space="preserve"> an operator of applying diffrentiated access to specific RAT(s) for inbound roamers. </w:t>
      </w:r>
    </w:p>
    <w:p w14:paraId="10C052CD" w14:textId="27831627" w:rsidR="005E03C2" w:rsidRDefault="005E03C2" w:rsidP="008F15DC">
      <w:pPr>
        <w:rPr>
          <w:noProof/>
          <w:lang w:eastAsia="zh-CN"/>
        </w:rPr>
      </w:pPr>
      <w:r>
        <w:rPr>
          <w:noProof/>
          <w:lang w:eastAsia="zh-CN"/>
        </w:rPr>
        <w:t xml:space="preserve">Here is a scenario.A UE may be rejected with #15 due to the subscription or the operator’s policy, and the UE is prohibited from accessing those NTN cells in the TA1. When the UE moves to the other TA, whether or not the new TA is for NTN, the UE can try to access to PLMN via a cell in the new TA. </w:t>
      </w:r>
      <w:r>
        <w:rPr>
          <w:noProof/>
          <w:lang w:eastAsia="zh-CN"/>
        </w:rPr>
        <w:t>If the number of TA of satellite cells is limited,</w:t>
      </w:r>
      <w:r>
        <w:rPr>
          <w:noProof/>
          <w:lang w:eastAsia="zh-CN"/>
        </w:rPr>
        <w:t xml:space="preserve"> it would be fine for both the UE and the network since the (undesired) reattempt might be not so frequent. But in case where </w:t>
      </w:r>
      <w:r>
        <w:rPr>
          <w:noProof/>
          <w:lang w:eastAsia="zh-CN"/>
        </w:rPr>
        <w:t xml:space="preserve">the number of </w:t>
      </w:r>
      <w:r>
        <w:rPr>
          <w:noProof/>
          <w:lang w:eastAsia="zh-CN"/>
        </w:rPr>
        <w:t>TA of satellite cells is large, or even when the satellite coverage is for the whole PLMN? Even though the UE is rejected for the TA1 of NTN cells, when the UE leaves the TA1 and enters a new TA2 of NTN cells, the UE will try again without any limitations and will be rejected again. This will happen whenever the UE changes the TA.</w:t>
      </w:r>
    </w:p>
    <w:p w14:paraId="6AF5AF8E" w14:textId="447E2316" w:rsidR="005E03C2" w:rsidRDefault="005E03C2" w:rsidP="008F15DC">
      <w:pPr>
        <w:rPr>
          <w:noProof/>
          <w:lang w:eastAsia="zh-CN"/>
        </w:rPr>
      </w:pPr>
      <w:r>
        <w:rPr>
          <w:noProof/>
          <w:lang w:eastAsia="zh-CN"/>
        </w:rPr>
        <w:lastRenderedPageBreak/>
        <w:t xml:space="preserve">So what is supported by the existing cause code is that the network can reject the UE </w:t>
      </w:r>
      <w:r w:rsidRPr="005E03C2">
        <w:rPr>
          <w:b/>
          <w:noProof/>
          <w:u w:val="single"/>
          <w:lang w:eastAsia="zh-CN"/>
        </w:rPr>
        <w:t>for limited geographical area of its PLMN (</w:t>
      </w:r>
      <w:r>
        <w:rPr>
          <w:noProof/>
          <w:lang w:eastAsia="zh-CN"/>
        </w:rPr>
        <w:t xml:space="preserve">and </w:t>
      </w:r>
      <w:r w:rsidRPr="005E03C2">
        <w:rPr>
          <w:b/>
          <w:noProof/>
          <w:u w:val="single"/>
          <w:lang w:eastAsia="zh-CN"/>
        </w:rPr>
        <w:t>for a certain access type</w:t>
      </w:r>
      <w:r>
        <w:rPr>
          <w:noProof/>
          <w:lang w:eastAsia="zh-CN"/>
        </w:rPr>
        <w:t xml:space="preserve"> if a TA contains either NTN cells or TN cells). What is missing in the current specification is that </w:t>
      </w:r>
      <w:r>
        <w:rPr>
          <w:noProof/>
          <w:lang w:eastAsia="zh-CN"/>
        </w:rPr>
        <w:t xml:space="preserve">the network can reject the UE </w:t>
      </w:r>
      <w:r w:rsidRPr="005E03C2">
        <w:rPr>
          <w:b/>
          <w:noProof/>
          <w:u w:val="single"/>
          <w:lang w:eastAsia="zh-CN"/>
        </w:rPr>
        <w:t xml:space="preserve">for </w:t>
      </w:r>
      <w:r w:rsidRPr="005E03C2">
        <w:rPr>
          <w:b/>
          <w:noProof/>
          <w:u w:val="single"/>
          <w:lang w:eastAsia="zh-CN"/>
        </w:rPr>
        <w:t>entire area of its PLMN</w:t>
      </w:r>
      <w:r>
        <w:rPr>
          <w:noProof/>
          <w:lang w:eastAsia="zh-CN"/>
        </w:rPr>
        <w:t xml:space="preserve">, </w:t>
      </w:r>
      <w:r>
        <w:rPr>
          <w:noProof/>
          <w:lang w:eastAsia="zh-CN"/>
        </w:rPr>
        <w:t xml:space="preserve">and </w:t>
      </w:r>
      <w:r w:rsidRPr="005E03C2">
        <w:rPr>
          <w:b/>
          <w:noProof/>
          <w:u w:val="single"/>
          <w:lang w:eastAsia="zh-CN"/>
        </w:rPr>
        <w:t xml:space="preserve">for a certain access </w:t>
      </w:r>
      <w:r w:rsidRPr="005E03C2">
        <w:rPr>
          <w:b/>
          <w:noProof/>
          <w:u w:val="single"/>
          <w:lang w:eastAsia="zh-CN"/>
        </w:rPr>
        <w:t>type</w:t>
      </w:r>
      <w:r>
        <w:rPr>
          <w:noProof/>
          <w:lang w:eastAsia="zh-CN"/>
        </w:rPr>
        <w:t>.</w:t>
      </w:r>
    </w:p>
    <w:p w14:paraId="32C7B8F4" w14:textId="26EAD909" w:rsidR="005E03C2" w:rsidRDefault="005E03C2" w:rsidP="008F15DC">
      <w:pPr>
        <w:rPr>
          <w:noProof/>
          <w:lang w:eastAsia="zh-CN"/>
        </w:rPr>
      </w:pPr>
    </w:p>
    <w:p w14:paraId="1A94FCF3" w14:textId="3D2832E6" w:rsidR="006941B0" w:rsidRPr="004F3965" w:rsidRDefault="006941B0" w:rsidP="008F15DC">
      <w:pPr>
        <w:rPr>
          <w:b/>
          <w:noProof/>
          <w:lang w:eastAsia="zh-CN"/>
        </w:rPr>
      </w:pPr>
      <w:r w:rsidRPr="004F3965">
        <w:rPr>
          <w:b/>
          <w:noProof/>
          <w:lang w:eastAsia="zh-CN"/>
        </w:rPr>
        <w:t xml:space="preserve">2.2. </w:t>
      </w:r>
      <w:r w:rsidR="004F3965" w:rsidRPr="004F3965">
        <w:rPr>
          <w:b/>
          <w:noProof/>
          <w:lang w:eastAsia="zh-CN"/>
        </w:rPr>
        <w:t>Alternative way forward for extending 5GMM cause #15</w:t>
      </w:r>
    </w:p>
    <w:p w14:paraId="11E796B2" w14:textId="761D4E2B" w:rsidR="006941B0" w:rsidRDefault="004F3965" w:rsidP="008F15DC">
      <w:pPr>
        <w:rPr>
          <w:noProof/>
          <w:lang w:eastAsia="zh-CN"/>
        </w:rPr>
      </w:pPr>
      <w:r>
        <w:rPr>
          <w:noProof/>
          <w:lang w:eastAsia="zh-CN"/>
        </w:rPr>
        <w:t>In the EPS, EMM cause code #15 can be used in conjunction with an additional IE called “Extended EMM cause IE” in order to disable a specific RAT or mode in NAS. TS 24.301 specified the relevant behavior on EMM cause code #15 as follows:</w:t>
      </w:r>
    </w:p>
    <w:tbl>
      <w:tblPr>
        <w:tblStyle w:val="TableGrid"/>
        <w:tblW w:w="0" w:type="auto"/>
        <w:tblLook w:val="04A0" w:firstRow="1" w:lastRow="0" w:firstColumn="1" w:lastColumn="0" w:noHBand="0" w:noVBand="1"/>
      </w:tblPr>
      <w:tblGrid>
        <w:gridCol w:w="9629"/>
      </w:tblGrid>
      <w:tr w:rsidR="004F3965" w14:paraId="3CAF28B5" w14:textId="77777777" w:rsidTr="004F3965">
        <w:tc>
          <w:tcPr>
            <w:tcW w:w="9629" w:type="dxa"/>
          </w:tcPr>
          <w:p w14:paraId="28A77B8A" w14:textId="20420FC3" w:rsidR="004F3965" w:rsidRDefault="004F3965" w:rsidP="008F15DC">
            <w:pPr>
              <w:rPr>
                <w:noProof/>
                <w:lang w:eastAsia="zh-CN"/>
              </w:rPr>
            </w:pPr>
            <w:r>
              <w:rPr>
                <w:noProof/>
                <w:lang w:eastAsia="zh-CN"/>
              </w:rPr>
              <w:t>TS 24.301 v18.6.0, subclause 5.5.1.2.5 (</w:t>
            </w:r>
            <w:r w:rsidRPr="004F3965">
              <w:rPr>
                <w:noProof/>
                <w:lang w:eastAsia="zh-CN"/>
              </w:rPr>
              <w:t>Attach not accepted by the network</w:t>
            </w:r>
            <w:r>
              <w:rPr>
                <w:noProof/>
                <w:lang w:eastAsia="zh-CN"/>
              </w:rPr>
              <w:t>)</w:t>
            </w:r>
          </w:p>
          <w:p w14:paraId="039FB5FB" w14:textId="77777777" w:rsidR="004F3965" w:rsidRDefault="004F3965" w:rsidP="004F3965">
            <w:pPr>
              <w:pStyle w:val="B1"/>
              <w:rPr>
                <w:lang w:eastAsia="en-GB"/>
              </w:rPr>
            </w:pPr>
            <w:r>
              <w:t>#15</w:t>
            </w:r>
            <w:r>
              <w:tab/>
              <w:t>(No suitable cells in tracking area);</w:t>
            </w:r>
          </w:p>
          <w:p w14:paraId="42E2B495" w14:textId="65FAE949" w:rsidR="004F3965" w:rsidRDefault="004F3965" w:rsidP="004F3965">
            <w:pPr>
              <w:pStyle w:val="B1"/>
            </w:pPr>
            <w:r>
              <w:t xml:space="preserve">(…) </w:t>
            </w:r>
            <w:r>
              <w:t>Additionally, the UE shall enter the state EMM-DEREGISTERED.LIMITED-SERVICE and:</w:t>
            </w:r>
          </w:p>
          <w:p w14:paraId="0E367EA4" w14:textId="77777777" w:rsidR="004F3965" w:rsidRDefault="004F3965" w:rsidP="004F3965">
            <w:pPr>
              <w:pStyle w:val="B2"/>
            </w:pPr>
            <w:r>
              <w:rPr>
                <w:lang w:eastAsia="ja-JP"/>
              </w:rPr>
              <w:t>-</w:t>
            </w:r>
            <w:r>
              <w:rPr>
                <w:lang w:eastAsia="ja-JP"/>
              </w:rPr>
              <w:tab/>
              <w:t xml:space="preserve">if the UE is in WB-S1 mode and </w:t>
            </w:r>
            <w:r w:rsidRPr="004F3965">
              <w:rPr>
                <w:b/>
                <w:lang w:eastAsia="ja-JP"/>
              </w:rPr>
              <w:t xml:space="preserve">the Extended EMM cause IE with value "E-UTRAN not allowed" is </w:t>
            </w:r>
            <w:r>
              <w:rPr>
                <w:lang w:eastAsia="ja-JP"/>
              </w:rPr>
              <w:t>included in the ATTACH REJECT message, the UE supports "E-UTRA Disabling for EMM cause #15", and the "E-UTRA Disabling Allowed for EMM cause #15" parameter as specified in 3GPP TS 24.368 [15A] or 3GPP TS 31.102 [17] is present and set to enabled; then t</w:t>
            </w:r>
            <w:r>
              <w:t xml:space="preserve">he UE shall disable the E-UTRA capability as specified in clause 4.5 and search for a suitable cell in </w:t>
            </w:r>
            <w:r>
              <w:rPr>
                <w:lang w:eastAsia="ko-KR"/>
              </w:rPr>
              <w:t>GERAN, UTRAN or NG-RAN radio access technology</w:t>
            </w:r>
            <w:r>
              <w:t>;</w:t>
            </w:r>
          </w:p>
          <w:p w14:paraId="5BA50A21" w14:textId="77777777" w:rsidR="004F3965" w:rsidRDefault="004F3965" w:rsidP="004F3965">
            <w:pPr>
              <w:pStyle w:val="B2"/>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w:t>
            </w:r>
            <w:r w:rsidRPr="004F3965">
              <w:rPr>
                <w:b/>
                <w:lang w:eastAsia="ja-JP"/>
              </w:rPr>
              <w:t>the Extended EMM cause IE with value "</w:t>
            </w:r>
            <w:r w:rsidRPr="004F3965">
              <w:rPr>
                <w:b/>
                <w:lang w:eastAsia="zh-CN"/>
              </w:rPr>
              <w:t>NB-IoT</w:t>
            </w:r>
            <w:r w:rsidRPr="004F3965">
              <w:rPr>
                <w:b/>
                <w:lang w:eastAsia="ja-JP"/>
              </w:rPr>
              <w:t xml:space="preserve"> not allowed"</w:t>
            </w:r>
            <w:r>
              <w:rPr>
                <w:lang w:eastAsia="ja-JP"/>
              </w:rPr>
              <w:t xml:space="preserve"> is included in the ATTACH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radio access technology</w:t>
            </w:r>
            <w:r>
              <w:t>;</w:t>
            </w:r>
          </w:p>
          <w:p w14:paraId="5CC996E8" w14:textId="2344FCA3" w:rsidR="004F3965" w:rsidRDefault="004F3965" w:rsidP="004F3965">
            <w:pPr>
              <w:pStyle w:val="B2"/>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tc>
      </w:tr>
    </w:tbl>
    <w:p w14:paraId="5D4CB47E" w14:textId="77777777" w:rsidR="004F3965" w:rsidRDefault="004F3965" w:rsidP="008F15DC">
      <w:pPr>
        <w:rPr>
          <w:noProof/>
          <w:lang w:eastAsia="zh-CN"/>
        </w:rPr>
      </w:pPr>
    </w:p>
    <w:p w14:paraId="042B4AE0" w14:textId="263E5AD2" w:rsidR="004F3965" w:rsidRDefault="004F3965" w:rsidP="008F15DC">
      <w:pPr>
        <w:rPr>
          <w:noProof/>
          <w:lang w:eastAsia="zh-CN"/>
        </w:rPr>
      </w:pPr>
      <w:r>
        <w:rPr>
          <w:noProof/>
          <w:lang w:eastAsia="zh-CN"/>
        </w:rPr>
        <w:t>Since the result that the new cause code tried to achieve could be similar to those cases of “disabling E-UTRA/NT-IoT”, using similar concept for the satellite case might help to reach a consensus in CT1.</w:t>
      </w:r>
    </w:p>
    <w:p w14:paraId="412EE149" w14:textId="6BAE3F68" w:rsidR="004F3965" w:rsidRDefault="004F3965" w:rsidP="008F15DC">
      <w:pPr>
        <w:rPr>
          <w:noProof/>
          <w:lang w:eastAsia="zh-CN"/>
        </w:rPr>
      </w:pPr>
      <w:r>
        <w:rPr>
          <w:noProof/>
          <w:lang w:eastAsia="zh-CN"/>
        </w:rPr>
        <w:t xml:space="preserve">It is not clear whether the UE capability and USIM file needs to be updated similar to the </w:t>
      </w:r>
      <w:r w:rsidR="00580F05">
        <w:rPr>
          <w:noProof/>
          <w:lang w:eastAsia="zh-CN"/>
        </w:rPr>
        <w:t>Extended EMM cause cases. But if the group can agree on utilizing additional IE in conjuction with 5GMM cause code #15, then we can further discuss on those aspects as well.</w:t>
      </w:r>
    </w:p>
    <w:p w14:paraId="020E4C10" w14:textId="77777777" w:rsidR="0093366E" w:rsidRPr="006604A5" w:rsidRDefault="0093366E" w:rsidP="00CD2478">
      <w:pPr>
        <w:pStyle w:val="CRCoverPage"/>
        <w:rPr>
          <w:b/>
        </w:rPr>
      </w:pPr>
    </w:p>
    <w:p w14:paraId="19CD6D61" w14:textId="57B6F5CB" w:rsidR="00CD2478" w:rsidRPr="006B5418" w:rsidRDefault="00CD2478" w:rsidP="00CD2478">
      <w:pPr>
        <w:pStyle w:val="CRCoverPage"/>
        <w:rPr>
          <w:b/>
          <w:lang w:val="en-US"/>
        </w:rPr>
      </w:pPr>
      <w:r w:rsidRPr="006B5418">
        <w:rPr>
          <w:b/>
          <w:lang w:val="en-US"/>
        </w:rPr>
        <w:t>3. Conclusions</w:t>
      </w:r>
    </w:p>
    <w:p w14:paraId="78E9D184" w14:textId="6E7DEF1D" w:rsidR="00CD2478" w:rsidRDefault="006604A5" w:rsidP="00CD2478">
      <w:pPr>
        <w:rPr>
          <w:lang w:val="en-US"/>
        </w:rPr>
      </w:pPr>
      <w:r>
        <w:rPr>
          <w:lang w:val="en-US"/>
        </w:rPr>
        <w:t>In this paper, we showed scenarios where the existing cause code cannot fully resolve the issue for the non-allowed satellite access attempts.</w:t>
      </w:r>
      <w:r w:rsidR="00580F05">
        <w:rPr>
          <w:lang w:val="en-US"/>
        </w:rPr>
        <w:t xml:space="preserve"> Also based on the observation on the usage of the Extended EMM cause IE for the EPS, an alternative solution proposing to introduce “Extended 5GMM cause IE” was suggested.</w:t>
      </w:r>
    </w:p>
    <w:p w14:paraId="55B10056" w14:textId="1B76EAAE" w:rsidR="00580F05" w:rsidRDefault="0093366E" w:rsidP="00CD2478">
      <w:r>
        <w:t xml:space="preserve">The change proposals against TS 24.501 is </w:t>
      </w:r>
      <w:r w:rsidR="002972C0">
        <w:t>submitted under C1-24</w:t>
      </w:r>
      <w:r w:rsidR="00580F05">
        <w:t xml:space="preserve">2295 and C1-242297, where C1-242295 covers the proposal for new cause code while C1-242297 covers an alternative solution reusing 5GMM cause #15 with </w:t>
      </w:r>
      <w:r w:rsidR="00580F05">
        <w:br/>
        <w:t>extended 5GMM cause IE”.</w:t>
      </w:r>
    </w:p>
    <w:sectPr w:rsidR="00580F05">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C9D331" w14:textId="77777777" w:rsidR="003E0C03" w:rsidRDefault="003E0C03">
      <w:r>
        <w:separator/>
      </w:r>
    </w:p>
  </w:endnote>
  <w:endnote w:type="continuationSeparator" w:id="0">
    <w:p w14:paraId="5EFBB3FF" w14:textId="77777777" w:rsidR="003E0C03" w:rsidRDefault="003E0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B9285" w14:textId="77777777" w:rsidR="003E0C03" w:rsidRDefault="003E0C03">
      <w:r>
        <w:separator/>
      </w:r>
    </w:p>
  </w:footnote>
  <w:footnote w:type="continuationSeparator" w:id="0">
    <w:p w14:paraId="07165DA0" w14:textId="77777777" w:rsidR="003E0C03" w:rsidRDefault="003E0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2FA7" w14:textId="77777777" w:rsidR="00A9104D" w:rsidRDefault="00A9104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47AB3"/>
    <w:rsid w:val="00055F0D"/>
    <w:rsid w:val="00062124"/>
    <w:rsid w:val="00066856"/>
    <w:rsid w:val="00070F86"/>
    <w:rsid w:val="00072AAF"/>
    <w:rsid w:val="00072DD2"/>
    <w:rsid w:val="00094B88"/>
    <w:rsid w:val="000B1216"/>
    <w:rsid w:val="000B14A6"/>
    <w:rsid w:val="000C6598"/>
    <w:rsid w:val="000D21C2"/>
    <w:rsid w:val="000D759A"/>
    <w:rsid w:val="000F2C43"/>
    <w:rsid w:val="00116BDF"/>
    <w:rsid w:val="00130F69"/>
    <w:rsid w:val="0013241F"/>
    <w:rsid w:val="00142F65"/>
    <w:rsid w:val="00143552"/>
    <w:rsid w:val="00182401"/>
    <w:rsid w:val="00183134"/>
    <w:rsid w:val="00191E6B"/>
    <w:rsid w:val="001B5C2B"/>
    <w:rsid w:val="001B77E2"/>
    <w:rsid w:val="001C146A"/>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972C0"/>
    <w:rsid w:val="002A6BBA"/>
    <w:rsid w:val="002B1A87"/>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A7A42"/>
    <w:rsid w:val="003B2CE5"/>
    <w:rsid w:val="003B79F5"/>
    <w:rsid w:val="003E0C03"/>
    <w:rsid w:val="003E29EF"/>
    <w:rsid w:val="00401225"/>
    <w:rsid w:val="00411094"/>
    <w:rsid w:val="00413493"/>
    <w:rsid w:val="00435765"/>
    <w:rsid w:val="00435799"/>
    <w:rsid w:val="00436BAB"/>
    <w:rsid w:val="00440825"/>
    <w:rsid w:val="00443403"/>
    <w:rsid w:val="00497F14"/>
    <w:rsid w:val="004A4BEC"/>
    <w:rsid w:val="004B45A4"/>
    <w:rsid w:val="004C1E90"/>
    <w:rsid w:val="004D077E"/>
    <w:rsid w:val="004E6D59"/>
    <w:rsid w:val="004F3965"/>
    <w:rsid w:val="0050780D"/>
    <w:rsid w:val="00511527"/>
    <w:rsid w:val="0051277C"/>
    <w:rsid w:val="00514411"/>
    <w:rsid w:val="005275CB"/>
    <w:rsid w:val="0054453D"/>
    <w:rsid w:val="005651FD"/>
    <w:rsid w:val="00580F05"/>
    <w:rsid w:val="005900B8"/>
    <w:rsid w:val="00592829"/>
    <w:rsid w:val="0059653F"/>
    <w:rsid w:val="00597BF4"/>
    <w:rsid w:val="005A6150"/>
    <w:rsid w:val="005A634D"/>
    <w:rsid w:val="005B25F0"/>
    <w:rsid w:val="005C11F0"/>
    <w:rsid w:val="005D7121"/>
    <w:rsid w:val="005E03C2"/>
    <w:rsid w:val="005E2C44"/>
    <w:rsid w:val="0060287A"/>
    <w:rsid w:val="00603817"/>
    <w:rsid w:val="00606094"/>
    <w:rsid w:val="0061048B"/>
    <w:rsid w:val="00643317"/>
    <w:rsid w:val="006604A5"/>
    <w:rsid w:val="00661116"/>
    <w:rsid w:val="006941B0"/>
    <w:rsid w:val="006B5418"/>
    <w:rsid w:val="006E21FB"/>
    <w:rsid w:val="006E292A"/>
    <w:rsid w:val="006F6CCA"/>
    <w:rsid w:val="00710497"/>
    <w:rsid w:val="00712563"/>
    <w:rsid w:val="00714B2E"/>
    <w:rsid w:val="00727AC1"/>
    <w:rsid w:val="007305EC"/>
    <w:rsid w:val="0074184E"/>
    <w:rsid w:val="007439B9"/>
    <w:rsid w:val="007760E6"/>
    <w:rsid w:val="007938F2"/>
    <w:rsid w:val="007A1E8A"/>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3DE0"/>
    <w:rsid w:val="00875CCA"/>
    <w:rsid w:val="00883B6F"/>
    <w:rsid w:val="008902BC"/>
    <w:rsid w:val="008A0451"/>
    <w:rsid w:val="008A3B86"/>
    <w:rsid w:val="008A5E86"/>
    <w:rsid w:val="008A5F08"/>
    <w:rsid w:val="008B72B0"/>
    <w:rsid w:val="008D357F"/>
    <w:rsid w:val="008E4502"/>
    <w:rsid w:val="008E4659"/>
    <w:rsid w:val="008E7FB6"/>
    <w:rsid w:val="008F15DC"/>
    <w:rsid w:val="008F686C"/>
    <w:rsid w:val="00915A10"/>
    <w:rsid w:val="00917C15"/>
    <w:rsid w:val="00920903"/>
    <w:rsid w:val="0093366E"/>
    <w:rsid w:val="0093578B"/>
    <w:rsid w:val="00935A70"/>
    <w:rsid w:val="00943DC1"/>
    <w:rsid w:val="00945CB4"/>
    <w:rsid w:val="009629FD"/>
    <w:rsid w:val="00963D50"/>
    <w:rsid w:val="00973F29"/>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553CF"/>
    <w:rsid w:val="00A72DCE"/>
    <w:rsid w:val="00A752C5"/>
    <w:rsid w:val="00A83ECE"/>
    <w:rsid w:val="00A84816"/>
    <w:rsid w:val="00A9104D"/>
    <w:rsid w:val="00AA5EF7"/>
    <w:rsid w:val="00AD7C25"/>
    <w:rsid w:val="00AE4D95"/>
    <w:rsid w:val="00AF16FA"/>
    <w:rsid w:val="00AF6B24"/>
    <w:rsid w:val="00B03597"/>
    <w:rsid w:val="00B076C6"/>
    <w:rsid w:val="00B258BB"/>
    <w:rsid w:val="00B35013"/>
    <w:rsid w:val="00B357DE"/>
    <w:rsid w:val="00B43444"/>
    <w:rsid w:val="00B47938"/>
    <w:rsid w:val="00B53D3B"/>
    <w:rsid w:val="00B57359"/>
    <w:rsid w:val="00B6177B"/>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1BD9"/>
    <w:rsid w:val="00BF3228"/>
    <w:rsid w:val="00C0336F"/>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B6C7C"/>
    <w:rsid w:val="00CC30BB"/>
    <w:rsid w:val="00CC5026"/>
    <w:rsid w:val="00CD04A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13C9"/>
    <w:rsid w:val="00F1278B"/>
    <w:rsid w:val="00F21CC1"/>
    <w:rsid w:val="00F25D98"/>
    <w:rsid w:val="00F26950"/>
    <w:rsid w:val="00F300FB"/>
    <w:rsid w:val="00F34816"/>
    <w:rsid w:val="00F432E2"/>
    <w:rsid w:val="00F71A8C"/>
    <w:rsid w:val="00F7680F"/>
    <w:rsid w:val="00F831EE"/>
    <w:rsid w:val="00F86788"/>
    <w:rsid w:val="00F94650"/>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72C0"/>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styleId="TableGrid">
    <w:name w:val="Table Grid"/>
    <w:basedOn w:val="TableNormal"/>
    <w:rsid w:val="004F3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4F3965"/>
    <w:rPr>
      <w:rFonts w:ascii="Times New Roman" w:hAnsi="Times New Roman"/>
      <w:lang w:eastAsia="en-US"/>
    </w:rPr>
  </w:style>
  <w:style w:type="character" w:customStyle="1" w:styleId="B2Char">
    <w:name w:val="B2 Char"/>
    <w:link w:val="B2"/>
    <w:qFormat/>
    <w:locked/>
    <w:rsid w:val="004F396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483606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2859144">
      <w:bodyDiv w:val="1"/>
      <w:marLeft w:val="0"/>
      <w:marRight w:val="0"/>
      <w:marTop w:val="0"/>
      <w:marBottom w:val="0"/>
      <w:divBdr>
        <w:top w:val="none" w:sz="0" w:space="0" w:color="auto"/>
        <w:left w:val="none" w:sz="0" w:space="0" w:color="auto"/>
        <w:bottom w:val="none" w:sz="0" w:space="0" w:color="auto"/>
        <w:right w:val="none" w:sz="0" w:space="0" w:color="auto"/>
      </w:divBdr>
    </w:div>
    <w:div w:id="16745405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031090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183172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6777305">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5853104">
      <w:bodyDiv w:val="1"/>
      <w:marLeft w:val="0"/>
      <w:marRight w:val="0"/>
      <w:marTop w:val="0"/>
      <w:marBottom w:val="0"/>
      <w:divBdr>
        <w:top w:val="none" w:sz="0" w:space="0" w:color="auto"/>
        <w:left w:val="none" w:sz="0" w:space="0" w:color="auto"/>
        <w:bottom w:val="none" w:sz="0" w:space="0" w:color="auto"/>
        <w:right w:val="none" w:sz="0" w:space="0" w:color="auto"/>
      </w:divBdr>
    </w:div>
    <w:div w:id="1516186770">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42467827">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10C80-42CB-49BB-A5BF-AA7F957E9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2</Pages>
  <Words>779</Words>
  <Characters>4442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Google_SangMin_r4</cp:lastModifiedBy>
  <cp:revision>13</cp:revision>
  <cp:lastPrinted>1900-01-01T00:00:00Z</cp:lastPrinted>
  <dcterms:created xsi:type="dcterms:W3CDTF">2023-05-15T05:04:00Z</dcterms:created>
  <dcterms:modified xsi:type="dcterms:W3CDTF">2024-04-08T09:40:00Z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