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cs="Arial"/>
          <w:b/>
          <w:i/>
          <w:sz w:val="24"/>
          <w:szCs w:val="24"/>
        </w:rPr>
      </w:pPr>
      <w:r>
        <w:rPr>
          <w:rFonts w:cs="Arial"/>
          <w:b/>
          <w:sz w:val="24"/>
          <w:szCs w:val="24"/>
        </w:rPr>
        <w:t>3GPP TSG-CT WG1 Meeting #148</w:t>
      </w:r>
      <w:r>
        <w:rPr>
          <w:rFonts w:cs="Arial"/>
          <w:b/>
          <w:i/>
          <w:sz w:val="24"/>
          <w:szCs w:val="24"/>
        </w:rPr>
        <w:tab/>
      </w:r>
      <w:r>
        <w:rPr>
          <w:rFonts w:cs="Arial"/>
          <w:b/>
          <w:sz w:val="24"/>
          <w:szCs w:val="24"/>
        </w:rPr>
        <w:t>C1-24</w:t>
      </w:r>
      <w:r>
        <w:rPr>
          <w:rFonts w:hint="eastAsia" w:cs="Arial"/>
          <w:b/>
          <w:sz w:val="24"/>
          <w:szCs w:val="24"/>
          <w:lang w:val="en-US" w:eastAsia="zh-CN"/>
        </w:rPr>
        <w:t>2228</w:t>
      </w:r>
    </w:p>
    <w:p>
      <w:pPr>
        <w:pStyle w:val="21"/>
        <w:outlineLvl w:val="0"/>
        <w:rPr>
          <w:rFonts w:cs="Arial"/>
          <w:b/>
          <w:sz w:val="24"/>
          <w:szCs w:val="24"/>
        </w:rPr>
      </w:pPr>
      <w:r>
        <w:rPr>
          <w:rFonts w:hint="eastAsia" w:cs="Arial"/>
          <w:b/>
          <w:sz w:val="24"/>
          <w:szCs w:val="24"/>
          <w:lang w:eastAsia="zh-CN"/>
        </w:rPr>
        <w:t>Changsha</w:t>
      </w:r>
      <w:r>
        <w:rPr>
          <w:rFonts w:cs="Arial"/>
          <w:b/>
          <w:sz w:val="24"/>
          <w:szCs w:val="24"/>
        </w:rPr>
        <w:t>, China, 15 – 19 April 2024</w:t>
      </w:r>
    </w:p>
    <w:p>
      <w:pPr>
        <w:spacing w:after="120"/>
        <w:ind w:left="1985" w:hanging="1985"/>
        <w:rPr>
          <w:rFonts w:ascii="Arial" w:hAnsi="Arial"/>
          <w:b/>
          <w:sz w:val="24"/>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ZTE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Discussion on a few issues during tunnel establishment procedure</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18.2.1.3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&amp; DECISION</w:t>
      </w:r>
    </w:p>
    <w:p>
      <w:pPr>
        <w:pBdr>
          <w:bottom w:val="single" w:color="auto" w:sz="4" w:space="1"/>
        </w:pBdr>
        <w:rPr>
          <w:rFonts w:ascii="Arial" w:hAnsi="Arial" w:cs="Arial"/>
          <w:b/>
          <w:bCs/>
        </w:rPr>
      </w:pPr>
    </w:p>
    <w:p>
      <w:pPr>
        <w:rPr>
          <w:rFonts w:ascii="Arial" w:hAnsi="Arial" w:cs="Arial"/>
          <w:b/>
          <w:bCs/>
        </w:rPr>
      </w:pPr>
    </w:p>
    <w:p>
      <w:pPr>
        <w:pStyle w:val="2"/>
        <w:rPr>
          <w:lang w:eastAsia="zh-CN"/>
        </w:rPr>
      </w:pPr>
      <w:r>
        <w:rPr>
          <w:lang w:eastAsia="zh-CN"/>
        </w:rPr>
        <w:t>1.</w:t>
      </w:r>
      <w:r>
        <w:rPr>
          <w:lang w:eastAsia="zh-CN"/>
        </w:rPr>
        <w:tab/>
      </w:r>
      <w:r>
        <w:rPr>
          <w:lang w:eastAsia="zh-CN"/>
        </w:rPr>
        <w:t>Introduction</w:t>
      </w:r>
    </w:p>
    <w:p>
      <w:pPr>
        <w:spacing w:after="120"/>
        <w:rPr>
          <w:sz w:val="22"/>
          <w:lang w:eastAsia="zh-CN"/>
        </w:rPr>
      </w:pPr>
      <w:r>
        <w:rPr>
          <w:rFonts w:hint="eastAsia"/>
          <w:sz w:val="22"/>
          <w:lang w:eastAsia="zh-CN"/>
        </w:rPr>
        <w:t>T</w:t>
      </w:r>
      <w:r>
        <w:rPr>
          <w:sz w:val="22"/>
          <w:lang w:eastAsia="zh-CN"/>
        </w:rPr>
        <w:t>his paper intends to discuss some issues on provisioning of IDr payload during the tunnel establishment for non-emergency session between the UE and the ePDG in current specifications.</w:t>
      </w:r>
    </w:p>
    <w:p>
      <w:pPr>
        <w:pStyle w:val="2"/>
        <w:rPr>
          <w:lang w:eastAsia="zh-CN"/>
        </w:rPr>
      </w:pPr>
      <w:r>
        <w:rPr>
          <w:lang w:eastAsia="zh-CN"/>
        </w:rPr>
        <w:t>2.</w:t>
      </w:r>
      <w:r>
        <w:rPr>
          <w:lang w:eastAsia="zh-CN"/>
        </w:rPr>
        <w:tab/>
      </w:r>
      <w:r>
        <w:rPr>
          <w:lang w:eastAsia="zh-CN"/>
        </w:rPr>
        <w:t>Issues</w:t>
      </w:r>
    </w:p>
    <w:p>
      <w:pPr>
        <w:rPr>
          <w:sz w:val="22"/>
          <w:lang w:eastAsia="zh-CN"/>
        </w:rPr>
      </w:pPr>
      <w:r>
        <w:rPr>
          <w:rFonts w:hint="eastAsia"/>
          <w:sz w:val="22"/>
          <w:lang w:eastAsia="zh-CN"/>
        </w:rPr>
        <w:t>T</w:t>
      </w:r>
      <w:r>
        <w:rPr>
          <w:sz w:val="22"/>
          <w:lang w:eastAsia="zh-CN"/>
        </w:rPr>
        <w:t>he below is excerpted from clause</w:t>
      </w:r>
      <w:r>
        <w:rPr>
          <w:sz w:val="22"/>
          <w:lang w:val="en-US" w:eastAsia="zh-CN"/>
        </w:rPr>
        <w:t> </w:t>
      </w:r>
      <w:r>
        <w:rPr>
          <w:sz w:val="22"/>
          <w:lang w:eastAsia="zh-CN"/>
        </w:rPr>
        <w:t>8.2 of TS</w:t>
      </w:r>
      <w:r>
        <w:rPr>
          <w:sz w:val="22"/>
          <w:lang w:val="en-US" w:eastAsia="zh-CN"/>
        </w:rPr>
        <w:t> </w:t>
      </w:r>
      <w:r>
        <w:rPr>
          <w:sz w:val="22"/>
          <w:lang w:eastAsia="zh-CN"/>
        </w:rPr>
        <w:t>33.402. It depicts the procedure of tunnel full authentication and authorization between the UE and the ePDG.</w:t>
      </w:r>
    </w:p>
    <w:p>
      <w:pPr>
        <w:rPr>
          <w:lang w:val="en-US" w:eastAsia="zh-CN"/>
        </w:rPr>
      </w:pPr>
    </w:p>
    <w:p>
      <w:pPr>
        <w:rPr>
          <w:lang w:val="en-US" w:eastAsia="zh-CN"/>
        </w:rPr>
      </w:pPr>
      <w:r>
        <w:rPr>
          <w:lang w:val="en-US" w:eastAsia="zh-CN"/>
        </w:rPr>
        <w:t>"</w:t>
      </w:r>
    </w:p>
    <w:p>
      <w:pPr>
        <w:keepNext/>
        <w:keepLines/>
        <w:overflowPunct w:val="0"/>
        <w:autoSpaceDE w:val="0"/>
        <w:autoSpaceDN w:val="0"/>
        <w:adjustRightInd w:val="0"/>
        <w:spacing w:before="120" w:after="180"/>
        <w:ind w:left="1134" w:hanging="1134"/>
        <w:textAlignment w:val="baseline"/>
        <w:outlineLvl w:val="2"/>
        <w:rPr>
          <w:rFonts w:ascii="Arial" w:hAnsi="Arial" w:eastAsia="宋体"/>
          <w:b/>
          <w:i/>
        </w:rPr>
      </w:pPr>
      <w:r>
        <w:rPr>
          <w:rFonts w:ascii="Arial" w:hAnsi="Arial" w:eastAsia="宋体"/>
          <w:b/>
          <w:i/>
        </w:rPr>
        <w:t>8.2.1</w:t>
      </w:r>
      <w:r>
        <w:rPr>
          <w:rFonts w:ascii="Arial" w:hAnsi="Arial" w:eastAsia="宋体"/>
          <w:b/>
          <w:i/>
        </w:rPr>
        <w:tab/>
      </w:r>
      <w:r>
        <w:rPr>
          <w:rFonts w:ascii="Arial" w:hAnsi="Arial" w:eastAsia="宋体"/>
          <w:b/>
          <w:i/>
        </w:rPr>
        <w:t>General</w:t>
      </w:r>
    </w:p>
    <w:p>
      <w:pPr>
        <w:overflowPunct w:val="0"/>
        <w:autoSpaceDE w:val="0"/>
        <w:autoSpaceDN w:val="0"/>
        <w:adjustRightInd w:val="0"/>
        <w:spacing w:after="120"/>
        <w:ind w:left="568" w:hanging="284"/>
        <w:textAlignment w:val="baseline"/>
        <w:rPr>
          <w:rFonts w:eastAsia="宋体"/>
          <w:i/>
          <w:sz w:val="18"/>
        </w:rPr>
      </w:pPr>
      <w:r>
        <w:rPr>
          <w:rFonts w:eastAsia="宋体"/>
          <w:i/>
          <w:sz w:val="18"/>
        </w:rPr>
        <w:t>-</w:t>
      </w:r>
      <w:r>
        <w:rPr>
          <w:rFonts w:eastAsia="宋体"/>
          <w:i/>
          <w:sz w:val="18"/>
        </w:rPr>
        <w:tab/>
      </w:r>
      <w:r>
        <w:rPr>
          <w:rFonts w:eastAsia="宋体"/>
          <w:i/>
          <w:sz w:val="18"/>
        </w:rPr>
        <w:t>The UE and the ePDG shall use IKEv2, as specified in RFC 5996 [30],in order to establish IPSec security associations.</w:t>
      </w:r>
    </w:p>
    <w:p>
      <w:pPr>
        <w:overflowPunct w:val="0"/>
        <w:autoSpaceDE w:val="0"/>
        <w:autoSpaceDN w:val="0"/>
        <w:adjustRightInd w:val="0"/>
        <w:spacing w:after="120"/>
        <w:ind w:left="568" w:hanging="284"/>
        <w:textAlignment w:val="baseline"/>
        <w:rPr>
          <w:rFonts w:eastAsia="宋体"/>
          <w:i/>
          <w:sz w:val="18"/>
        </w:rPr>
      </w:pPr>
      <w:r>
        <w:rPr>
          <w:rFonts w:eastAsia="宋体"/>
          <w:i/>
          <w:sz w:val="18"/>
        </w:rPr>
        <w:t>-</w:t>
      </w:r>
      <w:r>
        <w:rPr>
          <w:rFonts w:eastAsia="宋体"/>
          <w:i/>
          <w:sz w:val="18"/>
        </w:rPr>
        <w:tab/>
      </w:r>
      <w:r>
        <w:rPr>
          <w:rFonts w:eastAsia="宋体"/>
          <w:i/>
          <w:sz w:val="18"/>
        </w:rPr>
        <w:t xml:space="preserve">Public key signature based authentication with certificates, as specified in RFC 5996 [30], shall be used to authenticate the ePDG. </w:t>
      </w:r>
      <w:r>
        <w:rPr>
          <w:rFonts w:eastAsia="宋体"/>
          <w:i/>
          <w:sz w:val="18"/>
          <w:highlight w:val="green"/>
        </w:rPr>
        <w:t>The ePDG shall authenticate itself to the UE with an identity.</w:t>
      </w:r>
      <w:r>
        <w:rPr>
          <w:rFonts w:eastAsia="宋体"/>
          <w:i/>
          <w:sz w:val="18"/>
        </w:rPr>
        <w:t xml:space="preserve"> </w:t>
      </w:r>
      <w:r>
        <w:rPr>
          <w:rFonts w:eastAsia="宋体"/>
          <w:i/>
          <w:sz w:val="18"/>
          <w:highlight w:val="green"/>
        </w:rPr>
        <w:t>This identity shall be the same as the FQDN of the ePDG determined by the ePDG selection procedures defined in TS 23.402 [5]. This identity shall be contained in the IKEv2 ID_FQDN payload and shall match a dNSName SubjectAltName component in the ePDG's certificate</w:t>
      </w:r>
      <w:r>
        <w:rPr>
          <w:rFonts w:eastAsia="宋体"/>
          <w:i/>
          <w:sz w:val="18"/>
        </w:rPr>
        <w:t xml:space="preserve">. </w:t>
      </w:r>
    </w:p>
    <w:p>
      <w:pPr>
        <w:overflowPunct w:val="0"/>
        <w:autoSpaceDE w:val="0"/>
        <w:autoSpaceDN w:val="0"/>
        <w:adjustRightInd w:val="0"/>
        <w:spacing w:after="120"/>
        <w:ind w:left="568" w:hanging="284"/>
        <w:textAlignment w:val="baseline"/>
        <w:rPr>
          <w:rFonts w:eastAsia="宋体"/>
          <w:i/>
          <w:sz w:val="18"/>
        </w:rPr>
      </w:pPr>
      <w:r>
        <w:rPr>
          <w:rFonts w:eastAsia="宋体"/>
          <w:i/>
          <w:sz w:val="18"/>
        </w:rPr>
        <w:t>-</w:t>
      </w:r>
      <w:r>
        <w:rPr>
          <w:rFonts w:eastAsia="宋体"/>
          <w:i/>
          <w:sz w:val="18"/>
        </w:rPr>
        <w:tab/>
      </w:r>
      <w:r>
        <w:rPr>
          <w:rFonts w:eastAsia="宋体"/>
          <w:i/>
          <w:sz w:val="18"/>
        </w:rPr>
        <w:t>EAP-AKA, as specified in RFC 4187 [7], within IKEv2, as specified in RFC 5996 [30], shall be used to authenticate UEs.</w:t>
      </w:r>
    </w:p>
    <w:p>
      <w:pPr>
        <w:overflowPunct w:val="0"/>
        <w:autoSpaceDE w:val="0"/>
        <w:autoSpaceDN w:val="0"/>
        <w:adjustRightInd w:val="0"/>
        <w:spacing w:after="120"/>
        <w:ind w:left="568" w:hanging="284"/>
        <w:textAlignment w:val="baseline"/>
        <w:rPr>
          <w:rFonts w:eastAsia="宋体"/>
          <w:i/>
          <w:sz w:val="18"/>
        </w:rPr>
      </w:pPr>
      <w:r>
        <w:rPr>
          <w:rFonts w:eastAsia="宋体"/>
          <w:i/>
          <w:sz w:val="18"/>
        </w:rPr>
        <w:t>-</w:t>
      </w:r>
      <w:r>
        <w:rPr>
          <w:rFonts w:eastAsia="宋体"/>
          <w:i/>
          <w:sz w:val="18"/>
        </w:rPr>
        <w:tab/>
      </w:r>
      <w:r>
        <w:rPr>
          <w:rFonts w:eastAsia="宋体"/>
          <w:i/>
          <w:sz w:val="18"/>
        </w:rPr>
        <w:t>For profile for IKEv2, IPsec ESP and certificate contents and processing refer to subclause 8.2.4.</w:t>
      </w:r>
    </w:p>
    <w:p>
      <w:pPr>
        <w:overflowPunct w:val="0"/>
        <w:autoSpaceDE w:val="0"/>
        <w:autoSpaceDN w:val="0"/>
        <w:adjustRightInd w:val="0"/>
        <w:spacing w:after="120"/>
        <w:ind w:left="568" w:hanging="284"/>
        <w:textAlignment w:val="baseline"/>
        <w:rPr>
          <w:rFonts w:eastAsia="宋体"/>
          <w:i/>
          <w:sz w:val="16"/>
        </w:rPr>
      </w:pPr>
      <w:r>
        <w:rPr>
          <w:rFonts w:eastAsia="宋体"/>
          <w:i/>
          <w:sz w:val="16"/>
        </w:rPr>
        <w:t>-</w:t>
      </w:r>
      <w:r>
        <w:rPr>
          <w:rFonts w:eastAsia="宋体"/>
          <w:i/>
          <w:sz w:val="16"/>
        </w:rPr>
        <w:tab/>
      </w:r>
      <w:r>
        <w:rPr>
          <w:rFonts w:eastAsia="宋体"/>
          <w:i/>
          <w:sz w:val="16"/>
        </w:rPr>
        <w:t>For the security aspects of emergency calls, cf. clause 13 of this specification.</w:t>
      </w:r>
    </w:p>
    <w:p>
      <w:pPr>
        <w:keepNext/>
        <w:keepLines/>
        <w:overflowPunct w:val="0"/>
        <w:autoSpaceDE w:val="0"/>
        <w:autoSpaceDN w:val="0"/>
        <w:adjustRightInd w:val="0"/>
        <w:spacing w:before="120" w:after="180"/>
        <w:ind w:left="1134" w:hanging="1134"/>
        <w:textAlignment w:val="baseline"/>
        <w:outlineLvl w:val="2"/>
        <w:rPr>
          <w:rFonts w:ascii="Arial" w:hAnsi="Arial" w:eastAsia="宋体"/>
          <w:b/>
          <w:i/>
        </w:rPr>
      </w:pPr>
      <w:bookmarkStart w:id="0" w:name="_Toc129945563"/>
      <w:r>
        <w:rPr>
          <w:rFonts w:ascii="Arial" w:hAnsi="Arial" w:eastAsia="宋体"/>
          <w:b/>
          <w:i/>
        </w:rPr>
        <w:t>8.2.2</w:t>
      </w:r>
      <w:r>
        <w:rPr>
          <w:rFonts w:ascii="Arial" w:hAnsi="Arial" w:eastAsia="宋体"/>
          <w:b/>
          <w:i/>
        </w:rPr>
        <w:tab/>
      </w:r>
      <w:r>
        <w:rPr>
          <w:rFonts w:ascii="Arial" w:hAnsi="Arial" w:eastAsia="宋体"/>
          <w:b/>
          <w:i/>
        </w:rPr>
        <w:t>Tunnel full authentication and authorization</w:t>
      </w:r>
      <w:bookmarkEnd w:id="0"/>
    </w:p>
    <w:p>
      <w:pPr>
        <w:overflowPunct w:val="0"/>
        <w:autoSpaceDE w:val="0"/>
        <w:autoSpaceDN w:val="0"/>
        <w:adjustRightInd w:val="0"/>
        <w:ind w:left="568" w:hanging="284"/>
        <w:textAlignment w:val="baseline"/>
        <w:rPr>
          <w:rFonts w:eastAsia="宋体"/>
          <w:b/>
          <w:i/>
        </w:rPr>
      </w:pPr>
      <w:r>
        <w:rPr>
          <w:rFonts w:eastAsia="宋体"/>
          <w:b/>
          <w:i/>
          <w:lang w:eastAsia="zh-CN"/>
        </w:rPr>
        <w:t xml:space="preserve">... … </w:t>
      </w:r>
    </w:p>
    <w:p>
      <w:pPr>
        <w:keepNext/>
        <w:keepLines/>
        <w:overflowPunct w:val="0"/>
        <w:autoSpaceDE w:val="0"/>
        <w:autoSpaceDN w:val="0"/>
        <w:adjustRightInd w:val="0"/>
        <w:spacing w:before="60" w:after="180"/>
        <w:jc w:val="center"/>
        <w:textAlignment w:val="baseline"/>
        <w:rPr>
          <w:rFonts w:ascii="Arial" w:hAnsi="Arial" w:eastAsia="宋体"/>
          <w:b/>
          <w:i/>
          <w:sz w:val="16"/>
        </w:rPr>
      </w:pPr>
    </w:p>
    <w:p>
      <w:pPr>
        <w:keepNext/>
        <w:keepLines/>
        <w:overflowPunct w:val="0"/>
        <w:autoSpaceDE w:val="0"/>
        <w:autoSpaceDN w:val="0"/>
        <w:adjustRightInd w:val="0"/>
        <w:spacing w:before="60" w:after="180"/>
        <w:jc w:val="center"/>
        <w:textAlignment w:val="baseline"/>
        <w:rPr>
          <w:rFonts w:ascii="Arial" w:hAnsi="Arial" w:eastAsia="宋体"/>
          <w:b/>
          <w:i/>
          <w:sz w:val="16"/>
          <w:lang w:eastAsia="zh-CN"/>
        </w:rPr>
      </w:pPr>
      <w:r>
        <w:rPr>
          <w:rFonts w:ascii="Arial" w:hAnsi="Arial" w:eastAsia="宋体"/>
          <w:b/>
          <w:i/>
          <w:sz w:val="16"/>
        </w:rPr>
        <w:object>
          <v:shape id="_x0000_i1025" o:spt="75" type="#_x0000_t75" style="height:597.95pt;width:448.9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keepLines/>
        <w:overflowPunct w:val="0"/>
        <w:autoSpaceDE w:val="0"/>
        <w:autoSpaceDN w:val="0"/>
        <w:adjustRightInd w:val="0"/>
        <w:spacing w:after="240"/>
        <w:jc w:val="center"/>
        <w:textAlignment w:val="baseline"/>
        <w:rPr>
          <w:rFonts w:ascii="Arial" w:hAnsi="Arial" w:eastAsia="宋体"/>
          <w:b/>
          <w:i/>
          <w:sz w:val="16"/>
        </w:rPr>
      </w:pPr>
      <w:r>
        <w:rPr>
          <w:rFonts w:ascii="Arial" w:hAnsi="Arial" w:eastAsia="宋体"/>
          <w:b/>
          <w:i/>
          <w:sz w:val="16"/>
        </w:rPr>
        <w:t>Figure 8.2.2-1: Tunnel full authentication and authorization</w:t>
      </w:r>
    </w:p>
    <w:p>
      <w:pPr>
        <w:overflowPunct w:val="0"/>
        <w:autoSpaceDE w:val="0"/>
        <w:autoSpaceDN w:val="0"/>
        <w:adjustRightInd w:val="0"/>
        <w:spacing w:after="180"/>
        <w:textAlignment w:val="baseline"/>
        <w:rPr>
          <w:rFonts w:eastAsia="宋体"/>
          <w:i/>
          <w:sz w:val="18"/>
        </w:rPr>
      </w:pPr>
      <w:r>
        <w:rPr>
          <w:rFonts w:eastAsia="宋体"/>
          <w:i/>
          <w:sz w:val="18"/>
        </w:rPr>
        <w:t xml:space="preserve">As the UE and ePDG generate nonces as input to derive the encryption and authentication keys in IKEv2, replay protection is provided. For this reason, there is no need for the </w:t>
      </w:r>
      <w:r>
        <w:rPr>
          <w:rFonts w:hint="eastAsia" w:eastAsia="宋体"/>
          <w:i/>
          <w:sz w:val="18"/>
          <w:lang w:eastAsia="zh-CN"/>
        </w:rPr>
        <w:t xml:space="preserve">3GPP </w:t>
      </w:r>
      <w:r>
        <w:rPr>
          <w:rFonts w:eastAsia="宋体"/>
          <w:i/>
          <w:sz w:val="18"/>
        </w:rPr>
        <w:t xml:space="preserve">AAA </w:t>
      </w:r>
      <w:r>
        <w:rPr>
          <w:rFonts w:hint="eastAsia" w:eastAsia="宋体"/>
          <w:i/>
          <w:sz w:val="18"/>
          <w:lang w:eastAsia="zh-CN"/>
        </w:rPr>
        <w:t>S</w:t>
      </w:r>
      <w:r>
        <w:rPr>
          <w:rFonts w:eastAsia="宋体"/>
          <w:i/>
          <w:sz w:val="18"/>
        </w:rPr>
        <w:t xml:space="preserve">erver to request the user identity again using the EAP-AKA specific methods (as specified in RFC 4187 [7]), because the </w:t>
      </w:r>
      <w:r>
        <w:rPr>
          <w:rFonts w:hint="eastAsia" w:eastAsia="宋体"/>
          <w:i/>
          <w:sz w:val="18"/>
          <w:lang w:eastAsia="zh-CN"/>
        </w:rPr>
        <w:t xml:space="preserve">3GPP </w:t>
      </w:r>
      <w:r>
        <w:rPr>
          <w:rFonts w:eastAsia="宋体"/>
          <w:i/>
          <w:sz w:val="18"/>
        </w:rPr>
        <w:t xml:space="preserve">AAA </w:t>
      </w:r>
      <w:r>
        <w:rPr>
          <w:rFonts w:hint="eastAsia" w:eastAsia="宋体"/>
          <w:i/>
          <w:sz w:val="18"/>
          <w:lang w:eastAsia="zh-CN"/>
        </w:rPr>
        <w:t>S</w:t>
      </w:r>
      <w:r>
        <w:rPr>
          <w:rFonts w:eastAsia="宋体"/>
          <w:i/>
          <w:sz w:val="18"/>
        </w:rPr>
        <w:t>erver is certain that no intermediate node has modified or changed the user identity.</w:t>
      </w:r>
    </w:p>
    <w:p>
      <w:pPr>
        <w:overflowPunct w:val="0"/>
        <w:autoSpaceDE w:val="0"/>
        <w:autoSpaceDN w:val="0"/>
        <w:adjustRightInd w:val="0"/>
        <w:spacing w:after="180"/>
        <w:ind w:left="568" w:hanging="284"/>
        <w:textAlignment w:val="baseline"/>
        <w:rPr>
          <w:rFonts w:eastAsia="宋体"/>
          <w:i/>
          <w:sz w:val="18"/>
        </w:rPr>
      </w:pPr>
      <w:r>
        <w:rPr>
          <w:rFonts w:eastAsia="宋体"/>
          <w:i/>
          <w:sz w:val="18"/>
        </w:rPr>
        <w:t>1.</w:t>
      </w:r>
      <w:r>
        <w:rPr>
          <w:rFonts w:eastAsia="宋体"/>
          <w:i/>
          <w:sz w:val="18"/>
        </w:rPr>
        <w:tab/>
      </w:r>
      <w:r>
        <w:rPr>
          <w:rFonts w:eastAsia="宋体"/>
          <w:i/>
          <w:sz w:val="18"/>
        </w:rPr>
        <w:t>The UE and the ePDG exchange the first pair of messages, known as IKE_SA_INIT, in which the ePDG and UE negotiate cryptographic algorithms, exchange nonces and perform a Diffie_Hellman exchange.</w:t>
      </w:r>
    </w:p>
    <w:p>
      <w:pPr>
        <w:overflowPunct w:val="0"/>
        <w:autoSpaceDE w:val="0"/>
        <w:autoSpaceDN w:val="0"/>
        <w:adjustRightInd w:val="0"/>
        <w:spacing w:after="180"/>
        <w:ind w:left="568" w:hanging="284"/>
        <w:textAlignment w:val="baseline"/>
        <w:rPr>
          <w:rFonts w:eastAsia="宋体"/>
          <w:i/>
          <w:sz w:val="18"/>
        </w:rPr>
      </w:pPr>
      <w:r>
        <w:rPr>
          <w:rFonts w:eastAsia="宋体"/>
          <w:i/>
          <w:sz w:val="18"/>
        </w:rPr>
        <w:t>2.</w:t>
      </w:r>
      <w:r>
        <w:rPr>
          <w:rFonts w:eastAsia="宋体"/>
          <w:i/>
          <w:sz w:val="18"/>
        </w:rPr>
        <w:tab/>
      </w:r>
      <w:r>
        <w:rPr>
          <w:rFonts w:eastAsia="宋体"/>
          <w:i/>
          <w:sz w:val="18"/>
          <w:highlight w:val="yellow"/>
        </w:rPr>
        <w:t xml:space="preserve">The UE sends </w:t>
      </w:r>
      <w:r>
        <w:rPr>
          <w:rFonts w:eastAsia="宋体"/>
          <w:i/>
          <w:sz w:val="18"/>
        </w:rPr>
        <w:t>the user identity (in the IDi payload) and</w:t>
      </w:r>
      <w:r>
        <w:rPr>
          <w:rFonts w:eastAsia="宋体"/>
          <w:i/>
          <w:sz w:val="18"/>
          <w:highlight w:val="yellow"/>
        </w:rPr>
        <w:t xml:space="preserve"> the APN information (in the IDr payload) in this first message of the IKE_AUTH phase</w:t>
      </w:r>
      <w:r>
        <w:rPr>
          <w:rFonts w:eastAsia="宋体"/>
          <w:i/>
          <w:sz w:val="18"/>
        </w:rPr>
        <w:t xml:space="preserve">, and begins negotiation of child security associations. The UE omits the AUTH parameter in order to indicate to the ePDG that it wants to use EAP over IKEv2. The user identity shall be compliant with Network Access Identifier (NAI) format specified in TS 23.003 [8], containing the IMSI or the pseudonym, as defined for EAP-AKA in RFC 4187 [7]). The UE shall send the configuration payload (CFG_REQUEST) within the IKE_AUTH request message to obtain an IPv4 and/or IPV6 home IP Address and/or a Home Agent Address. </w:t>
      </w:r>
      <w:r>
        <w:rPr>
          <w:rFonts w:eastAsia="宋体"/>
          <w:i/>
          <w:sz w:val="18"/>
          <w:highlight w:val="green"/>
        </w:rPr>
        <w:t>If the UE is provisioned with the ePDG root certificate, it shall include the CERTREQ payload within the IKE_AUTH request message to request ePDG’s certificate.</w:t>
      </w:r>
    </w:p>
    <w:p>
      <w:pPr>
        <w:overflowPunct w:val="0"/>
        <w:autoSpaceDE w:val="0"/>
        <w:autoSpaceDN w:val="0"/>
        <w:adjustRightInd w:val="0"/>
        <w:spacing w:after="180"/>
        <w:ind w:left="568" w:hanging="284"/>
        <w:textAlignment w:val="baseline"/>
        <w:rPr>
          <w:rFonts w:eastAsia="宋体"/>
          <w:b/>
          <w:i/>
          <w:sz w:val="21"/>
        </w:rPr>
      </w:pPr>
      <w:r>
        <w:rPr>
          <w:rFonts w:eastAsia="宋体"/>
          <w:b/>
          <w:i/>
          <w:sz w:val="21"/>
          <w:lang w:eastAsia="zh-CN"/>
        </w:rPr>
        <w:t>... …</w:t>
      </w:r>
    </w:p>
    <w:p>
      <w:pPr>
        <w:overflowPunct w:val="0"/>
        <w:autoSpaceDE w:val="0"/>
        <w:autoSpaceDN w:val="0"/>
        <w:adjustRightInd w:val="0"/>
        <w:spacing w:after="180"/>
        <w:ind w:left="568" w:hanging="284"/>
        <w:textAlignment w:val="baseline"/>
        <w:rPr>
          <w:rFonts w:eastAsia="宋体"/>
          <w:i/>
          <w:sz w:val="18"/>
        </w:rPr>
      </w:pPr>
      <w:r>
        <w:rPr>
          <w:rFonts w:eastAsia="宋体"/>
          <w:i/>
          <w:sz w:val="18"/>
        </w:rPr>
        <w:t>6.</w:t>
      </w:r>
      <w:r>
        <w:rPr>
          <w:rFonts w:eastAsia="宋体"/>
          <w:i/>
          <w:sz w:val="18"/>
        </w:rPr>
        <w:tab/>
      </w:r>
      <w:r>
        <w:rPr>
          <w:rFonts w:eastAsia="宋体"/>
          <w:i/>
          <w:sz w:val="18"/>
          <w:highlight w:val="green"/>
        </w:rPr>
        <w:t xml:space="preserve">The ePDG responds with </w:t>
      </w:r>
      <w:r>
        <w:rPr>
          <w:rFonts w:eastAsia="宋体"/>
          <w:b/>
          <w:i/>
          <w:sz w:val="18"/>
          <w:highlight w:val="green"/>
        </w:rPr>
        <w:t>its identity, a certificate, (if the UE has requested with a CERTREQ payload in step 2)</w:t>
      </w:r>
      <w:r>
        <w:rPr>
          <w:rFonts w:eastAsia="宋体"/>
          <w:i/>
          <w:sz w:val="18"/>
        </w:rPr>
        <w:t xml:space="preserve">, and sends the AUTH parameter to protect the previous message it sent to the UE (in the IKE_SA_INIT exchange). The EAP message received from the </w:t>
      </w:r>
      <w:r>
        <w:rPr>
          <w:rFonts w:hint="eastAsia" w:eastAsia="宋体"/>
          <w:i/>
          <w:sz w:val="18"/>
          <w:lang w:eastAsia="zh-CN"/>
        </w:rPr>
        <w:t xml:space="preserve">3GPP </w:t>
      </w:r>
      <w:r>
        <w:rPr>
          <w:rFonts w:eastAsia="宋体"/>
          <w:i/>
          <w:sz w:val="18"/>
        </w:rPr>
        <w:t xml:space="preserve">AAA </w:t>
      </w:r>
      <w:r>
        <w:rPr>
          <w:rFonts w:hint="eastAsia" w:eastAsia="宋体"/>
          <w:i/>
          <w:sz w:val="18"/>
          <w:lang w:eastAsia="zh-CN"/>
        </w:rPr>
        <w:t>S</w:t>
      </w:r>
      <w:r>
        <w:rPr>
          <w:rFonts w:eastAsia="宋体"/>
          <w:i/>
          <w:sz w:val="18"/>
        </w:rPr>
        <w:t>erver (EAP-Request/AKA-Challenge) is included in order to start the EAP procedure over IKEv2.</w:t>
      </w:r>
    </w:p>
    <w:p>
      <w:pPr>
        <w:rPr>
          <w:lang w:eastAsia="zh-CN"/>
        </w:rPr>
      </w:pPr>
      <w:r>
        <w:rPr>
          <w:lang w:eastAsia="zh-CN"/>
        </w:rPr>
        <w:t>"</w:t>
      </w:r>
    </w:p>
    <w:p>
      <w:pPr>
        <w:pStyle w:val="3"/>
        <w:spacing w:after="120"/>
        <w:rPr>
          <w:sz w:val="22"/>
          <w:szCs w:val="22"/>
          <w:u w:val="single"/>
          <w:lang w:eastAsia="zh-CN"/>
        </w:rPr>
      </w:pPr>
      <w:r>
        <w:rPr>
          <w:sz w:val="22"/>
          <w:szCs w:val="22"/>
          <w:u w:val="single"/>
          <w:lang w:eastAsia="zh-CN"/>
        </w:rPr>
        <w:t>Observation</w:t>
      </w:r>
      <w:r>
        <w:rPr>
          <w:sz w:val="22"/>
          <w:szCs w:val="22"/>
          <w:u w:val="single"/>
          <w:lang w:val="en-US" w:eastAsia="zh-CN"/>
        </w:rPr>
        <w:t> </w:t>
      </w:r>
      <w:r>
        <w:rPr>
          <w:sz w:val="22"/>
          <w:szCs w:val="22"/>
          <w:u w:val="single"/>
          <w:lang w:eastAsia="zh-CN"/>
        </w:rPr>
        <w:t>1</w:t>
      </w:r>
    </w:p>
    <w:p>
      <w:pPr>
        <w:spacing w:after="120"/>
        <w:rPr>
          <w:sz w:val="22"/>
          <w:szCs w:val="22"/>
          <w:lang w:val="en-US" w:eastAsia="zh-CN"/>
        </w:rPr>
      </w:pPr>
      <w:r>
        <w:rPr>
          <w:sz w:val="22"/>
          <w:szCs w:val="22"/>
          <w:lang w:eastAsia="zh-CN"/>
        </w:rPr>
        <w:t xml:space="preserve">According to the </w:t>
      </w:r>
      <w:r>
        <w:rPr>
          <w:sz w:val="22"/>
          <w:szCs w:val="22"/>
          <w:highlight w:val="yellow"/>
          <w:lang w:eastAsia="zh-CN"/>
        </w:rPr>
        <w:t>yellow highlighted texts</w:t>
      </w:r>
      <w:r>
        <w:rPr>
          <w:sz w:val="22"/>
          <w:szCs w:val="22"/>
          <w:lang w:eastAsia="zh-CN"/>
        </w:rPr>
        <w:t xml:space="preserve"> in step</w:t>
      </w:r>
      <w:r>
        <w:rPr>
          <w:sz w:val="22"/>
          <w:szCs w:val="22"/>
          <w:lang w:val="en-US" w:eastAsia="zh-CN"/>
        </w:rPr>
        <w:t xml:space="preserve"> 2, the UE provides APN with IDr payload in </w:t>
      </w:r>
      <w:r>
        <w:rPr>
          <w:sz w:val="22"/>
          <w:szCs w:val="22"/>
          <w:lang w:eastAsia="zh-CN"/>
        </w:rPr>
        <w:t xml:space="preserve">the IKE_AUTH request message in </w:t>
      </w:r>
      <w:r>
        <w:rPr>
          <w:b/>
          <w:sz w:val="22"/>
          <w:szCs w:val="22"/>
          <w:lang w:eastAsia="zh-CN"/>
        </w:rPr>
        <w:t>first</w:t>
      </w:r>
      <w:r>
        <w:rPr>
          <w:sz w:val="22"/>
          <w:szCs w:val="22"/>
          <w:lang w:eastAsia="zh-CN"/>
        </w:rPr>
        <w:t xml:space="preserve"> IKE_AUTH exchange.</w:t>
      </w:r>
      <w:bookmarkStart w:id="1" w:name="_Toc153802142"/>
    </w:p>
    <w:p>
      <w:pPr>
        <w:pStyle w:val="3"/>
        <w:spacing w:after="120"/>
        <w:rPr>
          <w:sz w:val="22"/>
          <w:szCs w:val="22"/>
          <w:u w:val="single"/>
          <w:lang w:eastAsia="zh-CN"/>
        </w:rPr>
      </w:pPr>
      <w:r>
        <w:rPr>
          <w:sz w:val="22"/>
          <w:szCs w:val="22"/>
          <w:u w:val="single"/>
          <w:lang w:eastAsia="zh-CN"/>
        </w:rPr>
        <w:t>Observation</w:t>
      </w:r>
      <w:r>
        <w:rPr>
          <w:sz w:val="22"/>
          <w:szCs w:val="22"/>
          <w:u w:val="single"/>
          <w:lang w:val="en-US" w:eastAsia="zh-CN"/>
        </w:rPr>
        <w:t> </w:t>
      </w:r>
      <w:r>
        <w:rPr>
          <w:sz w:val="22"/>
          <w:szCs w:val="22"/>
          <w:u w:val="single"/>
          <w:lang w:eastAsia="zh-CN"/>
        </w:rPr>
        <w:t>2</w:t>
      </w:r>
    </w:p>
    <w:p>
      <w:pPr>
        <w:spacing w:after="120"/>
        <w:rPr>
          <w:sz w:val="22"/>
          <w:szCs w:val="22"/>
          <w:lang w:eastAsia="zh-CN"/>
        </w:rPr>
      </w:pPr>
      <w:r>
        <w:rPr>
          <w:sz w:val="22"/>
          <w:szCs w:val="22"/>
          <w:lang w:eastAsia="zh-CN"/>
        </w:rPr>
        <w:t xml:space="preserve">According to the </w:t>
      </w:r>
      <w:r>
        <w:rPr>
          <w:sz w:val="22"/>
          <w:szCs w:val="22"/>
          <w:highlight w:val="green"/>
          <w:lang w:eastAsia="zh-CN"/>
        </w:rPr>
        <w:t>green highlighted texts</w:t>
      </w:r>
      <w:r>
        <w:rPr>
          <w:sz w:val="22"/>
          <w:szCs w:val="22"/>
          <w:lang w:eastAsia="zh-CN"/>
        </w:rPr>
        <w:t xml:space="preserve"> in </w:t>
      </w:r>
      <w:r>
        <w:rPr>
          <w:sz w:val="22"/>
          <w:szCs w:val="22"/>
          <w:highlight w:val="green"/>
          <w:lang w:eastAsia="zh-CN"/>
        </w:rPr>
        <w:t>clause 8.2.1</w:t>
      </w:r>
      <w:r>
        <w:rPr>
          <w:sz w:val="22"/>
          <w:szCs w:val="22"/>
          <w:lang w:eastAsia="zh-CN"/>
        </w:rPr>
        <w:t xml:space="preserve"> and </w:t>
      </w:r>
      <w:r>
        <w:rPr>
          <w:sz w:val="22"/>
          <w:szCs w:val="22"/>
          <w:highlight w:val="green"/>
          <w:lang w:eastAsia="zh-CN"/>
        </w:rPr>
        <w:t>in step</w:t>
      </w:r>
      <w:r>
        <w:rPr>
          <w:sz w:val="22"/>
          <w:szCs w:val="22"/>
          <w:highlight w:val="green"/>
          <w:lang w:val="en-US" w:eastAsia="zh-CN"/>
        </w:rPr>
        <w:t> 2 and step 6 in clause 8.2.2in TS 33.402</w:t>
      </w:r>
      <w:r>
        <w:rPr>
          <w:sz w:val="22"/>
          <w:szCs w:val="22"/>
          <w:lang w:val="en-US" w:eastAsia="zh-CN"/>
        </w:rPr>
        <w:t>,</w:t>
      </w:r>
      <w:r>
        <w:rPr>
          <w:b/>
          <w:sz w:val="22"/>
          <w:szCs w:val="22"/>
          <w:lang w:val="en-US" w:eastAsia="zh-CN"/>
        </w:rPr>
        <w:t xml:space="preserve"> </w:t>
      </w:r>
      <w:r>
        <w:rPr>
          <w:b/>
          <w:color w:val="FF0000"/>
          <w:sz w:val="22"/>
          <w:szCs w:val="22"/>
          <w:lang w:val="en-US" w:eastAsia="zh-CN"/>
        </w:rPr>
        <w:t>if authenticating ePDG with certificate is required</w:t>
      </w:r>
      <w:r>
        <w:rPr>
          <w:sz w:val="22"/>
          <w:szCs w:val="22"/>
          <w:lang w:val="en-US" w:eastAsia="zh-CN"/>
        </w:rPr>
        <w:t xml:space="preserve">, </w:t>
      </w:r>
      <w:r>
        <w:rPr>
          <w:sz w:val="22"/>
          <w:szCs w:val="22"/>
          <w:lang w:eastAsia="zh-CN"/>
        </w:rPr>
        <w:t xml:space="preserve">in </w:t>
      </w:r>
      <w:r>
        <w:rPr>
          <w:b/>
          <w:sz w:val="22"/>
          <w:szCs w:val="22"/>
          <w:lang w:eastAsia="zh-CN"/>
        </w:rPr>
        <w:t>first</w:t>
      </w:r>
      <w:r>
        <w:rPr>
          <w:sz w:val="22"/>
          <w:szCs w:val="22"/>
          <w:lang w:eastAsia="zh-CN"/>
        </w:rPr>
        <w:t xml:space="preserve"> IKE_AUTH exchange,</w:t>
      </w:r>
    </w:p>
    <w:p>
      <w:pPr>
        <w:pStyle w:val="17"/>
        <w:overflowPunct w:val="0"/>
        <w:autoSpaceDE w:val="0"/>
        <w:autoSpaceDN w:val="0"/>
        <w:adjustRightInd w:val="0"/>
        <w:spacing w:after="180"/>
        <w:ind w:left="568" w:hanging="284"/>
        <w:jc w:val="left"/>
        <w:textAlignment w:val="baseline"/>
        <w:rPr>
          <w:rFonts w:ascii="Times New Roman" w:hAnsi="Times New Roman"/>
          <w:sz w:val="22"/>
          <w:lang w:val="en-US" w:eastAsia="zh-CN"/>
        </w:rPr>
      </w:pPr>
      <w:r>
        <w:rPr>
          <w:rFonts w:ascii="Times New Roman" w:hAnsi="Times New Roman"/>
          <w:sz w:val="22"/>
          <w:lang w:val="en-US" w:eastAsia="zh-CN"/>
        </w:rPr>
        <w:t>a)</w:t>
      </w:r>
      <w:r>
        <w:rPr>
          <w:rFonts w:ascii="Times New Roman" w:hAnsi="Times New Roman"/>
          <w:sz w:val="22"/>
          <w:lang w:val="en-US" w:eastAsia="zh-CN"/>
        </w:rPr>
        <w:tab/>
      </w:r>
      <w:r>
        <w:rPr>
          <w:rFonts w:ascii="Times New Roman" w:hAnsi="Times New Roman"/>
          <w:sz w:val="22"/>
          <w:lang w:val="en-US" w:eastAsia="zh-CN"/>
        </w:rPr>
        <w:t>the UE shall include CERTREQ payload in the IKE_AUTH request message;</w:t>
      </w:r>
    </w:p>
    <w:p>
      <w:pPr>
        <w:pStyle w:val="17"/>
        <w:overflowPunct w:val="0"/>
        <w:autoSpaceDE w:val="0"/>
        <w:autoSpaceDN w:val="0"/>
        <w:adjustRightInd w:val="0"/>
        <w:spacing w:after="180"/>
        <w:ind w:left="568" w:hanging="284"/>
        <w:jc w:val="left"/>
        <w:textAlignment w:val="baseline"/>
        <w:rPr>
          <w:rFonts w:ascii="Times New Roman" w:hAnsi="Times New Roman"/>
          <w:sz w:val="22"/>
          <w:lang w:val="en-US" w:eastAsia="zh-CN"/>
        </w:rPr>
      </w:pPr>
      <w:r>
        <w:rPr>
          <w:rFonts w:ascii="Times New Roman" w:hAnsi="Times New Roman"/>
          <w:sz w:val="22"/>
          <w:lang w:val="en-US" w:eastAsia="zh-CN"/>
        </w:rPr>
        <w:t>b)</w:t>
      </w:r>
      <w:r>
        <w:rPr>
          <w:rFonts w:ascii="Times New Roman" w:hAnsi="Times New Roman"/>
          <w:sz w:val="22"/>
          <w:lang w:val="en-US" w:eastAsia="zh-CN"/>
        </w:rPr>
        <w:tab/>
      </w:r>
      <w:r>
        <w:rPr>
          <w:rFonts w:ascii="Times New Roman" w:hAnsi="Times New Roman"/>
          <w:sz w:val="22"/>
          <w:lang w:val="en-US" w:eastAsia="zh-CN"/>
        </w:rPr>
        <w:t>the ePDG shall include IDr payload (whose ID type field is set to ID_FQDN) containing ePDG FQDN, and CERT payload containing ePDG's certificate and in the corresponding IKE_AUTH response message.</w:t>
      </w:r>
      <w:bookmarkEnd w:id="1"/>
      <w:bookmarkStart w:id="2" w:name="_Toc153802148"/>
    </w:p>
    <w:p>
      <w:pPr>
        <w:pStyle w:val="3"/>
        <w:spacing w:after="120"/>
        <w:rPr>
          <w:sz w:val="22"/>
          <w:szCs w:val="22"/>
          <w:u w:val="single"/>
          <w:lang w:eastAsia="zh-CN"/>
        </w:rPr>
      </w:pPr>
      <w:r>
        <w:rPr>
          <w:sz w:val="22"/>
          <w:szCs w:val="22"/>
          <w:u w:val="single"/>
          <w:lang w:eastAsia="zh-CN"/>
        </w:rPr>
        <w:t>Observation</w:t>
      </w:r>
      <w:r>
        <w:rPr>
          <w:sz w:val="22"/>
          <w:szCs w:val="22"/>
          <w:u w:val="single"/>
          <w:lang w:val="en-US" w:eastAsia="zh-CN"/>
        </w:rPr>
        <w:t> </w:t>
      </w:r>
      <w:r>
        <w:rPr>
          <w:sz w:val="22"/>
          <w:szCs w:val="22"/>
          <w:u w:val="single"/>
          <w:lang w:eastAsia="zh-CN"/>
        </w:rPr>
        <w:t>3</w:t>
      </w:r>
    </w:p>
    <w:p>
      <w:pPr>
        <w:rPr>
          <w:sz w:val="22"/>
          <w:lang w:val="en-US" w:eastAsia="zh-CN"/>
        </w:rPr>
      </w:pPr>
      <w:r>
        <w:rPr>
          <w:sz w:val="22"/>
          <w:lang w:eastAsia="zh-CN"/>
        </w:rPr>
        <w:t>Based on observation</w:t>
      </w:r>
      <w:r>
        <w:rPr>
          <w:sz w:val="22"/>
          <w:lang w:val="en-US" w:eastAsia="zh-CN"/>
        </w:rPr>
        <w:t> 1 and 2, there is a fact that the IDr payload containing ePDG FQDN received by the UE is different than the IDr payload containing APN requested by the UE.</w:t>
      </w:r>
    </w:p>
    <w:p>
      <w:pPr>
        <w:rPr>
          <w:sz w:val="22"/>
          <w:lang w:val="en-US" w:eastAsia="zh-CN"/>
        </w:rPr>
      </w:pPr>
    </w:p>
    <w:p>
      <w:pPr>
        <w:pStyle w:val="3"/>
        <w:spacing w:after="120"/>
        <w:rPr>
          <w:color w:val="FF0000"/>
          <w:sz w:val="22"/>
          <w:szCs w:val="22"/>
          <w:u w:val="single"/>
          <w:lang w:eastAsia="zh-CN"/>
        </w:rPr>
      </w:pPr>
      <w:r>
        <w:rPr>
          <w:color w:val="FF0000"/>
          <w:sz w:val="22"/>
          <w:szCs w:val="22"/>
          <w:u w:val="single"/>
          <w:lang w:eastAsia="zh-CN"/>
        </w:rPr>
        <w:t>Issue</w:t>
      </w:r>
      <w:r>
        <w:rPr>
          <w:color w:val="FF0000"/>
          <w:sz w:val="22"/>
          <w:szCs w:val="22"/>
          <w:u w:val="single"/>
          <w:lang w:val="en-US" w:eastAsia="zh-CN"/>
        </w:rPr>
        <w:t> </w:t>
      </w:r>
      <w:r>
        <w:rPr>
          <w:color w:val="FF0000"/>
          <w:sz w:val="22"/>
          <w:szCs w:val="22"/>
          <w:u w:val="single"/>
          <w:lang w:eastAsia="zh-CN"/>
        </w:rPr>
        <w:t>1</w:t>
      </w:r>
    </w:p>
    <w:p>
      <w:pPr>
        <w:spacing w:after="120"/>
        <w:rPr>
          <w:sz w:val="22"/>
          <w:lang w:val="en-US" w:eastAsia="zh-CN"/>
        </w:rPr>
      </w:pPr>
      <w:r>
        <w:rPr>
          <w:sz w:val="22"/>
          <w:lang w:eastAsia="zh-CN"/>
        </w:rPr>
        <w:t>TS</w:t>
      </w:r>
      <w:r>
        <w:rPr>
          <w:sz w:val="22"/>
          <w:lang w:val="en-US" w:eastAsia="zh-CN"/>
        </w:rPr>
        <w:t> 24.302 is lack of specifying the UE and ePDG handling when authenticating ePDG with certificate is required during the tunnel establishment procedure. The absent of this part may result in the failure case:</w:t>
      </w:r>
    </w:p>
    <w:p>
      <w:pPr>
        <w:spacing w:after="120"/>
        <w:rPr>
          <w:sz w:val="22"/>
          <w:lang w:val="en-US" w:eastAsia="zh-CN"/>
        </w:rPr>
      </w:pPr>
      <w:r>
        <w:rPr>
          <w:sz w:val="22"/>
          <w:lang w:val="en-US" w:eastAsia="zh-CN"/>
        </w:rPr>
        <w:t xml:space="preserve">If UE implementation complies with the statement </w:t>
      </w:r>
      <w:r>
        <w:rPr>
          <w:sz w:val="22"/>
          <w:lang w:eastAsia="zh-CN"/>
        </w:rPr>
        <w:t>specified in "</w:t>
      </w:r>
      <w:r>
        <w:rPr>
          <w:b/>
          <w:sz w:val="22"/>
          <w:lang w:eastAsia="zh-CN"/>
        </w:rPr>
        <w:t>1.2. The Initial Exchanges</w:t>
      </w:r>
      <w:r>
        <w:rPr>
          <w:sz w:val="22"/>
          <w:lang w:eastAsia="zh-CN"/>
        </w:rPr>
        <w:t>" in RFC 7296 (see below),</w:t>
      </w:r>
      <w:r>
        <w:rPr>
          <w:sz w:val="22"/>
          <w:lang w:val="en-US" w:eastAsia="zh-CN"/>
        </w:rPr>
        <w:t xml:space="preserve"> the UE will consider the received IDr payload containing ePDG ID as an error case and abort the procedure.</w:t>
      </w:r>
    </w:p>
    <w:p>
      <w:pPr>
        <w:jc w:val="center"/>
        <w:rPr>
          <w:sz w:val="22"/>
          <w:lang w:val="en-US" w:eastAsia="zh-CN"/>
        </w:rPr>
      </w:pPr>
      <w:r>
        <w:rPr>
          <w:sz w:val="22"/>
          <w:lang w:val="en-US" w:eastAsia="zh-CN"/>
        </w:rPr>
        <w:drawing>
          <wp:inline distT="0" distB="0" distL="0" distR="0">
            <wp:extent cx="4856480" cy="137604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tretch>
                      <a:fillRect/>
                    </a:stretch>
                  </pic:blipFill>
                  <pic:spPr>
                    <a:xfrm>
                      <a:off x="0" y="0"/>
                      <a:ext cx="4899850" cy="1388250"/>
                    </a:xfrm>
                    <a:prstGeom prst="rect">
                      <a:avLst/>
                    </a:prstGeom>
                  </pic:spPr>
                </pic:pic>
              </a:graphicData>
            </a:graphic>
          </wp:inline>
        </w:drawing>
      </w:r>
    </w:p>
    <w:p>
      <w:pPr>
        <w:rPr>
          <w:sz w:val="22"/>
          <w:lang w:eastAsia="zh-CN"/>
        </w:rPr>
      </w:pPr>
    </w:p>
    <w:p>
      <w:pPr>
        <w:pStyle w:val="3"/>
        <w:spacing w:after="120"/>
        <w:rPr>
          <w:color w:val="FF0000"/>
          <w:sz w:val="22"/>
          <w:szCs w:val="22"/>
          <w:u w:val="single"/>
          <w:lang w:eastAsia="zh-CN"/>
        </w:rPr>
      </w:pPr>
      <w:r>
        <w:rPr>
          <w:color w:val="FF0000"/>
          <w:sz w:val="22"/>
          <w:szCs w:val="22"/>
          <w:u w:val="single"/>
          <w:lang w:eastAsia="zh-CN"/>
        </w:rPr>
        <w:t>Issue</w:t>
      </w:r>
      <w:r>
        <w:rPr>
          <w:color w:val="FF0000"/>
          <w:sz w:val="22"/>
          <w:szCs w:val="22"/>
          <w:u w:val="single"/>
          <w:lang w:val="en-US" w:eastAsia="zh-CN"/>
        </w:rPr>
        <w:t> </w:t>
      </w:r>
      <w:r>
        <w:rPr>
          <w:color w:val="FF0000"/>
          <w:sz w:val="22"/>
          <w:szCs w:val="22"/>
          <w:u w:val="single"/>
          <w:lang w:eastAsia="zh-CN"/>
        </w:rPr>
        <w:t>2</w:t>
      </w:r>
    </w:p>
    <w:p>
      <w:pPr>
        <w:spacing w:after="120"/>
        <w:rPr>
          <w:color w:val="FF0000"/>
          <w:sz w:val="22"/>
          <w:lang w:eastAsia="zh-CN"/>
        </w:rPr>
      </w:pPr>
      <w:r>
        <w:rPr>
          <w:rFonts w:hint="eastAsia"/>
          <w:color w:val="FF0000"/>
          <w:sz w:val="22"/>
          <w:lang w:eastAsia="zh-CN"/>
        </w:rPr>
        <w:t>I</w:t>
      </w:r>
      <w:r>
        <w:rPr>
          <w:color w:val="FF0000"/>
          <w:sz w:val="22"/>
          <w:lang w:eastAsia="zh-CN"/>
        </w:rPr>
        <w:t>t is unclear whether the ePDG sets ePDG FQDN in IDr payload in response only when authenticating ePDG with certificate is required.</w:t>
      </w:r>
    </w:p>
    <w:p>
      <w:pPr>
        <w:spacing w:after="120"/>
        <w:rPr>
          <w:color w:val="FF0000"/>
          <w:sz w:val="22"/>
          <w:lang w:eastAsia="zh-CN"/>
        </w:rPr>
      </w:pPr>
      <w:r>
        <w:rPr>
          <w:color w:val="FF0000"/>
          <w:sz w:val="22"/>
          <w:lang w:eastAsia="zh-CN"/>
        </w:rPr>
        <w:t>If the answer is "yes", what information should be set in the IDr payload by ePDG if authenticating ePDG with certificate is not required?</w:t>
      </w:r>
    </w:p>
    <w:p>
      <w:pPr>
        <w:rPr>
          <w:color w:val="FF0000"/>
          <w:sz w:val="22"/>
          <w:lang w:eastAsia="zh-CN"/>
        </w:rPr>
      </w:pPr>
      <w:r>
        <w:rPr>
          <w:color w:val="FF0000"/>
          <w:sz w:val="22"/>
          <w:lang w:eastAsia="zh-CN"/>
        </w:rPr>
        <w:t>NOTE:</w:t>
      </w:r>
      <w:r>
        <w:rPr>
          <w:color w:val="FF0000"/>
          <w:sz w:val="22"/>
          <w:lang w:eastAsia="zh-CN"/>
        </w:rPr>
        <w:tab/>
      </w:r>
      <w:r>
        <w:rPr>
          <w:color w:val="FF0000"/>
          <w:sz w:val="22"/>
          <w:lang w:eastAsia="zh-CN"/>
        </w:rPr>
        <w:t xml:space="preserve">At this point, the IDr payload cannot contain "APN" because there is </w:t>
      </w:r>
      <w:r>
        <w:rPr>
          <w:rFonts w:hint="eastAsia"/>
          <w:color w:val="FF0000"/>
          <w:sz w:val="22"/>
          <w:lang w:eastAsia="zh-CN"/>
        </w:rPr>
        <w:t>explicit</w:t>
      </w:r>
      <w:r>
        <w:rPr>
          <w:color w:val="FF0000"/>
          <w:sz w:val="22"/>
          <w:lang w:eastAsia="zh-CN"/>
        </w:rPr>
        <w:t xml:space="preserve"> requirement on when APN is provided as specified in TS</w:t>
      </w:r>
      <w:r>
        <w:rPr>
          <w:color w:val="FF0000"/>
          <w:sz w:val="22"/>
          <w:lang w:val="en-US" w:eastAsia="zh-CN"/>
        </w:rPr>
        <w:t> 23.402</w:t>
      </w:r>
      <w:r>
        <w:rPr>
          <w:color w:val="FF0000"/>
          <w:sz w:val="22"/>
          <w:lang w:eastAsia="zh-CN"/>
        </w:rPr>
        <w:t xml:space="preserve"> (see observation</w:t>
      </w:r>
      <w:r>
        <w:rPr>
          <w:color w:val="FF0000"/>
          <w:sz w:val="22"/>
          <w:lang w:val="en-US" w:eastAsia="zh-CN"/>
        </w:rPr>
        <w:t> 4)</w:t>
      </w:r>
      <w:r>
        <w:rPr>
          <w:color w:val="FF0000"/>
          <w:sz w:val="22"/>
          <w:lang w:eastAsia="zh-CN"/>
        </w:rPr>
        <w:t>.</w:t>
      </w:r>
    </w:p>
    <w:p>
      <w:pPr>
        <w:rPr>
          <w:sz w:val="22"/>
          <w:lang w:eastAsia="zh-CN"/>
        </w:rPr>
      </w:pPr>
    </w:p>
    <w:p>
      <w:pPr>
        <w:pStyle w:val="3"/>
        <w:spacing w:after="120"/>
        <w:rPr>
          <w:sz w:val="22"/>
          <w:szCs w:val="22"/>
          <w:u w:val="single"/>
          <w:lang w:eastAsia="zh-CN"/>
        </w:rPr>
      </w:pPr>
      <w:r>
        <w:rPr>
          <w:sz w:val="22"/>
          <w:szCs w:val="22"/>
          <w:u w:val="single"/>
          <w:lang w:eastAsia="zh-CN"/>
        </w:rPr>
        <w:t>Observation</w:t>
      </w:r>
      <w:r>
        <w:rPr>
          <w:sz w:val="22"/>
          <w:szCs w:val="22"/>
          <w:u w:val="single"/>
          <w:lang w:val="en-US" w:eastAsia="zh-CN"/>
        </w:rPr>
        <w:t> 4</w:t>
      </w:r>
    </w:p>
    <w:p>
      <w:pPr>
        <w:rPr>
          <w:sz w:val="22"/>
          <w:lang w:eastAsia="zh-CN"/>
        </w:rPr>
      </w:pPr>
      <w:r>
        <w:rPr>
          <w:sz w:val="22"/>
          <w:lang w:eastAsia="zh-CN"/>
        </w:rPr>
        <w:t>Turning to TS</w:t>
      </w:r>
      <w:r>
        <w:rPr>
          <w:sz w:val="22"/>
          <w:lang w:val="en-US" w:eastAsia="zh-CN"/>
        </w:rPr>
        <w:t> </w:t>
      </w:r>
      <w:r>
        <w:rPr>
          <w:sz w:val="22"/>
          <w:lang w:eastAsia="zh-CN"/>
        </w:rPr>
        <w:t>23.402, there is some description on the final IKEv2 message during tunnel establishment as shown below excerpted from clause 7.2.1 of TS 23.402.</w:t>
      </w:r>
    </w:p>
    <w:p>
      <w:pPr>
        <w:pStyle w:val="17"/>
        <w:rPr>
          <w:sz w:val="22"/>
          <w:szCs w:val="22"/>
          <w:lang w:eastAsia="zh-CN"/>
        </w:rPr>
      </w:pPr>
      <w:r>
        <w:rPr>
          <w:sz w:val="22"/>
          <w:szCs w:val="22"/>
          <w:lang w:eastAsia="zh-CN"/>
        </w:rPr>
        <w:t>"</w:t>
      </w:r>
    </w:p>
    <w:p>
      <w:pPr>
        <w:pStyle w:val="17"/>
        <w:rPr>
          <w:rFonts w:ascii="Times New Roman" w:hAnsi="Times New Roman"/>
          <w:i/>
          <w:sz w:val="18"/>
          <w:szCs w:val="18"/>
        </w:rPr>
      </w:pPr>
      <w:r>
        <w:rPr>
          <w:rFonts w:ascii="Times New Roman" w:hAnsi="Times New Roman"/>
          <w:i/>
          <w:sz w:val="18"/>
          <w:szCs w:val="18"/>
        </w:rPr>
        <w:t>8)</w:t>
      </w:r>
      <w:r>
        <w:rPr>
          <w:rFonts w:ascii="Times New Roman" w:hAnsi="Times New Roman"/>
          <w:i/>
          <w:sz w:val="18"/>
          <w:szCs w:val="18"/>
        </w:rPr>
        <w:tab/>
      </w:r>
      <w:r>
        <w:rPr>
          <w:rFonts w:ascii="Times New Roman" w:hAnsi="Times New Roman"/>
          <w:i/>
          <w:sz w:val="18"/>
          <w:szCs w:val="18"/>
          <w:highlight w:val="cyan"/>
        </w:rPr>
        <w:t xml:space="preserve">The ePDG sends the </w:t>
      </w:r>
      <w:r>
        <w:rPr>
          <w:rFonts w:ascii="Times New Roman" w:hAnsi="Times New Roman"/>
          <w:b/>
          <w:i/>
          <w:sz w:val="18"/>
          <w:szCs w:val="18"/>
          <w:highlight w:val="cyan"/>
        </w:rPr>
        <w:t>final</w:t>
      </w:r>
      <w:r>
        <w:rPr>
          <w:rFonts w:ascii="Times New Roman" w:hAnsi="Times New Roman"/>
          <w:i/>
          <w:sz w:val="18"/>
          <w:szCs w:val="18"/>
          <w:highlight w:val="cyan"/>
        </w:rPr>
        <w:t xml:space="preserve"> IKEv2 message</w:t>
      </w:r>
      <w:r>
        <w:rPr>
          <w:rFonts w:ascii="Times New Roman" w:hAnsi="Times New Roman"/>
          <w:i/>
          <w:sz w:val="18"/>
          <w:szCs w:val="18"/>
        </w:rPr>
        <w:t xml:space="preserve"> with the IP address in IKEv2 Configuration payloads. </w:t>
      </w:r>
      <w:r>
        <w:rPr>
          <w:rFonts w:ascii="Times New Roman" w:hAnsi="Times New Roman"/>
          <w:i/>
          <w:sz w:val="18"/>
          <w:szCs w:val="18"/>
          <w:highlight w:val="cyan"/>
        </w:rPr>
        <w:t>The ePDG also includes the identity of the associated PDN (APN) in the IDr payload of IKEv2. In case the UE provided APN to the ePDG in the earlier steps, the ePDG shall not change the provided APN.</w:t>
      </w:r>
    </w:p>
    <w:p>
      <w:pPr>
        <w:spacing w:after="120"/>
        <w:rPr>
          <w:sz w:val="22"/>
          <w:szCs w:val="22"/>
          <w:lang w:eastAsia="zh-CN"/>
        </w:rPr>
      </w:pPr>
      <w:r>
        <w:rPr>
          <w:rFonts w:hint="eastAsia"/>
          <w:sz w:val="22"/>
          <w:szCs w:val="22"/>
          <w:lang w:eastAsia="zh-CN"/>
        </w:rPr>
        <w:t>"</w:t>
      </w:r>
    </w:p>
    <w:p>
      <w:pPr>
        <w:spacing w:after="120"/>
        <w:rPr>
          <w:sz w:val="22"/>
          <w:szCs w:val="22"/>
          <w:lang w:eastAsia="zh-CN"/>
        </w:rPr>
      </w:pPr>
      <w:r>
        <w:rPr>
          <w:sz w:val="22"/>
          <w:szCs w:val="22"/>
          <w:lang w:eastAsia="zh-CN"/>
        </w:rPr>
        <w:t xml:space="preserve">Based on the </w:t>
      </w:r>
      <w:r>
        <w:rPr>
          <w:sz w:val="22"/>
          <w:szCs w:val="22"/>
          <w:highlight w:val="cyan"/>
          <w:lang w:eastAsia="zh-CN"/>
        </w:rPr>
        <w:t>cyan highlighted texts</w:t>
      </w:r>
      <w:r>
        <w:rPr>
          <w:sz w:val="22"/>
          <w:szCs w:val="22"/>
          <w:lang w:eastAsia="zh-CN"/>
        </w:rPr>
        <w:t xml:space="preserve"> above, although the UE sends the APN in the IKE_AUTH request message of the first IKE_AUTH exchange, the ePDG does not provide the APN in the IKE_AUTH response message of the first IKE_AUTH exchange.</w:t>
      </w:r>
    </w:p>
    <w:p>
      <w:pPr>
        <w:spacing w:after="120"/>
        <w:rPr>
          <w:sz w:val="22"/>
          <w:szCs w:val="22"/>
          <w:lang w:eastAsia="zh-CN"/>
        </w:rPr>
      </w:pPr>
    </w:p>
    <w:p>
      <w:pPr>
        <w:pStyle w:val="3"/>
        <w:spacing w:after="120"/>
        <w:rPr>
          <w:color w:val="FF0000"/>
          <w:sz w:val="22"/>
          <w:szCs w:val="22"/>
          <w:u w:val="single"/>
          <w:lang w:eastAsia="zh-CN"/>
        </w:rPr>
      </w:pPr>
      <w:r>
        <w:rPr>
          <w:color w:val="FF0000"/>
          <w:sz w:val="22"/>
          <w:szCs w:val="22"/>
          <w:u w:val="single"/>
          <w:lang w:eastAsia="zh-CN"/>
        </w:rPr>
        <w:t>Issue</w:t>
      </w:r>
      <w:r>
        <w:rPr>
          <w:color w:val="FF0000"/>
          <w:sz w:val="22"/>
          <w:szCs w:val="22"/>
          <w:u w:val="single"/>
          <w:lang w:val="en-US" w:eastAsia="zh-CN"/>
        </w:rPr>
        <w:t> </w:t>
      </w:r>
      <w:r>
        <w:rPr>
          <w:color w:val="FF0000"/>
          <w:sz w:val="22"/>
          <w:szCs w:val="22"/>
          <w:u w:val="single"/>
          <w:lang w:eastAsia="zh-CN"/>
        </w:rPr>
        <w:t>3</w:t>
      </w:r>
    </w:p>
    <w:p>
      <w:pPr>
        <w:spacing w:after="120"/>
        <w:rPr>
          <w:color w:val="FF0000"/>
          <w:sz w:val="22"/>
          <w:szCs w:val="22"/>
          <w:lang w:eastAsia="zh-CN"/>
        </w:rPr>
      </w:pPr>
      <w:r>
        <w:rPr>
          <w:color w:val="FF0000"/>
          <w:sz w:val="22"/>
          <w:szCs w:val="22"/>
          <w:lang w:eastAsia="zh-CN"/>
        </w:rPr>
        <w:t>During the tunnel establishment procedure, there UE receives IDr payload two times with different information, i.e.:</w:t>
      </w:r>
    </w:p>
    <w:p>
      <w:pPr>
        <w:pStyle w:val="17"/>
        <w:overflowPunct w:val="0"/>
        <w:autoSpaceDE w:val="0"/>
        <w:autoSpaceDN w:val="0"/>
        <w:adjustRightInd w:val="0"/>
        <w:spacing w:after="180"/>
        <w:ind w:left="568" w:hanging="284"/>
        <w:jc w:val="left"/>
        <w:textAlignment w:val="baseline"/>
        <w:rPr>
          <w:rFonts w:ascii="Times New Roman" w:hAnsi="Times New Roman"/>
          <w:color w:val="FF0000"/>
          <w:sz w:val="22"/>
          <w:lang w:val="en-US" w:eastAsia="zh-CN"/>
        </w:rPr>
      </w:pPr>
      <w:r>
        <w:rPr>
          <w:rFonts w:ascii="Times New Roman" w:hAnsi="Times New Roman"/>
          <w:color w:val="FF0000"/>
          <w:sz w:val="22"/>
          <w:lang w:val="en-US" w:eastAsia="zh-CN"/>
        </w:rPr>
        <w:t>a)</w:t>
      </w:r>
      <w:r>
        <w:rPr>
          <w:rFonts w:ascii="Times New Roman" w:hAnsi="Times New Roman"/>
          <w:color w:val="FF0000"/>
          <w:sz w:val="22"/>
          <w:lang w:val="en-US" w:eastAsia="zh-CN"/>
        </w:rPr>
        <w:tab/>
      </w:r>
      <w:r>
        <w:rPr>
          <w:rFonts w:ascii="Times New Roman" w:hAnsi="Times New Roman"/>
          <w:color w:val="FF0000"/>
          <w:sz w:val="22"/>
          <w:lang w:val="en-US" w:eastAsia="zh-CN"/>
        </w:rPr>
        <w:t>the IKE_AUTH response message of the first IKE_AUTH exchange and the IDr payload containing ePDG FQDN; and</w:t>
      </w:r>
    </w:p>
    <w:p>
      <w:pPr>
        <w:pStyle w:val="17"/>
        <w:overflowPunct w:val="0"/>
        <w:autoSpaceDE w:val="0"/>
        <w:autoSpaceDN w:val="0"/>
        <w:adjustRightInd w:val="0"/>
        <w:spacing w:after="180"/>
        <w:ind w:left="568" w:hanging="284"/>
        <w:jc w:val="left"/>
        <w:textAlignment w:val="baseline"/>
        <w:rPr>
          <w:rFonts w:ascii="Times New Roman" w:hAnsi="Times New Roman"/>
          <w:color w:val="FF0000"/>
          <w:sz w:val="22"/>
          <w:lang w:val="en-US" w:eastAsia="zh-CN"/>
        </w:rPr>
      </w:pPr>
      <w:r>
        <w:rPr>
          <w:rFonts w:ascii="Times New Roman" w:hAnsi="Times New Roman"/>
          <w:color w:val="FF0000"/>
          <w:sz w:val="22"/>
          <w:lang w:val="en-US" w:eastAsia="zh-CN"/>
        </w:rPr>
        <w:t>b)</w:t>
      </w:r>
      <w:r>
        <w:rPr>
          <w:rFonts w:ascii="Times New Roman" w:hAnsi="Times New Roman"/>
          <w:color w:val="FF0000"/>
          <w:sz w:val="22"/>
          <w:lang w:val="en-US" w:eastAsia="zh-CN"/>
        </w:rPr>
        <w:tab/>
      </w:r>
      <w:r>
        <w:rPr>
          <w:rFonts w:ascii="Times New Roman" w:hAnsi="Times New Roman"/>
          <w:color w:val="FF0000"/>
          <w:sz w:val="22"/>
          <w:lang w:val="en-US" w:eastAsia="zh-CN"/>
        </w:rPr>
        <w:t>the final IKE_AUTH response message and the IDr payload containing APN.</w:t>
      </w:r>
    </w:p>
    <w:p>
      <w:pPr>
        <w:pStyle w:val="17"/>
        <w:spacing w:after="120" w:afterLines="50"/>
        <w:rPr>
          <w:color w:val="FF0000"/>
          <w:sz w:val="22"/>
          <w:szCs w:val="22"/>
          <w:lang w:eastAsia="zh-CN"/>
        </w:rPr>
      </w:pPr>
      <w:r>
        <w:rPr>
          <w:rFonts w:ascii="Times New Roman" w:hAnsi="Times New Roman"/>
          <w:color w:val="FF0000"/>
          <w:sz w:val="22"/>
          <w:lang w:eastAsia="zh-CN"/>
        </w:rPr>
        <w:t>It is unclear whether such operation will cause any error in the UE.</w:t>
      </w:r>
    </w:p>
    <w:bookmarkEnd w:id="2"/>
    <w:p>
      <w:pPr>
        <w:spacing w:after="120"/>
        <w:ind w:left="200" w:leftChars="100"/>
        <w:rPr>
          <w:lang w:eastAsia="zh-CN"/>
        </w:rPr>
      </w:pPr>
    </w:p>
    <w:p>
      <w:pPr>
        <w:pStyle w:val="2"/>
        <w:rPr>
          <w:lang w:eastAsia="zh-CN"/>
        </w:rPr>
      </w:pPr>
      <w:r>
        <w:rPr>
          <w:lang w:eastAsia="zh-CN"/>
        </w:rPr>
        <w:t>3.</w:t>
      </w:r>
      <w:r>
        <w:rPr>
          <w:lang w:eastAsia="zh-CN"/>
        </w:rPr>
        <w:tab/>
      </w:r>
      <w:r>
        <w:rPr>
          <w:lang w:eastAsia="zh-CN"/>
        </w:rPr>
        <w:t>Proposals</w:t>
      </w:r>
    </w:p>
    <w:p>
      <w:pPr>
        <w:spacing w:after="120"/>
        <w:rPr>
          <w:lang w:val="en-US" w:eastAsia="zh-CN"/>
        </w:rPr>
      </w:pPr>
      <w:r>
        <w:rPr>
          <w:rFonts w:hint="eastAsia"/>
          <w:lang w:eastAsia="zh-CN"/>
        </w:rPr>
        <w:t>C</w:t>
      </w:r>
      <w:r>
        <w:rPr>
          <w:lang w:eastAsia="zh-CN"/>
        </w:rPr>
        <w:t>onsidering the facts reflected in the observations have been specified in stage</w:t>
      </w:r>
      <w:r>
        <w:rPr>
          <w:lang w:val="en-US" w:eastAsia="zh-CN"/>
        </w:rPr>
        <w:t> </w:t>
      </w:r>
      <w:r>
        <w:rPr>
          <w:lang w:eastAsia="zh-CN"/>
        </w:rPr>
        <w:t>2 specifications (TS</w:t>
      </w:r>
      <w:r>
        <w:rPr>
          <w:lang w:val="en-US" w:eastAsia="zh-CN"/>
        </w:rPr>
        <w:t> 23.402 and TS 33.402</w:t>
      </w:r>
      <w:r>
        <w:rPr>
          <w:lang w:eastAsia="zh-CN"/>
        </w:rPr>
        <w:t>) since Rel-8, it is proposed to address the uncertainties in these issues from clarification perspective in TS</w:t>
      </w:r>
      <w:r>
        <w:rPr>
          <w:lang w:val="en-US" w:eastAsia="zh-CN"/>
        </w:rPr>
        <w:t> 24.302.</w:t>
      </w:r>
    </w:p>
    <w:p>
      <w:pPr>
        <w:spacing w:after="120"/>
        <w:rPr>
          <w:b/>
          <w:lang w:val="en-US" w:eastAsia="zh-CN"/>
        </w:rPr>
      </w:pPr>
      <w:r>
        <w:rPr>
          <w:b/>
          <w:lang w:eastAsia="zh-CN"/>
        </w:rPr>
        <w:t>To address issue</w:t>
      </w:r>
      <w:r>
        <w:rPr>
          <w:b/>
          <w:lang w:val="en-US" w:eastAsia="zh-CN"/>
        </w:rPr>
        <w:t xml:space="preserve"> 1, </w:t>
      </w:r>
      <w:r>
        <w:rPr>
          <w:b/>
          <w:lang w:eastAsia="zh-CN"/>
        </w:rPr>
        <w:t>issue</w:t>
      </w:r>
      <w:r>
        <w:rPr>
          <w:b/>
          <w:lang w:val="en-US" w:eastAsia="zh-CN"/>
        </w:rPr>
        <w:t xml:space="preserve"> 2 and issue 3, it proposes to </w:t>
      </w:r>
      <w:r>
        <w:rPr>
          <w:rFonts w:hint="eastAsia"/>
          <w:b/>
          <w:lang w:val="en-US" w:eastAsia="zh-CN"/>
        </w:rPr>
        <w:t xml:space="preserve">add following clarifications </w:t>
      </w:r>
      <w:r>
        <w:rPr>
          <w:b/>
          <w:lang w:val="en-US" w:eastAsia="zh-CN"/>
        </w:rPr>
        <w:t xml:space="preserve">in TS 24.302 (see </w:t>
      </w:r>
      <w:r>
        <w:rPr>
          <w:rFonts w:hint="eastAsia"/>
          <w:b/>
          <w:lang w:val="en-US" w:eastAsia="zh-CN"/>
        </w:rPr>
        <w:t xml:space="preserve">CR </w:t>
      </w:r>
      <w:r>
        <w:rPr>
          <w:b/>
          <w:lang w:val="en-US" w:eastAsia="zh-CN"/>
        </w:rPr>
        <w:t>C1-24</w:t>
      </w:r>
      <w:r>
        <w:rPr>
          <w:rFonts w:hint="eastAsia"/>
          <w:b/>
          <w:lang w:val="en-US" w:eastAsia="zh-CN"/>
        </w:rPr>
        <w:t>2229</w:t>
      </w:r>
      <w:r>
        <w:rPr>
          <w:b/>
          <w:lang w:val="en-US" w:eastAsia="zh-CN"/>
        </w:rPr>
        <w:t>):</w:t>
      </w:r>
    </w:p>
    <w:p>
      <w:pPr>
        <w:pStyle w:val="17"/>
        <w:overflowPunct w:val="0"/>
        <w:autoSpaceDE w:val="0"/>
        <w:autoSpaceDN w:val="0"/>
        <w:adjustRightInd w:val="0"/>
        <w:spacing w:after="180"/>
        <w:ind w:left="568" w:hanging="284"/>
        <w:jc w:val="left"/>
        <w:textAlignment w:val="baseline"/>
        <w:rPr>
          <w:rFonts w:ascii="Times New Roman" w:hAnsi="Times New Roman"/>
          <w:lang w:val="en-US" w:eastAsia="zh-CN"/>
        </w:rPr>
      </w:pPr>
      <w:r>
        <w:rPr>
          <w:rFonts w:ascii="Times New Roman" w:hAnsi="Times New Roman"/>
          <w:lang w:val="en-US" w:eastAsia="zh-CN"/>
        </w:rPr>
        <w:t>-</w:t>
      </w:r>
      <w:r>
        <w:rPr>
          <w:rFonts w:ascii="Times New Roman" w:hAnsi="Times New Roman"/>
          <w:lang w:val="en-US" w:eastAsia="zh-CN"/>
        </w:rPr>
        <w:tab/>
      </w:r>
      <w:r>
        <w:rPr>
          <w:rFonts w:ascii="Times New Roman" w:hAnsi="Times New Roman"/>
          <w:lang w:val="en-US" w:eastAsia="zh-CN"/>
        </w:rPr>
        <w:t>the ePDG shall include IDr payload containing ePDG identifier in the IKE_AUTH response message of the first IKE_AUTH exchange</w:t>
      </w:r>
      <w:r>
        <w:rPr>
          <w:rFonts w:hint="eastAsia" w:ascii="Times New Roman" w:hAnsi="Times New Roman"/>
          <w:lang w:val="en-US" w:eastAsia="zh-CN"/>
        </w:rPr>
        <w:t xml:space="preserve"> (</w:t>
      </w:r>
      <w:r>
        <w:rPr>
          <w:rFonts w:ascii="Times New Roman" w:hAnsi="Times New Roman"/>
          <w:lang w:val="en-US" w:eastAsia="zh-CN"/>
        </w:rPr>
        <w:t>regardless of whether authenticating ePDG with certificate is required</w:t>
      </w:r>
      <w:r>
        <w:rPr>
          <w:rFonts w:hint="eastAsia" w:ascii="Times New Roman" w:hAnsi="Times New Roman"/>
          <w:lang w:val="en-US" w:eastAsia="zh-CN"/>
        </w:rPr>
        <w:t>)</w:t>
      </w:r>
      <w:r>
        <w:rPr>
          <w:rFonts w:ascii="Times New Roman" w:hAnsi="Times New Roman"/>
          <w:lang w:val="en-US" w:eastAsia="zh-CN"/>
        </w:rPr>
        <w:t>;</w:t>
      </w:r>
    </w:p>
    <w:p>
      <w:pPr>
        <w:pStyle w:val="17"/>
        <w:overflowPunct w:val="0"/>
        <w:autoSpaceDE w:val="0"/>
        <w:autoSpaceDN w:val="0"/>
        <w:adjustRightInd w:val="0"/>
        <w:spacing w:after="180"/>
        <w:ind w:left="568" w:hanging="284"/>
        <w:jc w:val="left"/>
        <w:textAlignment w:val="baseline"/>
        <w:rPr>
          <w:rFonts w:ascii="Times New Roman" w:hAnsi="Times New Roman"/>
          <w:lang w:val="en-US" w:eastAsia="zh-CN"/>
        </w:rPr>
      </w:pPr>
      <w:r>
        <w:rPr>
          <w:rFonts w:ascii="Times New Roman" w:hAnsi="Times New Roman"/>
          <w:lang w:val="en-US" w:eastAsia="zh-CN"/>
        </w:rPr>
        <w:t>-</w:t>
      </w:r>
      <w:r>
        <w:rPr>
          <w:rFonts w:ascii="Times New Roman" w:hAnsi="Times New Roman"/>
          <w:lang w:val="en-US" w:eastAsia="zh-CN"/>
        </w:rPr>
        <w:tab/>
      </w:r>
      <w:r>
        <w:rPr>
          <w:rFonts w:ascii="Times New Roman" w:hAnsi="Times New Roman"/>
          <w:lang w:val="en-US" w:eastAsia="zh-CN"/>
        </w:rPr>
        <w:t>the ePDG shall include IDr payload containing APN in the final IKE_AUTH response message</w:t>
      </w:r>
      <w:r>
        <w:rPr>
          <w:rFonts w:hint="eastAsia" w:ascii="Times New Roman" w:hAnsi="Times New Roman"/>
          <w:lang w:val="en-US" w:eastAsia="zh-CN"/>
        </w:rPr>
        <w:t>;</w:t>
      </w:r>
      <w:r>
        <w:rPr>
          <w:rFonts w:ascii="Times New Roman" w:hAnsi="Times New Roman"/>
          <w:lang w:val="en-US" w:eastAsia="zh-CN"/>
        </w:rPr>
        <w:t xml:space="preserve"> and</w:t>
      </w:r>
    </w:p>
    <w:p>
      <w:pPr>
        <w:spacing w:after="120"/>
        <w:rPr>
          <w:b/>
          <w:lang w:val="en-US" w:eastAsia="zh-CN"/>
        </w:rPr>
      </w:pPr>
      <w:r>
        <w:rPr>
          <w:b/>
          <w:lang w:eastAsia="zh-CN"/>
        </w:rPr>
        <w:t>In addition</w:t>
      </w:r>
      <w:r>
        <w:rPr>
          <w:b/>
          <w:lang w:val="en-US" w:eastAsia="zh-CN"/>
        </w:rPr>
        <w:t xml:space="preserve">, it proposes to fill in the missing part TS 24.302 (see </w:t>
      </w:r>
      <w:r>
        <w:rPr>
          <w:rFonts w:hint="eastAsia"/>
          <w:b/>
          <w:lang w:val="en-US" w:eastAsia="zh-CN"/>
        </w:rPr>
        <w:t xml:space="preserve">CR </w:t>
      </w:r>
      <w:bookmarkStart w:id="3" w:name="_GoBack"/>
      <w:bookmarkEnd w:id="3"/>
      <w:r>
        <w:rPr>
          <w:b/>
          <w:lang w:val="en-US" w:eastAsia="zh-CN"/>
        </w:rPr>
        <w:t>C1-24</w:t>
      </w:r>
      <w:r>
        <w:rPr>
          <w:rFonts w:hint="eastAsia"/>
          <w:b/>
          <w:lang w:val="en-US" w:eastAsia="zh-CN"/>
        </w:rPr>
        <w:t>2230</w:t>
      </w:r>
      <w:r>
        <w:rPr>
          <w:b/>
          <w:lang w:val="en-US" w:eastAsia="zh-CN"/>
        </w:rPr>
        <w:t>). In this way, it clarifies that provisioning ePDG ID is irrelevant with requirement of authentication with ePDG's certificate.</w:t>
      </w:r>
    </w:p>
    <w:p>
      <w:pPr>
        <w:pStyle w:val="17"/>
        <w:overflowPunct w:val="0"/>
        <w:autoSpaceDE w:val="0"/>
        <w:autoSpaceDN w:val="0"/>
        <w:adjustRightInd w:val="0"/>
        <w:spacing w:after="180"/>
        <w:ind w:left="568" w:hanging="284"/>
        <w:jc w:val="left"/>
        <w:textAlignment w:val="baseline"/>
        <w:rPr>
          <w:rFonts w:ascii="Times New Roman" w:hAnsi="Times New Roman"/>
          <w:lang w:val="en-US" w:eastAsia="zh-CN"/>
        </w:rPr>
      </w:pPr>
      <w:r>
        <w:rPr>
          <w:rFonts w:ascii="Times New Roman" w:hAnsi="Times New Roman"/>
          <w:lang w:val="en-US" w:eastAsia="zh-CN"/>
        </w:rPr>
        <w:t>a)</w:t>
      </w:r>
      <w:r>
        <w:rPr>
          <w:rFonts w:ascii="Times New Roman" w:hAnsi="Times New Roman"/>
          <w:lang w:val="en-US" w:eastAsia="zh-CN"/>
        </w:rPr>
        <w:tab/>
      </w:r>
      <w:r>
        <w:rPr>
          <w:rFonts w:ascii="Times New Roman" w:hAnsi="Times New Roman"/>
          <w:lang w:val="en-US" w:eastAsia="zh-CN"/>
        </w:rPr>
        <w:t>the UE shall include CERTREQ payload in the IKE_AUTH request message if the UE is provisioned with the ePDG root certificate.</w:t>
      </w:r>
    </w:p>
    <w:p>
      <w:pPr>
        <w:pStyle w:val="17"/>
        <w:overflowPunct w:val="0"/>
        <w:autoSpaceDE w:val="0"/>
        <w:autoSpaceDN w:val="0"/>
        <w:adjustRightInd w:val="0"/>
        <w:spacing w:after="180"/>
        <w:ind w:left="568" w:hanging="284"/>
        <w:jc w:val="left"/>
        <w:textAlignment w:val="baseline"/>
        <w:rPr>
          <w:rFonts w:ascii="Times New Roman" w:hAnsi="Times New Roman"/>
          <w:lang w:val="en-US" w:eastAsia="zh-CN"/>
        </w:rPr>
      </w:pPr>
      <w:r>
        <w:rPr>
          <w:rFonts w:ascii="Times New Roman" w:hAnsi="Times New Roman"/>
          <w:lang w:val="en-US" w:eastAsia="zh-CN"/>
        </w:rPr>
        <w:t>b)</w:t>
      </w:r>
      <w:r>
        <w:rPr>
          <w:rFonts w:ascii="Times New Roman" w:hAnsi="Times New Roman"/>
          <w:lang w:val="en-US" w:eastAsia="zh-CN"/>
        </w:rPr>
        <w:tab/>
      </w:r>
      <w:r>
        <w:rPr>
          <w:rFonts w:ascii="Times New Roman" w:hAnsi="Times New Roman"/>
          <w:lang w:val="en-US" w:eastAsia="zh-CN"/>
        </w:rPr>
        <w:t>the ePDG shall include CERT payload containing ePDG's certificate if CERTREQ payload is received in the IKE_AUTH request message.</w:t>
      </w:r>
    </w:p>
    <w:p>
      <w:pPr>
        <w:spacing w:after="120"/>
        <w:rPr>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5CF"/>
    <w:rsid w:val="00006BAF"/>
    <w:rsid w:val="0001570A"/>
    <w:rsid w:val="00015C52"/>
    <w:rsid w:val="0002191A"/>
    <w:rsid w:val="00021EAC"/>
    <w:rsid w:val="000252C7"/>
    <w:rsid w:val="0002680D"/>
    <w:rsid w:val="00026D84"/>
    <w:rsid w:val="00030CD4"/>
    <w:rsid w:val="00035E22"/>
    <w:rsid w:val="0003759D"/>
    <w:rsid w:val="00044666"/>
    <w:rsid w:val="00045149"/>
    <w:rsid w:val="00046686"/>
    <w:rsid w:val="00046FDD"/>
    <w:rsid w:val="00050925"/>
    <w:rsid w:val="0005182B"/>
    <w:rsid w:val="000528AC"/>
    <w:rsid w:val="00054884"/>
    <w:rsid w:val="00057E1E"/>
    <w:rsid w:val="00060606"/>
    <w:rsid w:val="00060AE9"/>
    <w:rsid w:val="00063A63"/>
    <w:rsid w:val="00063CFE"/>
    <w:rsid w:val="000717BA"/>
    <w:rsid w:val="00072A7C"/>
    <w:rsid w:val="000768FE"/>
    <w:rsid w:val="00076F5B"/>
    <w:rsid w:val="000775E7"/>
    <w:rsid w:val="0007775C"/>
    <w:rsid w:val="00080461"/>
    <w:rsid w:val="000815DF"/>
    <w:rsid w:val="000825DB"/>
    <w:rsid w:val="00086419"/>
    <w:rsid w:val="00086585"/>
    <w:rsid w:val="00090E1C"/>
    <w:rsid w:val="00092A0E"/>
    <w:rsid w:val="00092EB9"/>
    <w:rsid w:val="00094F23"/>
    <w:rsid w:val="00095031"/>
    <w:rsid w:val="00096799"/>
    <w:rsid w:val="000967F4"/>
    <w:rsid w:val="000B0C67"/>
    <w:rsid w:val="000B22E5"/>
    <w:rsid w:val="000B3C7B"/>
    <w:rsid w:val="000B404E"/>
    <w:rsid w:val="000B42CA"/>
    <w:rsid w:val="000B46BF"/>
    <w:rsid w:val="000B5510"/>
    <w:rsid w:val="000B62FE"/>
    <w:rsid w:val="000B70E6"/>
    <w:rsid w:val="000C109D"/>
    <w:rsid w:val="000C2897"/>
    <w:rsid w:val="000C52A8"/>
    <w:rsid w:val="000D58DF"/>
    <w:rsid w:val="000D5F8E"/>
    <w:rsid w:val="000D6D78"/>
    <w:rsid w:val="000E0429"/>
    <w:rsid w:val="000F1685"/>
    <w:rsid w:val="000F5BE4"/>
    <w:rsid w:val="000F601F"/>
    <w:rsid w:val="000F6C9E"/>
    <w:rsid w:val="000F6E51"/>
    <w:rsid w:val="00102A24"/>
    <w:rsid w:val="00103FFE"/>
    <w:rsid w:val="001042B5"/>
    <w:rsid w:val="00107E87"/>
    <w:rsid w:val="00110AB6"/>
    <w:rsid w:val="00110DA8"/>
    <w:rsid w:val="0011580D"/>
    <w:rsid w:val="001273AB"/>
    <w:rsid w:val="00130B7E"/>
    <w:rsid w:val="0013259C"/>
    <w:rsid w:val="001352D3"/>
    <w:rsid w:val="00135831"/>
    <w:rsid w:val="001376A6"/>
    <w:rsid w:val="001424CD"/>
    <w:rsid w:val="0014413C"/>
    <w:rsid w:val="00145E94"/>
    <w:rsid w:val="00146C1E"/>
    <w:rsid w:val="001476A7"/>
    <w:rsid w:val="00153305"/>
    <w:rsid w:val="0015640E"/>
    <w:rsid w:val="0016007E"/>
    <w:rsid w:val="00163137"/>
    <w:rsid w:val="00163D28"/>
    <w:rsid w:val="00166A1B"/>
    <w:rsid w:val="001762C9"/>
    <w:rsid w:val="00181F38"/>
    <w:rsid w:val="00182D51"/>
    <w:rsid w:val="001844A9"/>
    <w:rsid w:val="00192B41"/>
    <w:rsid w:val="001944EA"/>
    <w:rsid w:val="00194DA2"/>
    <w:rsid w:val="0019580D"/>
    <w:rsid w:val="00197E4A"/>
    <w:rsid w:val="001A0CA5"/>
    <w:rsid w:val="001A31EF"/>
    <w:rsid w:val="001B01F1"/>
    <w:rsid w:val="001B15C2"/>
    <w:rsid w:val="001B1F75"/>
    <w:rsid w:val="001B2414"/>
    <w:rsid w:val="001B5421"/>
    <w:rsid w:val="001B650D"/>
    <w:rsid w:val="001C09D4"/>
    <w:rsid w:val="001C7DDC"/>
    <w:rsid w:val="001D0B09"/>
    <w:rsid w:val="001D17D9"/>
    <w:rsid w:val="001D6DE6"/>
    <w:rsid w:val="001E0922"/>
    <w:rsid w:val="001E205D"/>
    <w:rsid w:val="001E5E4B"/>
    <w:rsid w:val="001E6729"/>
    <w:rsid w:val="001E7962"/>
    <w:rsid w:val="001F4D42"/>
    <w:rsid w:val="002070CB"/>
    <w:rsid w:val="00216327"/>
    <w:rsid w:val="002228DD"/>
    <w:rsid w:val="0022653D"/>
    <w:rsid w:val="0023221F"/>
    <w:rsid w:val="002336BF"/>
    <w:rsid w:val="00234745"/>
    <w:rsid w:val="00235943"/>
    <w:rsid w:val="00235F96"/>
    <w:rsid w:val="00235F9B"/>
    <w:rsid w:val="00236BBA"/>
    <w:rsid w:val="00236D1F"/>
    <w:rsid w:val="00237039"/>
    <w:rsid w:val="002407FF"/>
    <w:rsid w:val="002410E5"/>
    <w:rsid w:val="00250F58"/>
    <w:rsid w:val="002525E7"/>
    <w:rsid w:val="002531A9"/>
    <w:rsid w:val="00253E5D"/>
    <w:rsid w:val="002541D3"/>
    <w:rsid w:val="00256082"/>
    <w:rsid w:val="00256429"/>
    <w:rsid w:val="00256712"/>
    <w:rsid w:val="00256F52"/>
    <w:rsid w:val="00261BB3"/>
    <w:rsid w:val="0026253E"/>
    <w:rsid w:val="00272D61"/>
    <w:rsid w:val="00274CDE"/>
    <w:rsid w:val="002752AA"/>
    <w:rsid w:val="00275BD0"/>
    <w:rsid w:val="00280859"/>
    <w:rsid w:val="00285BEE"/>
    <w:rsid w:val="002917E6"/>
    <w:rsid w:val="002919B7"/>
    <w:rsid w:val="00291EDE"/>
    <w:rsid w:val="00295D61"/>
    <w:rsid w:val="002A0C30"/>
    <w:rsid w:val="002A2EE2"/>
    <w:rsid w:val="002A4990"/>
    <w:rsid w:val="002A7D1D"/>
    <w:rsid w:val="002B074C"/>
    <w:rsid w:val="002B2DED"/>
    <w:rsid w:val="002B2FE7"/>
    <w:rsid w:val="002B34EA"/>
    <w:rsid w:val="002B39CA"/>
    <w:rsid w:val="002B5361"/>
    <w:rsid w:val="002B5B8A"/>
    <w:rsid w:val="002C024D"/>
    <w:rsid w:val="002C199E"/>
    <w:rsid w:val="002C1BA4"/>
    <w:rsid w:val="002C3FDE"/>
    <w:rsid w:val="002C47B8"/>
    <w:rsid w:val="002D2F6D"/>
    <w:rsid w:val="002D50A2"/>
    <w:rsid w:val="002E397B"/>
    <w:rsid w:val="002E3AE2"/>
    <w:rsid w:val="002E467A"/>
    <w:rsid w:val="002E67D8"/>
    <w:rsid w:val="002F006E"/>
    <w:rsid w:val="002F17A5"/>
    <w:rsid w:val="002F1DDB"/>
    <w:rsid w:val="002F2E79"/>
    <w:rsid w:val="002F4B10"/>
    <w:rsid w:val="002F4C48"/>
    <w:rsid w:val="002F5847"/>
    <w:rsid w:val="002F7CCB"/>
    <w:rsid w:val="00302F9F"/>
    <w:rsid w:val="00303C7D"/>
    <w:rsid w:val="00303EF6"/>
    <w:rsid w:val="00307F7A"/>
    <w:rsid w:val="00310E70"/>
    <w:rsid w:val="00312B90"/>
    <w:rsid w:val="00313F3E"/>
    <w:rsid w:val="00314C4C"/>
    <w:rsid w:val="0031601B"/>
    <w:rsid w:val="00316F4D"/>
    <w:rsid w:val="00320536"/>
    <w:rsid w:val="0032086E"/>
    <w:rsid w:val="00323742"/>
    <w:rsid w:val="00323F2C"/>
    <w:rsid w:val="00325DEA"/>
    <w:rsid w:val="00325E33"/>
    <w:rsid w:val="00326C81"/>
    <w:rsid w:val="003275E6"/>
    <w:rsid w:val="00330FB3"/>
    <w:rsid w:val="003361BD"/>
    <w:rsid w:val="003374DC"/>
    <w:rsid w:val="00341814"/>
    <w:rsid w:val="003469F7"/>
    <w:rsid w:val="00354553"/>
    <w:rsid w:val="003603B5"/>
    <w:rsid w:val="0036426D"/>
    <w:rsid w:val="00364C74"/>
    <w:rsid w:val="00364E50"/>
    <w:rsid w:val="00365D6E"/>
    <w:rsid w:val="00370D78"/>
    <w:rsid w:val="00372C4D"/>
    <w:rsid w:val="00373872"/>
    <w:rsid w:val="00382635"/>
    <w:rsid w:val="003833D4"/>
    <w:rsid w:val="003840B4"/>
    <w:rsid w:val="003925C9"/>
    <w:rsid w:val="00392C87"/>
    <w:rsid w:val="00396197"/>
    <w:rsid w:val="003A0288"/>
    <w:rsid w:val="003A5FFA"/>
    <w:rsid w:val="003A67E1"/>
    <w:rsid w:val="003B2047"/>
    <w:rsid w:val="003B2A9D"/>
    <w:rsid w:val="003B42ED"/>
    <w:rsid w:val="003C53AB"/>
    <w:rsid w:val="003D09FD"/>
    <w:rsid w:val="003D1D6F"/>
    <w:rsid w:val="003D2C6C"/>
    <w:rsid w:val="003D4593"/>
    <w:rsid w:val="003D67F8"/>
    <w:rsid w:val="003E0703"/>
    <w:rsid w:val="003E2C8B"/>
    <w:rsid w:val="003E562A"/>
    <w:rsid w:val="003E675C"/>
    <w:rsid w:val="003E710B"/>
    <w:rsid w:val="003E7B2A"/>
    <w:rsid w:val="003F1C0E"/>
    <w:rsid w:val="003F6B77"/>
    <w:rsid w:val="004008D7"/>
    <w:rsid w:val="0040145D"/>
    <w:rsid w:val="0040453F"/>
    <w:rsid w:val="00410186"/>
    <w:rsid w:val="00411339"/>
    <w:rsid w:val="00412708"/>
    <w:rsid w:val="004131BD"/>
    <w:rsid w:val="00416CEA"/>
    <w:rsid w:val="00421AFD"/>
    <w:rsid w:val="0042653B"/>
    <w:rsid w:val="00432048"/>
    <w:rsid w:val="00433EC9"/>
    <w:rsid w:val="0044076C"/>
    <w:rsid w:val="00442663"/>
    <w:rsid w:val="00443656"/>
    <w:rsid w:val="00445503"/>
    <w:rsid w:val="00450C0F"/>
    <w:rsid w:val="004518DB"/>
    <w:rsid w:val="00453579"/>
    <w:rsid w:val="00461BA6"/>
    <w:rsid w:val="00466A26"/>
    <w:rsid w:val="00467E37"/>
    <w:rsid w:val="004726C5"/>
    <w:rsid w:val="00477EBC"/>
    <w:rsid w:val="004820AE"/>
    <w:rsid w:val="00482477"/>
    <w:rsid w:val="00491815"/>
    <w:rsid w:val="004922D7"/>
    <w:rsid w:val="00495CEC"/>
    <w:rsid w:val="00495E00"/>
    <w:rsid w:val="00496AEF"/>
    <w:rsid w:val="004A0A73"/>
    <w:rsid w:val="004A661C"/>
    <w:rsid w:val="004A677C"/>
    <w:rsid w:val="004B0EF0"/>
    <w:rsid w:val="004B6814"/>
    <w:rsid w:val="004B6ABE"/>
    <w:rsid w:val="004C1597"/>
    <w:rsid w:val="004C481F"/>
    <w:rsid w:val="004C4C9B"/>
    <w:rsid w:val="004D05FB"/>
    <w:rsid w:val="004D11BD"/>
    <w:rsid w:val="004D2FA0"/>
    <w:rsid w:val="004D6A7E"/>
    <w:rsid w:val="004D6D84"/>
    <w:rsid w:val="004D7F2F"/>
    <w:rsid w:val="004E0A34"/>
    <w:rsid w:val="004E1010"/>
    <w:rsid w:val="004F4D52"/>
    <w:rsid w:val="005019E9"/>
    <w:rsid w:val="0050202A"/>
    <w:rsid w:val="005034DB"/>
    <w:rsid w:val="00510470"/>
    <w:rsid w:val="005118F7"/>
    <w:rsid w:val="005159F4"/>
    <w:rsid w:val="00515AFC"/>
    <w:rsid w:val="0052032E"/>
    <w:rsid w:val="005220FF"/>
    <w:rsid w:val="005222F9"/>
    <w:rsid w:val="00524247"/>
    <w:rsid w:val="00527077"/>
    <w:rsid w:val="00531FBD"/>
    <w:rsid w:val="005327DA"/>
    <w:rsid w:val="0053428D"/>
    <w:rsid w:val="00537D29"/>
    <w:rsid w:val="0054060D"/>
    <w:rsid w:val="00542C19"/>
    <w:rsid w:val="00544D8F"/>
    <w:rsid w:val="00545926"/>
    <w:rsid w:val="00551487"/>
    <w:rsid w:val="00552319"/>
    <w:rsid w:val="00553BDE"/>
    <w:rsid w:val="00555C70"/>
    <w:rsid w:val="00557FA1"/>
    <w:rsid w:val="00562495"/>
    <w:rsid w:val="005663F6"/>
    <w:rsid w:val="00572013"/>
    <w:rsid w:val="00572D5F"/>
    <w:rsid w:val="00577727"/>
    <w:rsid w:val="005777AF"/>
    <w:rsid w:val="005819C4"/>
    <w:rsid w:val="005847FA"/>
    <w:rsid w:val="00584CDD"/>
    <w:rsid w:val="00586562"/>
    <w:rsid w:val="00593276"/>
    <w:rsid w:val="00593DC4"/>
    <w:rsid w:val="0059529B"/>
    <w:rsid w:val="005954A5"/>
    <w:rsid w:val="00596653"/>
    <w:rsid w:val="005A3249"/>
    <w:rsid w:val="005A5938"/>
    <w:rsid w:val="005A6ABC"/>
    <w:rsid w:val="005B1577"/>
    <w:rsid w:val="005C07AD"/>
    <w:rsid w:val="005C0CC6"/>
    <w:rsid w:val="005C0FFC"/>
    <w:rsid w:val="005C3BF7"/>
    <w:rsid w:val="005C3F71"/>
    <w:rsid w:val="005C49D0"/>
    <w:rsid w:val="005C7352"/>
    <w:rsid w:val="005D1F7E"/>
    <w:rsid w:val="005D2738"/>
    <w:rsid w:val="005D3EE7"/>
    <w:rsid w:val="005D4A24"/>
    <w:rsid w:val="005D7C73"/>
    <w:rsid w:val="005E12F4"/>
    <w:rsid w:val="005E1C93"/>
    <w:rsid w:val="005E27D8"/>
    <w:rsid w:val="005E7235"/>
    <w:rsid w:val="005F041C"/>
    <w:rsid w:val="005F4B34"/>
    <w:rsid w:val="005F4FD7"/>
    <w:rsid w:val="00606880"/>
    <w:rsid w:val="0061092F"/>
    <w:rsid w:val="006127E6"/>
    <w:rsid w:val="0061340C"/>
    <w:rsid w:val="00613AA1"/>
    <w:rsid w:val="00616E18"/>
    <w:rsid w:val="0062326E"/>
    <w:rsid w:val="00623AED"/>
    <w:rsid w:val="00623BDB"/>
    <w:rsid w:val="0062443C"/>
    <w:rsid w:val="0062500D"/>
    <w:rsid w:val="00626C20"/>
    <w:rsid w:val="00627437"/>
    <w:rsid w:val="00632157"/>
    <w:rsid w:val="00633971"/>
    <w:rsid w:val="00635C49"/>
    <w:rsid w:val="0063693A"/>
    <w:rsid w:val="0064121E"/>
    <w:rsid w:val="006425EE"/>
    <w:rsid w:val="0064267F"/>
    <w:rsid w:val="006431BA"/>
    <w:rsid w:val="0064424B"/>
    <w:rsid w:val="00644C1A"/>
    <w:rsid w:val="006465DF"/>
    <w:rsid w:val="00647CAC"/>
    <w:rsid w:val="00650608"/>
    <w:rsid w:val="006520C7"/>
    <w:rsid w:val="006535F9"/>
    <w:rsid w:val="00660354"/>
    <w:rsid w:val="006608E3"/>
    <w:rsid w:val="00662299"/>
    <w:rsid w:val="00665B9B"/>
    <w:rsid w:val="00672607"/>
    <w:rsid w:val="00673035"/>
    <w:rsid w:val="0067542E"/>
    <w:rsid w:val="00675557"/>
    <w:rsid w:val="006870F3"/>
    <w:rsid w:val="00692349"/>
    <w:rsid w:val="0069305B"/>
    <w:rsid w:val="00694945"/>
    <w:rsid w:val="006964B3"/>
    <w:rsid w:val="0069763F"/>
    <w:rsid w:val="006A72EA"/>
    <w:rsid w:val="006A77AF"/>
    <w:rsid w:val="006A7D5A"/>
    <w:rsid w:val="006B0E2A"/>
    <w:rsid w:val="006B3B94"/>
    <w:rsid w:val="006B6B17"/>
    <w:rsid w:val="006C455F"/>
    <w:rsid w:val="006D3D54"/>
    <w:rsid w:val="006D7F12"/>
    <w:rsid w:val="006E1A49"/>
    <w:rsid w:val="006E35EA"/>
    <w:rsid w:val="006F1B00"/>
    <w:rsid w:val="006F4B7A"/>
    <w:rsid w:val="006F4E90"/>
    <w:rsid w:val="006F7727"/>
    <w:rsid w:val="006F795D"/>
    <w:rsid w:val="00700276"/>
    <w:rsid w:val="00700A59"/>
    <w:rsid w:val="00701CE9"/>
    <w:rsid w:val="00705D55"/>
    <w:rsid w:val="007077B5"/>
    <w:rsid w:val="00710142"/>
    <w:rsid w:val="007113F8"/>
    <w:rsid w:val="007116A7"/>
    <w:rsid w:val="00712395"/>
    <w:rsid w:val="00712E81"/>
    <w:rsid w:val="00716893"/>
    <w:rsid w:val="00723919"/>
    <w:rsid w:val="00723E26"/>
    <w:rsid w:val="007261D3"/>
    <w:rsid w:val="00731D0E"/>
    <w:rsid w:val="0074084E"/>
    <w:rsid w:val="00741FA2"/>
    <w:rsid w:val="00742039"/>
    <w:rsid w:val="0074596C"/>
    <w:rsid w:val="00752509"/>
    <w:rsid w:val="00753AC1"/>
    <w:rsid w:val="00761E5A"/>
    <w:rsid w:val="00762474"/>
    <w:rsid w:val="00762F4C"/>
    <w:rsid w:val="00764CC0"/>
    <w:rsid w:val="00764D83"/>
    <w:rsid w:val="0076509F"/>
    <w:rsid w:val="00767DB9"/>
    <w:rsid w:val="007705BD"/>
    <w:rsid w:val="00780A89"/>
    <w:rsid w:val="00780B22"/>
    <w:rsid w:val="007814A8"/>
    <w:rsid w:val="00781A62"/>
    <w:rsid w:val="007828A1"/>
    <w:rsid w:val="0078352E"/>
    <w:rsid w:val="00783C0E"/>
    <w:rsid w:val="00787383"/>
    <w:rsid w:val="00790792"/>
    <w:rsid w:val="007909CF"/>
    <w:rsid w:val="00791B51"/>
    <w:rsid w:val="00795AD1"/>
    <w:rsid w:val="007A03E7"/>
    <w:rsid w:val="007A10AB"/>
    <w:rsid w:val="007A498F"/>
    <w:rsid w:val="007A73B8"/>
    <w:rsid w:val="007A7485"/>
    <w:rsid w:val="007B013D"/>
    <w:rsid w:val="007B5456"/>
    <w:rsid w:val="007B5F65"/>
    <w:rsid w:val="007B6E21"/>
    <w:rsid w:val="007D03B9"/>
    <w:rsid w:val="007D3C7C"/>
    <w:rsid w:val="007D6ED9"/>
    <w:rsid w:val="007E0550"/>
    <w:rsid w:val="007F0D8F"/>
    <w:rsid w:val="007F4420"/>
    <w:rsid w:val="007F6574"/>
    <w:rsid w:val="008023A4"/>
    <w:rsid w:val="00805563"/>
    <w:rsid w:val="00807175"/>
    <w:rsid w:val="008101E8"/>
    <w:rsid w:val="00812C5A"/>
    <w:rsid w:val="00813E00"/>
    <w:rsid w:val="0081691D"/>
    <w:rsid w:val="00816C3B"/>
    <w:rsid w:val="0081788B"/>
    <w:rsid w:val="00821BE9"/>
    <w:rsid w:val="00825095"/>
    <w:rsid w:val="008264E9"/>
    <w:rsid w:val="00827DA7"/>
    <w:rsid w:val="00830D44"/>
    <w:rsid w:val="00837C1B"/>
    <w:rsid w:val="008420DA"/>
    <w:rsid w:val="00843123"/>
    <w:rsid w:val="00844C63"/>
    <w:rsid w:val="00850CD4"/>
    <w:rsid w:val="00854A49"/>
    <w:rsid w:val="00855EED"/>
    <w:rsid w:val="00856B4A"/>
    <w:rsid w:val="008607B3"/>
    <w:rsid w:val="00863BF1"/>
    <w:rsid w:val="00871C29"/>
    <w:rsid w:val="00873761"/>
    <w:rsid w:val="00875255"/>
    <w:rsid w:val="0087656B"/>
    <w:rsid w:val="00877CEB"/>
    <w:rsid w:val="00880034"/>
    <w:rsid w:val="00881EF3"/>
    <w:rsid w:val="0088460F"/>
    <w:rsid w:val="00887536"/>
    <w:rsid w:val="00887EC5"/>
    <w:rsid w:val="00890BF0"/>
    <w:rsid w:val="00890E90"/>
    <w:rsid w:val="00891901"/>
    <w:rsid w:val="00892759"/>
    <w:rsid w:val="008A06BE"/>
    <w:rsid w:val="008A1BDB"/>
    <w:rsid w:val="008A56FD"/>
    <w:rsid w:val="008B0277"/>
    <w:rsid w:val="008B0A6D"/>
    <w:rsid w:val="008B362A"/>
    <w:rsid w:val="008B69FE"/>
    <w:rsid w:val="008C6E90"/>
    <w:rsid w:val="008D3DA6"/>
    <w:rsid w:val="008E1F92"/>
    <w:rsid w:val="008E3171"/>
    <w:rsid w:val="008E318F"/>
    <w:rsid w:val="008E3B3F"/>
    <w:rsid w:val="008F1E1C"/>
    <w:rsid w:val="008F3597"/>
    <w:rsid w:val="008F5566"/>
    <w:rsid w:val="008F7444"/>
    <w:rsid w:val="00902540"/>
    <w:rsid w:val="00905B99"/>
    <w:rsid w:val="00905CA8"/>
    <w:rsid w:val="0091399A"/>
    <w:rsid w:val="00916F40"/>
    <w:rsid w:val="00923E3A"/>
    <w:rsid w:val="00924935"/>
    <w:rsid w:val="00924D9D"/>
    <w:rsid w:val="00926791"/>
    <w:rsid w:val="00926DB6"/>
    <w:rsid w:val="00932B41"/>
    <w:rsid w:val="00932EB4"/>
    <w:rsid w:val="009334C3"/>
    <w:rsid w:val="0093661C"/>
    <w:rsid w:val="00937C2F"/>
    <w:rsid w:val="00940736"/>
    <w:rsid w:val="00946879"/>
    <w:rsid w:val="00946E34"/>
    <w:rsid w:val="00950CF7"/>
    <w:rsid w:val="0095319D"/>
    <w:rsid w:val="00953304"/>
    <w:rsid w:val="009541C8"/>
    <w:rsid w:val="00954B83"/>
    <w:rsid w:val="00956169"/>
    <w:rsid w:val="0095676C"/>
    <w:rsid w:val="009608F5"/>
    <w:rsid w:val="00960A44"/>
    <w:rsid w:val="00960ABF"/>
    <w:rsid w:val="009760E6"/>
    <w:rsid w:val="009767F8"/>
    <w:rsid w:val="009768C3"/>
    <w:rsid w:val="00977C43"/>
    <w:rsid w:val="00983A51"/>
    <w:rsid w:val="00990E44"/>
    <w:rsid w:val="00990EEE"/>
    <w:rsid w:val="0099422C"/>
    <w:rsid w:val="00996533"/>
    <w:rsid w:val="009A3833"/>
    <w:rsid w:val="009A531B"/>
    <w:rsid w:val="009A5F57"/>
    <w:rsid w:val="009A62E2"/>
    <w:rsid w:val="009A650A"/>
    <w:rsid w:val="009B110B"/>
    <w:rsid w:val="009B13F0"/>
    <w:rsid w:val="009B196A"/>
    <w:rsid w:val="009B3154"/>
    <w:rsid w:val="009B370F"/>
    <w:rsid w:val="009B5745"/>
    <w:rsid w:val="009B5D1C"/>
    <w:rsid w:val="009B6249"/>
    <w:rsid w:val="009B6738"/>
    <w:rsid w:val="009B6CF9"/>
    <w:rsid w:val="009C48F4"/>
    <w:rsid w:val="009D27F8"/>
    <w:rsid w:val="009D6D9F"/>
    <w:rsid w:val="009E0EF9"/>
    <w:rsid w:val="009E1910"/>
    <w:rsid w:val="009E354B"/>
    <w:rsid w:val="009E4B21"/>
    <w:rsid w:val="009E5DBA"/>
    <w:rsid w:val="009F0064"/>
    <w:rsid w:val="009F4612"/>
    <w:rsid w:val="009F54B1"/>
    <w:rsid w:val="009F581A"/>
    <w:rsid w:val="009F6047"/>
    <w:rsid w:val="00A03D2A"/>
    <w:rsid w:val="00A04280"/>
    <w:rsid w:val="00A10ADB"/>
    <w:rsid w:val="00A10CE0"/>
    <w:rsid w:val="00A12C91"/>
    <w:rsid w:val="00A144AB"/>
    <w:rsid w:val="00A1469F"/>
    <w:rsid w:val="00A14FB4"/>
    <w:rsid w:val="00A151A1"/>
    <w:rsid w:val="00A15F9C"/>
    <w:rsid w:val="00A17F01"/>
    <w:rsid w:val="00A21E8C"/>
    <w:rsid w:val="00A24557"/>
    <w:rsid w:val="00A248B2"/>
    <w:rsid w:val="00A27A64"/>
    <w:rsid w:val="00A33E92"/>
    <w:rsid w:val="00A34BB3"/>
    <w:rsid w:val="00A354D0"/>
    <w:rsid w:val="00A37F26"/>
    <w:rsid w:val="00A37F80"/>
    <w:rsid w:val="00A44744"/>
    <w:rsid w:val="00A451B9"/>
    <w:rsid w:val="00A45E52"/>
    <w:rsid w:val="00A46B3F"/>
    <w:rsid w:val="00A46F30"/>
    <w:rsid w:val="00A54B3B"/>
    <w:rsid w:val="00A573C2"/>
    <w:rsid w:val="00A60B3C"/>
    <w:rsid w:val="00A61169"/>
    <w:rsid w:val="00A63024"/>
    <w:rsid w:val="00A63749"/>
    <w:rsid w:val="00A63C4A"/>
    <w:rsid w:val="00A65ED8"/>
    <w:rsid w:val="00A66AB0"/>
    <w:rsid w:val="00A6744E"/>
    <w:rsid w:val="00A76236"/>
    <w:rsid w:val="00A82427"/>
    <w:rsid w:val="00A82FCC"/>
    <w:rsid w:val="00A84D60"/>
    <w:rsid w:val="00A906A4"/>
    <w:rsid w:val="00A928A5"/>
    <w:rsid w:val="00A92DB4"/>
    <w:rsid w:val="00AA3305"/>
    <w:rsid w:val="00AA574E"/>
    <w:rsid w:val="00AA6E50"/>
    <w:rsid w:val="00AB29DF"/>
    <w:rsid w:val="00AB6BA1"/>
    <w:rsid w:val="00AB7647"/>
    <w:rsid w:val="00AC02C2"/>
    <w:rsid w:val="00AC52F2"/>
    <w:rsid w:val="00AD2051"/>
    <w:rsid w:val="00AD324E"/>
    <w:rsid w:val="00AD5947"/>
    <w:rsid w:val="00AD5B51"/>
    <w:rsid w:val="00AD7B78"/>
    <w:rsid w:val="00AE1521"/>
    <w:rsid w:val="00AE1FE0"/>
    <w:rsid w:val="00AE2A14"/>
    <w:rsid w:val="00AE72D9"/>
    <w:rsid w:val="00AF097C"/>
    <w:rsid w:val="00AF2268"/>
    <w:rsid w:val="00AF28B6"/>
    <w:rsid w:val="00AF4118"/>
    <w:rsid w:val="00B01EE8"/>
    <w:rsid w:val="00B02149"/>
    <w:rsid w:val="00B147A9"/>
    <w:rsid w:val="00B2209F"/>
    <w:rsid w:val="00B223E3"/>
    <w:rsid w:val="00B239CE"/>
    <w:rsid w:val="00B3526C"/>
    <w:rsid w:val="00B3594F"/>
    <w:rsid w:val="00B37BF8"/>
    <w:rsid w:val="00B37D2B"/>
    <w:rsid w:val="00B42B54"/>
    <w:rsid w:val="00B47534"/>
    <w:rsid w:val="00B519D3"/>
    <w:rsid w:val="00B53C95"/>
    <w:rsid w:val="00B64BE4"/>
    <w:rsid w:val="00B6528B"/>
    <w:rsid w:val="00B66F9F"/>
    <w:rsid w:val="00B73196"/>
    <w:rsid w:val="00B74630"/>
    <w:rsid w:val="00B75D28"/>
    <w:rsid w:val="00B8414E"/>
    <w:rsid w:val="00B84B54"/>
    <w:rsid w:val="00B92C7D"/>
    <w:rsid w:val="00B93BB2"/>
    <w:rsid w:val="00B9434C"/>
    <w:rsid w:val="00B9697B"/>
    <w:rsid w:val="00B96DAB"/>
    <w:rsid w:val="00BA1CCD"/>
    <w:rsid w:val="00BA46C7"/>
    <w:rsid w:val="00BA4DA4"/>
    <w:rsid w:val="00BB1571"/>
    <w:rsid w:val="00BB32EC"/>
    <w:rsid w:val="00BB5EE3"/>
    <w:rsid w:val="00BB7B45"/>
    <w:rsid w:val="00BC2E5F"/>
    <w:rsid w:val="00BC3056"/>
    <w:rsid w:val="00BC481E"/>
    <w:rsid w:val="00BC5493"/>
    <w:rsid w:val="00BC5AF6"/>
    <w:rsid w:val="00BC64AF"/>
    <w:rsid w:val="00BD3E51"/>
    <w:rsid w:val="00BE03D5"/>
    <w:rsid w:val="00BE1AD1"/>
    <w:rsid w:val="00BE2FAC"/>
    <w:rsid w:val="00BE66E1"/>
    <w:rsid w:val="00BF0A84"/>
    <w:rsid w:val="00BF34E3"/>
    <w:rsid w:val="00C020B5"/>
    <w:rsid w:val="00C03706"/>
    <w:rsid w:val="00C03F46"/>
    <w:rsid w:val="00C06A2A"/>
    <w:rsid w:val="00C06C7D"/>
    <w:rsid w:val="00C11FCE"/>
    <w:rsid w:val="00C12058"/>
    <w:rsid w:val="00C14BEA"/>
    <w:rsid w:val="00C159BC"/>
    <w:rsid w:val="00C15A54"/>
    <w:rsid w:val="00C15CEB"/>
    <w:rsid w:val="00C2004E"/>
    <w:rsid w:val="00C2214E"/>
    <w:rsid w:val="00C23F84"/>
    <w:rsid w:val="00C2519B"/>
    <w:rsid w:val="00C2619B"/>
    <w:rsid w:val="00C262D1"/>
    <w:rsid w:val="00C26959"/>
    <w:rsid w:val="00C34112"/>
    <w:rsid w:val="00C3782E"/>
    <w:rsid w:val="00C404D1"/>
    <w:rsid w:val="00C4170F"/>
    <w:rsid w:val="00C41C9A"/>
    <w:rsid w:val="00C41D75"/>
    <w:rsid w:val="00C42176"/>
    <w:rsid w:val="00C425EC"/>
    <w:rsid w:val="00C45550"/>
    <w:rsid w:val="00C45D19"/>
    <w:rsid w:val="00C504D7"/>
    <w:rsid w:val="00C51DD0"/>
    <w:rsid w:val="00C52914"/>
    <w:rsid w:val="00C5412D"/>
    <w:rsid w:val="00C5567D"/>
    <w:rsid w:val="00C60274"/>
    <w:rsid w:val="00C63F06"/>
    <w:rsid w:val="00C6590B"/>
    <w:rsid w:val="00C7131F"/>
    <w:rsid w:val="00C76764"/>
    <w:rsid w:val="00C8158C"/>
    <w:rsid w:val="00C82632"/>
    <w:rsid w:val="00C91037"/>
    <w:rsid w:val="00CA0BCF"/>
    <w:rsid w:val="00CA123D"/>
    <w:rsid w:val="00CA385F"/>
    <w:rsid w:val="00CA5AAE"/>
    <w:rsid w:val="00CA5DB0"/>
    <w:rsid w:val="00CA7D65"/>
    <w:rsid w:val="00CB184A"/>
    <w:rsid w:val="00CB6848"/>
    <w:rsid w:val="00CC57B4"/>
    <w:rsid w:val="00CC58ED"/>
    <w:rsid w:val="00CD1613"/>
    <w:rsid w:val="00CD3DDF"/>
    <w:rsid w:val="00CD7995"/>
    <w:rsid w:val="00CE1F6E"/>
    <w:rsid w:val="00CE294D"/>
    <w:rsid w:val="00CE487D"/>
    <w:rsid w:val="00CE555E"/>
    <w:rsid w:val="00CF4933"/>
    <w:rsid w:val="00CF71AC"/>
    <w:rsid w:val="00D02A1D"/>
    <w:rsid w:val="00D04802"/>
    <w:rsid w:val="00D04B81"/>
    <w:rsid w:val="00D07157"/>
    <w:rsid w:val="00D11139"/>
    <w:rsid w:val="00D145EC"/>
    <w:rsid w:val="00D16FE2"/>
    <w:rsid w:val="00D224C4"/>
    <w:rsid w:val="00D240B3"/>
    <w:rsid w:val="00D25CB8"/>
    <w:rsid w:val="00D303FE"/>
    <w:rsid w:val="00D30D72"/>
    <w:rsid w:val="00D34D99"/>
    <w:rsid w:val="00D350BF"/>
    <w:rsid w:val="00D415D1"/>
    <w:rsid w:val="00D41FEA"/>
    <w:rsid w:val="00D43C0B"/>
    <w:rsid w:val="00D43E7F"/>
    <w:rsid w:val="00D44A74"/>
    <w:rsid w:val="00D4513E"/>
    <w:rsid w:val="00D45AEF"/>
    <w:rsid w:val="00D51133"/>
    <w:rsid w:val="00D53688"/>
    <w:rsid w:val="00D5685E"/>
    <w:rsid w:val="00D57CD2"/>
    <w:rsid w:val="00D57E66"/>
    <w:rsid w:val="00D61147"/>
    <w:rsid w:val="00D63ADE"/>
    <w:rsid w:val="00D64164"/>
    <w:rsid w:val="00D66CB9"/>
    <w:rsid w:val="00D67DDC"/>
    <w:rsid w:val="00D71716"/>
    <w:rsid w:val="00D73350"/>
    <w:rsid w:val="00D82231"/>
    <w:rsid w:val="00D85D87"/>
    <w:rsid w:val="00D8756E"/>
    <w:rsid w:val="00D92857"/>
    <w:rsid w:val="00D938DD"/>
    <w:rsid w:val="00D96DAE"/>
    <w:rsid w:val="00D974EA"/>
    <w:rsid w:val="00DA17B0"/>
    <w:rsid w:val="00DA73DC"/>
    <w:rsid w:val="00DB4D0C"/>
    <w:rsid w:val="00DB7BC2"/>
    <w:rsid w:val="00DC0404"/>
    <w:rsid w:val="00DC0850"/>
    <w:rsid w:val="00DC0F52"/>
    <w:rsid w:val="00DC4726"/>
    <w:rsid w:val="00DC6DE2"/>
    <w:rsid w:val="00DD37CE"/>
    <w:rsid w:val="00DD3BB3"/>
    <w:rsid w:val="00DD40D2"/>
    <w:rsid w:val="00DD7CA0"/>
    <w:rsid w:val="00DE02D2"/>
    <w:rsid w:val="00DE3D29"/>
    <w:rsid w:val="00DE5BBF"/>
    <w:rsid w:val="00DE5BDB"/>
    <w:rsid w:val="00E03098"/>
    <w:rsid w:val="00E03A99"/>
    <w:rsid w:val="00E041CD"/>
    <w:rsid w:val="00E13C87"/>
    <w:rsid w:val="00E1463F"/>
    <w:rsid w:val="00E22ECC"/>
    <w:rsid w:val="00E23023"/>
    <w:rsid w:val="00E26FC1"/>
    <w:rsid w:val="00E3132F"/>
    <w:rsid w:val="00E32C1C"/>
    <w:rsid w:val="00E3403D"/>
    <w:rsid w:val="00E34562"/>
    <w:rsid w:val="00E34807"/>
    <w:rsid w:val="00E351AD"/>
    <w:rsid w:val="00E3631C"/>
    <w:rsid w:val="00E363A9"/>
    <w:rsid w:val="00E37266"/>
    <w:rsid w:val="00E408BC"/>
    <w:rsid w:val="00E413E0"/>
    <w:rsid w:val="00E432A1"/>
    <w:rsid w:val="00E51317"/>
    <w:rsid w:val="00E51B9C"/>
    <w:rsid w:val="00E53AE3"/>
    <w:rsid w:val="00E5574A"/>
    <w:rsid w:val="00E60432"/>
    <w:rsid w:val="00E610B9"/>
    <w:rsid w:val="00E64FB2"/>
    <w:rsid w:val="00E75A5F"/>
    <w:rsid w:val="00E75E33"/>
    <w:rsid w:val="00E81500"/>
    <w:rsid w:val="00E81E2C"/>
    <w:rsid w:val="00E855E7"/>
    <w:rsid w:val="00E857B1"/>
    <w:rsid w:val="00E90369"/>
    <w:rsid w:val="00E903ED"/>
    <w:rsid w:val="00E92B5E"/>
    <w:rsid w:val="00E94FA2"/>
    <w:rsid w:val="00EA464F"/>
    <w:rsid w:val="00EA4C18"/>
    <w:rsid w:val="00EA7D4F"/>
    <w:rsid w:val="00EB2EB4"/>
    <w:rsid w:val="00EB4F8F"/>
    <w:rsid w:val="00EB5D2F"/>
    <w:rsid w:val="00EB64A5"/>
    <w:rsid w:val="00EB6FDB"/>
    <w:rsid w:val="00EC1093"/>
    <w:rsid w:val="00EC10EC"/>
    <w:rsid w:val="00EC2CCB"/>
    <w:rsid w:val="00EC5E09"/>
    <w:rsid w:val="00ED0F1F"/>
    <w:rsid w:val="00ED24DB"/>
    <w:rsid w:val="00ED3272"/>
    <w:rsid w:val="00ED6080"/>
    <w:rsid w:val="00ED6912"/>
    <w:rsid w:val="00EE0176"/>
    <w:rsid w:val="00EE0473"/>
    <w:rsid w:val="00EE400C"/>
    <w:rsid w:val="00EE6897"/>
    <w:rsid w:val="00EE6F85"/>
    <w:rsid w:val="00EE7BAF"/>
    <w:rsid w:val="00EF0942"/>
    <w:rsid w:val="00EF1949"/>
    <w:rsid w:val="00EF291F"/>
    <w:rsid w:val="00EF3B64"/>
    <w:rsid w:val="00EF6F61"/>
    <w:rsid w:val="00F00431"/>
    <w:rsid w:val="00F00470"/>
    <w:rsid w:val="00F0218C"/>
    <w:rsid w:val="00F02A00"/>
    <w:rsid w:val="00F0393B"/>
    <w:rsid w:val="00F05C08"/>
    <w:rsid w:val="00F06FAD"/>
    <w:rsid w:val="00F1342A"/>
    <w:rsid w:val="00F140AB"/>
    <w:rsid w:val="00F14D39"/>
    <w:rsid w:val="00F15619"/>
    <w:rsid w:val="00F26B35"/>
    <w:rsid w:val="00F27BCB"/>
    <w:rsid w:val="00F30E03"/>
    <w:rsid w:val="00F313DD"/>
    <w:rsid w:val="00F329DA"/>
    <w:rsid w:val="00F378BE"/>
    <w:rsid w:val="00F37B67"/>
    <w:rsid w:val="00F43120"/>
    <w:rsid w:val="00F45518"/>
    <w:rsid w:val="00F52743"/>
    <w:rsid w:val="00F53A9F"/>
    <w:rsid w:val="00F56952"/>
    <w:rsid w:val="00F57E6B"/>
    <w:rsid w:val="00F65D36"/>
    <w:rsid w:val="00F7237F"/>
    <w:rsid w:val="00F72BCA"/>
    <w:rsid w:val="00F763A4"/>
    <w:rsid w:val="00F77153"/>
    <w:rsid w:val="00F81BA0"/>
    <w:rsid w:val="00F81CF2"/>
    <w:rsid w:val="00F87FD2"/>
    <w:rsid w:val="00F941B8"/>
    <w:rsid w:val="00FA0FB2"/>
    <w:rsid w:val="00FA5FA5"/>
    <w:rsid w:val="00FA6FE3"/>
    <w:rsid w:val="00FA79A7"/>
    <w:rsid w:val="00FA7C6C"/>
    <w:rsid w:val="00FB0C83"/>
    <w:rsid w:val="00FB1D54"/>
    <w:rsid w:val="00FB2A9B"/>
    <w:rsid w:val="00FB7FF9"/>
    <w:rsid w:val="00FC2700"/>
    <w:rsid w:val="00FC643D"/>
    <w:rsid w:val="00FC771D"/>
    <w:rsid w:val="00FD1DAF"/>
    <w:rsid w:val="00FD3511"/>
    <w:rsid w:val="00FD7EF0"/>
    <w:rsid w:val="00FE072F"/>
    <w:rsid w:val="00FE1586"/>
    <w:rsid w:val="00FE3B68"/>
    <w:rsid w:val="00FE3DCC"/>
    <w:rsid w:val="00FE53C8"/>
    <w:rsid w:val="00FE5FB7"/>
    <w:rsid w:val="00FF33E0"/>
    <w:rsid w:val="00FF47BA"/>
    <w:rsid w:val="00FF5178"/>
    <w:rsid w:val="00FF7541"/>
    <w:rsid w:val="05CE0223"/>
    <w:rsid w:val="0EC4372C"/>
    <w:rsid w:val="18F808AE"/>
    <w:rsid w:val="1F970B3D"/>
    <w:rsid w:val="33A47F30"/>
    <w:rsid w:val="3D8F7F34"/>
    <w:rsid w:val="3F314EA7"/>
    <w:rsid w:val="4D911471"/>
    <w:rsid w:val="5E8C49AC"/>
    <w:rsid w:val="63772C6A"/>
    <w:rsid w:val="74F71979"/>
    <w:rsid w:val="7E9D65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2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
    <w:uiPriority w:val="0"/>
    <w:pPr>
      <w:ind w:left="100" w:leftChars="200" w:hanging="200" w:hangingChars="200"/>
      <w:contextualSpacing/>
    </w:pPr>
  </w:style>
  <w:style w:type="paragraph" w:styleId="10">
    <w:name w:val="footer"/>
    <w:basedOn w:val="1"/>
    <w:uiPriority w:val="0"/>
    <w:pPr>
      <w:tabs>
        <w:tab w:val="center" w:pos="4153"/>
        <w:tab w:val="right" w:pos="8306"/>
      </w:tabs>
    </w:pPr>
  </w:style>
  <w:style w:type="paragraph" w:styleId="11">
    <w:name w:val="header"/>
    <w:basedOn w:val="1"/>
    <w:link w:val="22"/>
    <w:uiPriority w:val="0"/>
    <w:pPr>
      <w:tabs>
        <w:tab w:val="center" w:pos="4153"/>
        <w:tab w:val="right" w:pos="8306"/>
      </w:tabs>
    </w:pPr>
  </w:style>
  <w:style w:type="paragraph" w:styleId="12">
    <w:name w:val="HTML Preformatted"/>
    <w:basedOn w:val="1"/>
    <w:link w:val="24"/>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szCs w:val="24"/>
      <w:lang w:val="en-US" w:eastAsia="zh-CN"/>
    </w:rPr>
  </w:style>
  <w:style w:type="paragraph" w:styleId="13">
    <w:name w:val="index 1"/>
    <w:basedOn w:val="1"/>
    <w:next w:val="1"/>
    <w:semiHidden/>
    <w:qFormat/>
    <w:uiPriority w:val="0"/>
    <w:pPr>
      <w:keepLines/>
    </w:pPr>
  </w:style>
  <w:style w:type="character" w:styleId="16">
    <w:name w:val="page number"/>
    <w:basedOn w:val="15"/>
    <w:uiPriority w:val="0"/>
  </w:style>
  <w:style w:type="paragraph" w:customStyle="1" w:styleId="17">
    <w:name w:val="B1"/>
    <w:basedOn w:val="1"/>
    <w:link w:val="25"/>
    <w:qFormat/>
    <w:uiPriority w:val="0"/>
    <w:pPr>
      <w:ind w:left="567" w:hanging="567"/>
      <w:jc w:val="both"/>
    </w:pPr>
    <w:rPr>
      <w:rFonts w:ascii="Arial" w:hAnsi="Arial"/>
    </w:rPr>
  </w:style>
  <w:style w:type="paragraph" w:customStyle="1" w:styleId="18">
    <w:name w:val="00 BodyText"/>
    <w:basedOn w:val="1"/>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等线"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等线" w:cs="Times New Roman"/>
      <w:lang w:val="en-GB" w:eastAsia="en-US" w:bidi="ar-SA"/>
    </w:rPr>
  </w:style>
  <w:style w:type="character" w:customStyle="1" w:styleId="22">
    <w:name w:val="页眉 Char"/>
    <w:link w:val="11"/>
    <w:qFormat/>
    <w:uiPriority w:val="0"/>
    <w:rPr>
      <w:lang w:eastAsia="en-US"/>
    </w:rPr>
  </w:style>
  <w:style w:type="character" w:customStyle="1" w:styleId="23">
    <w:name w:val="标题 4 Char"/>
    <w:basedOn w:val="15"/>
    <w:link w:val="5"/>
    <w:semiHidden/>
    <w:qFormat/>
    <w:uiPriority w:val="0"/>
    <w:rPr>
      <w:rFonts w:asciiTheme="majorHAnsi" w:hAnsiTheme="majorHAnsi" w:eastAsiaTheme="majorEastAsia" w:cstheme="majorBidi"/>
      <w:b/>
      <w:bCs/>
      <w:sz w:val="28"/>
      <w:szCs w:val="28"/>
      <w:lang w:val="en-GB" w:eastAsia="en-US"/>
    </w:rPr>
  </w:style>
  <w:style w:type="character" w:customStyle="1" w:styleId="24">
    <w:name w:val="HTML 预设格式 Char"/>
    <w:basedOn w:val="15"/>
    <w:link w:val="12"/>
    <w:uiPriority w:val="99"/>
    <w:rPr>
      <w:rFonts w:ascii="宋体" w:hAnsi="宋体" w:eastAsia="宋体" w:cs="宋体"/>
      <w:sz w:val="24"/>
      <w:szCs w:val="24"/>
    </w:rPr>
  </w:style>
  <w:style w:type="character" w:customStyle="1" w:styleId="25">
    <w:name w:val="B1 Char"/>
    <w:link w:val="17"/>
    <w:locked/>
    <w:uiPriority w:val="0"/>
    <w:rPr>
      <w:rFonts w:ascii="Arial" w:hAnsi="Arial"/>
      <w:lang w:val="en-GB" w:eastAsia="en-US"/>
    </w:rPr>
  </w:style>
  <w:style w:type="paragraph" w:customStyle="1" w:styleId="26">
    <w:name w:val="B2"/>
    <w:basedOn w:val="9"/>
    <w:link w:val="27"/>
    <w:uiPriority w:val="0"/>
    <w:pPr>
      <w:overflowPunct w:val="0"/>
      <w:autoSpaceDE w:val="0"/>
      <w:autoSpaceDN w:val="0"/>
      <w:adjustRightInd w:val="0"/>
      <w:spacing w:after="180"/>
      <w:ind w:left="851" w:leftChars="0" w:hanging="284" w:firstLineChars="0"/>
      <w:contextualSpacing w:val="0"/>
      <w:textAlignment w:val="baseline"/>
    </w:pPr>
    <w:rPr>
      <w:rFonts w:eastAsiaTheme="minorEastAsia"/>
      <w:lang w:eastAsia="en-GB"/>
    </w:rPr>
  </w:style>
  <w:style w:type="character" w:customStyle="1" w:styleId="27">
    <w:name w:val="B2 Char"/>
    <w:link w:val="26"/>
    <w:locked/>
    <w:uiPriority w:val="0"/>
    <w:rPr>
      <w:rFonts w:eastAsiaTheme="minorEastAsia"/>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1130</Words>
  <Characters>6444</Characters>
  <Lines>53</Lines>
  <Paragraphs>15</Paragraphs>
  <TotalTime>4</TotalTime>
  <ScaleCrop>false</ScaleCrop>
  <LinksUpToDate>false</LinksUpToDate>
  <CharactersWithSpaces>7559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2024-01-29T03:37:00Z</dcterms:created>
  <dc:creator>David Boswarthick</dc:creator>
  <cp:lastModifiedBy>Zhou</cp:lastModifiedBy>
  <cp:lastPrinted>2001-04-23T09:30:00Z</cp:lastPrinted>
  <dcterms:modified xsi:type="dcterms:W3CDTF">2024-04-08T02:08:48Z</dcterms:modified>
  <dc:title>Source:</dc:title>
  <cp:revision>637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867841E190E34CBEAD5CF0B44D67C7BF</vt:lpwstr>
  </property>
</Properties>
</file>