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E0C93" w14:textId="7D159D28" w:rsidR="005A58DD" w:rsidRDefault="005A58DD" w:rsidP="005A58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A21D5">
        <w:rPr>
          <w:b/>
          <w:noProof/>
          <w:sz w:val="24"/>
        </w:rPr>
        <w:t>2124</w:t>
      </w:r>
    </w:p>
    <w:p w14:paraId="4D9188A1" w14:textId="3895427D" w:rsidR="00AC2ED0" w:rsidRDefault="005A58DD" w:rsidP="005A58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bookmarkEnd w:id="0"/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B84E24" w:rsidR="00463675" w:rsidRPr="000F4E43" w:rsidRDefault="00463675" w:rsidP="000F4E43">
      <w:pPr>
        <w:pStyle w:val="Titel"/>
      </w:pPr>
      <w:r w:rsidRPr="000F4E43">
        <w:t>Title:</w:t>
      </w:r>
      <w:r w:rsidRPr="000F4E43">
        <w:tab/>
      </w:r>
      <w:r w:rsidR="003A21D5" w:rsidRPr="003A21D5">
        <w:rPr>
          <w:lang w:val="fr-FR"/>
        </w:rPr>
        <w:t xml:space="preserve">Radio Access </w:t>
      </w:r>
      <w:proofErr w:type="spellStart"/>
      <w:r w:rsidR="003A21D5" w:rsidRPr="003A21D5">
        <w:rPr>
          <w:lang w:val="fr-FR"/>
        </w:rPr>
        <w:t>Technology</w:t>
      </w:r>
      <w:proofErr w:type="spellEnd"/>
      <w:r w:rsidR="003A21D5" w:rsidRPr="003A21D5">
        <w:rPr>
          <w:lang w:val="fr-FR"/>
        </w:rPr>
        <w:t xml:space="preserve"> </w:t>
      </w:r>
      <w:proofErr w:type="spellStart"/>
      <w:r w:rsidR="003A21D5" w:rsidRPr="003A21D5">
        <w:rPr>
          <w:lang w:val="fr-FR"/>
        </w:rPr>
        <w:t>Utilization</w:t>
      </w:r>
      <w:proofErr w:type="spellEnd"/>
      <w:r w:rsidR="003A21D5" w:rsidRPr="003A21D5">
        <w:rPr>
          <w:lang w:val="fr-FR"/>
        </w:rPr>
        <w:t xml:space="preserve"> Restriction</w:t>
      </w:r>
      <w:r w:rsidR="00D939F5">
        <w:rPr>
          <w:lang w:val="fr-FR"/>
        </w:rPr>
        <w:t xml:space="preserve"> </w:t>
      </w:r>
    </w:p>
    <w:p w14:paraId="65004854" w14:textId="747E6395" w:rsidR="00463675" w:rsidRPr="00D939F5" w:rsidRDefault="00463675" w:rsidP="000F4E43">
      <w:pPr>
        <w:pStyle w:val="Titel"/>
      </w:pPr>
      <w:r w:rsidRPr="000F4E43">
        <w:t>Response to:</w:t>
      </w:r>
      <w:r w:rsidRPr="000F4E43">
        <w:tab/>
      </w:r>
      <w:r w:rsidR="00D939F5" w:rsidRPr="00D939F5">
        <w:t>No</w:t>
      </w:r>
    </w:p>
    <w:p w14:paraId="56E3B846" w14:textId="103A0104" w:rsidR="00463675" w:rsidRPr="00D939F5" w:rsidRDefault="00463675" w:rsidP="000F4E43">
      <w:pPr>
        <w:pStyle w:val="Titel"/>
      </w:pPr>
      <w:r w:rsidRPr="00D939F5">
        <w:t>Release:</w:t>
      </w:r>
      <w:r w:rsidRPr="00D939F5">
        <w:tab/>
      </w:r>
      <w:r w:rsidR="00D939F5" w:rsidRPr="00D939F5">
        <w:t>Rel-18</w:t>
      </w:r>
    </w:p>
    <w:p w14:paraId="792135A2" w14:textId="1053E658" w:rsidR="00463675" w:rsidRPr="000F4E43" w:rsidRDefault="00463675" w:rsidP="000F4E43">
      <w:pPr>
        <w:pStyle w:val="Titel"/>
      </w:pPr>
      <w:r w:rsidRPr="000F4E43">
        <w:t>Work Item:</w:t>
      </w:r>
      <w:r w:rsidRPr="000F4E43">
        <w:tab/>
      </w:r>
      <w:r w:rsidR="00D939F5"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6224CBF" w:rsidR="00463675" w:rsidRPr="00D939F5" w:rsidRDefault="00463675" w:rsidP="000F4E43">
      <w:pPr>
        <w:pStyle w:val="Source"/>
      </w:pPr>
      <w:r w:rsidRPr="000F4E43">
        <w:t>Source:</w:t>
      </w:r>
      <w:r w:rsidRPr="000F4E43">
        <w:tab/>
      </w:r>
      <w:r w:rsidR="00D939F5" w:rsidRPr="00D939F5">
        <w:rPr>
          <w:b w:val="0"/>
        </w:rPr>
        <w:t>3GPP CT1</w:t>
      </w:r>
    </w:p>
    <w:p w14:paraId="6AF9910D" w14:textId="4A544FC2" w:rsidR="00463675" w:rsidRPr="00D939F5" w:rsidRDefault="00463675" w:rsidP="000F4E43">
      <w:pPr>
        <w:pStyle w:val="Source"/>
      </w:pPr>
      <w:r w:rsidRPr="00D939F5">
        <w:t>To:</w:t>
      </w:r>
      <w:r w:rsidRPr="00D939F5">
        <w:tab/>
      </w:r>
      <w:r w:rsidR="00D939F5" w:rsidRPr="00D939F5">
        <w:rPr>
          <w:b w:val="0"/>
        </w:rPr>
        <w:t>3GPP RAN2</w:t>
      </w:r>
    </w:p>
    <w:p w14:paraId="033E954A" w14:textId="23BFC6F3" w:rsidR="00463675" w:rsidRPr="00F47769" w:rsidRDefault="00463675" w:rsidP="000F4E43">
      <w:pPr>
        <w:pStyle w:val="Source"/>
        <w:rPr>
          <w:lang w:val="en-US"/>
        </w:rPr>
      </w:pPr>
      <w:r w:rsidRPr="00F47769">
        <w:rPr>
          <w:lang w:val="en-US"/>
        </w:rPr>
        <w:t>Cc:</w:t>
      </w:r>
      <w:r w:rsidRPr="00F47769">
        <w:rPr>
          <w:lang w:val="en-US"/>
        </w:rPr>
        <w:tab/>
      </w:r>
      <w:r w:rsidR="00E65717" w:rsidRPr="00D939F5">
        <w:rPr>
          <w:b w:val="0"/>
        </w:rPr>
        <w:t xml:space="preserve">3GPP </w:t>
      </w:r>
      <w:r w:rsidR="00E65717">
        <w:rPr>
          <w:b w:val="0"/>
        </w:rPr>
        <w:t>CT4</w:t>
      </w:r>
    </w:p>
    <w:p w14:paraId="12F1EB36" w14:textId="77777777" w:rsidR="00463675" w:rsidRPr="00F4776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27E0D49" w:rsidR="00463675" w:rsidRPr="0016780E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16780E">
        <w:rPr>
          <w:lang w:val="de-DE"/>
        </w:rPr>
        <w:t>Name:</w:t>
      </w:r>
      <w:r w:rsidRPr="0016780E">
        <w:rPr>
          <w:bCs/>
          <w:lang w:val="de-DE"/>
        </w:rPr>
        <w:tab/>
      </w:r>
      <w:r w:rsidR="00D939F5" w:rsidRPr="0016780E">
        <w:rPr>
          <w:bCs/>
          <w:lang w:val="de-DE"/>
        </w:rPr>
        <w:t>Yang Lu</w:t>
      </w:r>
    </w:p>
    <w:p w14:paraId="7E748C49" w14:textId="1C2F05F4" w:rsidR="00463675" w:rsidRPr="0016780E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16780E">
        <w:rPr>
          <w:lang w:val="de-DE"/>
        </w:rPr>
        <w:t xml:space="preserve">Tel. </w:t>
      </w:r>
      <w:proofErr w:type="spellStart"/>
      <w:r w:rsidRPr="0016780E">
        <w:rPr>
          <w:lang w:val="de-DE"/>
        </w:rPr>
        <w:t>Number</w:t>
      </w:r>
      <w:proofErr w:type="spellEnd"/>
      <w:r w:rsidRPr="0016780E">
        <w:rPr>
          <w:lang w:val="de-DE"/>
        </w:rPr>
        <w:t>:</w:t>
      </w:r>
      <w:r w:rsidRPr="0016780E">
        <w:rPr>
          <w:bCs/>
          <w:lang w:val="de-DE"/>
        </w:rPr>
        <w:tab/>
      </w:r>
      <w:r w:rsidR="00D939F5" w:rsidRPr="0016780E">
        <w:rPr>
          <w:bCs/>
          <w:lang w:val="de-DE"/>
        </w:rPr>
        <w:t>+492115335432</w:t>
      </w:r>
    </w:p>
    <w:p w14:paraId="5836C680" w14:textId="641BD6F4" w:rsidR="00463675" w:rsidRPr="00D939F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D939F5">
        <w:rPr>
          <w:color w:val="0000FF"/>
          <w:lang w:val="de-DE"/>
        </w:rPr>
        <w:t>E-mail</w:t>
      </w:r>
      <w:proofErr w:type="spellEnd"/>
      <w:r w:rsidRPr="00D939F5">
        <w:rPr>
          <w:color w:val="0000FF"/>
          <w:lang w:val="de-DE"/>
        </w:rPr>
        <w:t xml:space="preserve"> </w:t>
      </w:r>
      <w:proofErr w:type="spellStart"/>
      <w:r w:rsidRPr="00D939F5">
        <w:rPr>
          <w:color w:val="0000FF"/>
          <w:lang w:val="de-DE"/>
        </w:rPr>
        <w:t>Address</w:t>
      </w:r>
      <w:proofErr w:type="spellEnd"/>
      <w:r w:rsidRPr="00D939F5">
        <w:rPr>
          <w:color w:val="0000FF"/>
          <w:lang w:val="de-DE"/>
        </w:rPr>
        <w:t>:</w:t>
      </w:r>
      <w:r w:rsidRPr="00D939F5">
        <w:rPr>
          <w:bCs/>
          <w:color w:val="0000FF"/>
          <w:lang w:val="de-DE"/>
        </w:rPr>
        <w:tab/>
      </w:r>
      <w:r w:rsidR="00D939F5" w:rsidRPr="00D939F5">
        <w:rPr>
          <w:bCs/>
          <w:color w:val="0000FF"/>
          <w:lang w:val="de-DE"/>
        </w:rPr>
        <w:t>yang.lu@</w:t>
      </w:r>
      <w:r w:rsidR="00D939F5">
        <w:rPr>
          <w:bCs/>
          <w:color w:val="0000FF"/>
          <w:lang w:val="de-DE"/>
        </w:rPr>
        <w:t>vodafone.com</w:t>
      </w:r>
    </w:p>
    <w:p w14:paraId="486A119D" w14:textId="77777777" w:rsidR="00463675" w:rsidRPr="00D939F5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5EBBE99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r w:rsidR="00D939F5" w:rsidRPr="004C09A2">
        <w:rPr>
          <w:highlight w:val="yellow"/>
        </w:rPr>
        <w:t>C1-24abcd</w:t>
      </w:r>
      <w:r w:rsidR="004C09A2" w:rsidRPr="004C09A2">
        <w:rPr>
          <w:highlight w:val="yellow"/>
        </w:rPr>
        <w:t xml:space="preserve"> (TBA)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78DE4725" w14:textId="7E2C1748" w:rsidR="00C10EED" w:rsidRPr="00F47769" w:rsidRDefault="00463675" w:rsidP="00F4776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3674FF" w14:textId="3420C492" w:rsidR="00D939F5" w:rsidRDefault="00D939F5">
      <w:pPr>
        <w:rPr>
          <w:rFonts w:ascii="Arial" w:hAnsi="Arial" w:cs="Arial"/>
        </w:rPr>
      </w:pPr>
      <w:r w:rsidRPr="00D939F5">
        <w:rPr>
          <w:rFonts w:ascii="Arial" w:hAnsi="Arial" w:cs="Arial"/>
        </w:rPr>
        <w:t xml:space="preserve">CT1 discussed the </w:t>
      </w:r>
      <w:r w:rsidR="00C62BC9">
        <w:rPr>
          <w:rFonts w:ascii="Arial" w:hAnsi="Arial" w:cs="Arial"/>
        </w:rPr>
        <w:t xml:space="preserve">use case and </w:t>
      </w:r>
      <w:r w:rsidRPr="00D939F5">
        <w:rPr>
          <w:rFonts w:ascii="Arial" w:hAnsi="Arial" w:cs="Arial"/>
        </w:rPr>
        <w:t xml:space="preserve">necessity of </w:t>
      </w:r>
      <w:r w:rsidR="00C62BC9">
        <w:rPr>
          <w:rFonts w:ascii="Arial" w:hAnsi="Arial" w:cs="Arial"/>
        </w:rPr>
        <w:t>restricting the</w:t>
      </w:r>
      <w:r w:rsidRPr="00D939F5">
        <w:rPr>
          <w:rFonts w:ascii="Arial" w:hAnsi="Arial" w:cs="Arial"/>
        </w:rPr>
        <w:t xml:space="preserve"> utilization of radio access technolog</w:t>
      </w:r>
      <w:r w:rsidR="00C737C9">
        <w:rPr>
          <w:rFonts w:ascii="Arial" w:hAnsi="Arial" w:cs="Arial"/>
        </w:rPr>
        <w:t>y</w:t>
      </w:r>
      <w:r w:rsidRPr="00D939F5">
        <w:rPr>
          <w:rFonts w:ascii="Arial" w:hAnsi="Arial" w:cs="Arial"/>
        </w:rPr>
        <w:t xml:space="preserve"> </w:t>
      </w:r>
      <w:r w:rsidR="00C10EED">
        <w:rPr>
          <w:rFonts w:ascii="Arial" w:hAnsi="Arial" w:cs="Arial"/>
        </w:rPr>
        <w:t xml:space="preserve">for UEs </w:t>
      </w:r>
      <w:r w:rsidRPr="00D939F5">
        <w:rPr>
          <w:rFonts w:ascii="Arial" w:hAnsi="Arial" w:cs="Arial"/>
        </w:rPr>
        <w:t>within the</w:t>
      </w:r>
      <w:r w:rsidR="006D62D2">
        <w:rPr>
          <w:rFonts w:ascii="Arial" w:hAnsi="Arial" w:cs="Arial"/>
        </w:rPr>
        <w:t xml:space="preserve"> current</w:t>
      </w:r>
      <w:r w:rsidRPr="00D939F5">
        <w:rPr>
          <w:rFonts w:ascii="Arial" w:hAnsi="Arial" w:cs="Arial"/>
        </w:rPr>
        <w:t xml:space="preserve"> </w:t>
      </w:r>
      <w:r w:rsidR="001065A4">
        <w:rPr>
          <w:rFonts w:ascii="Arial" w:hAnsi="Arial" w:cs="Arial"/>
        </w:rPr>
        <w:t xml:space="preserve">registered </w:t>
      </w:r>
      <w:r w:rsidRPr="00D939F5">
        <w:rPr>
          <w:rFonts w:ascii="Arial" w:hAnsi="Arial" w:cs="Arial"/>
        </w:rPr>
        <w:t>PLMN</w:t>
      </w:r>
      <w:r w:rsidR="00DD686F">
        <w:rPr>
          <w:rFonts w:ascii="Arial" w:hAnsi="Arial" w:cs="Arial"/>
        </w:rPr>
        <w:t xml:space="preserve">, and </w:t>
      </w:r>
      <w:r w:rsidR="006051D9" w:rsidRPr="006051D9">
        <w:rPr>
          <w:rFonts w:ascii="Arial" w:hAnsi="Arial" w:cs="Arial"/>
        </w:rPr>
        <w:t xml:space="preserve">agreed on the CR </w:t>
      </w:r>
      <w:r w:rsidR="00E32815">
        <w:rPr>
          <w:rFonts w:ascii="Arial" w:hAnsi="Arial" w:cs="Arial"/>
        </w:rPr>
        <w:t>(see attachment)</w:t>
      </w:r>
      <w:r w:rsidRPr="00D939F5">
        <w:rPr>
          <w:rFonts w:ascii="Arial" w:hAnsi="Arial" w:cs="Arial"/>
        </w:rPr>
        <w:t xml:space="preserve">, </w:t>
      </w:r>
      <w:r w:rsidR="006051D9" w:rsidRPr="006051D9">
        <w:rPr>
          <w:rFonts w:ascii="Arial" w:hAnsi="Arial" w:cs="Arial"/>
        </w:rPr>
        <w:t xml:space="preserve">specifying </w:t>
      </w:r>
      <w:r w:rsidRPr="00D939F5">
        <w:rPr>
          <w:rFonts w:ascii="Arial" w:hAnsi="Arial" w:cs="Arial"/>
        </w:rPr>
        <w:t xml:space="preserve">the </w:t>
      </w:r>
      <w:r w:rsidR="00E76E4C">
        <w:rPr>
          <w:rFonts w:ascii="Arial" w:hAnsi="Arial" w:cs="Arial"/>
        </w:rPr>
        <w:t xml:space="preserve">registered </w:t>
      </w:r>
      <w:r w:rsidRPr="00D939F5">
        <w:rPr>
          <w:rFonts w:ascii="Arial" w:hAnsi="Arial" w:cs="Arial"/>
        </w:rPr>
        <w:t xml:space="preserve">PLMN </w:t>
      </w:r>
      <w:r w:rsidR="00DD686F">
        <w:rPr>
          <w:rFonts w:ascii="Arial" w:hAnsi="Arial" w:cs="Arial"/>
        </w:rPr>
        <w:t xml:space="preserve">can </w:t>
      </w:r>
      <w:r w:rsidR="00C737C9">
        <w:rPr>
          <w:rFonts w:ascii="Arial" w:hAnsi="Arial" w:cs="Arial"/>
        </w:rPr>
        <w:t>convey</w:t>
      </w:r>
      <w:r w:rsidRPr="00D939F5">
        <w:rPr>
          <w:rFonts w:ascii="Arial" w:hAnsi="Arial" w:cs="Arial"/>
        </w:rPr>
        <w:t xml:space="preserve"> </w:t>
      </w:r>
      <w:r w:rsidR="00467EC2">
        <w:rPr>
          <w:rFonts w:ascii="Arial" w:hAnsi="Arial" w:cs="Arial"/>
        </w:rPr>
        <w:t xml:space="preserve">a list of </w:t>
      </w:r>
      <w:r w:rsidRPr="00D939F5">
        <w:rPr>
          <w:rFonts w:ascii="Arial" w:hAnsi="Arial" w:cs="Arial"/>
        </w:rPr>
        <w:t xml:space="preserve">restricted </w:t>
      </w:r>
      <w:proofErr w:type="gramStart"/>
      <w:r w:rsidRPr="00D939F5">
        <w:rPr>
          <w:rFonts w:ascii="Arial" w:hAnsi="Arial" w:cs="Arial"/>
        </w:rPr>
        <w:t>RAT</w:t>
      </w:r>
      <w:proofErr w:type="gramEnd"/>
      <w:r w:rsidR="006B136A">
        <w:rPr>
          <w:rFonts w:ascii="Arial" w:hAnsi="Arial" w:cs="Arial"/>
        </w:rPr>
        <w:t xml:space="preserve"> </w:t>
      </w:r>
      <w:r w:rsidRPr="00D939F5">
        <w:rPr>
          <w:rFonts w:ascii="Arial" w:hAnsi="Arial" w:cs="Arial"/>
        </w:rPr>
        <w:t>to the UE</w:t>
      </w:r>
      <w:r>
        <w:rPr>
          <w:rFonts w:ascii="Arial" w:hAnsi="Arial" w:cs="Arial"/>
        </w:rPr>
        <w:t xml:space="preserve">. The </w:t>
      </w:r>
      <w:r w:rsidR="00DD686F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NAS stores and </w:t>
      </w:r>
      <w:r w:rsidR="006D62D2">
        <w:rPr>
          <w:rFonts w:ascii="Arial" w:hAnsi="Arial" w:cs="Arial"/>
        </w:rPr>
        <w:t>indicates</w:t>
      </w:r>
      <w:r w:rsidRPr="00D939F5">
        <w:rPr>
          <w:rFonts w:ascii="Arial" w:hAnsi="Arial" w:cs="Arial"/>
        </w:rPr>
        <w:t xml:space="preserve"> the list to the AS for cell selection and cell reselection</w:t>
      </w:r>
      <w:r>
        <w:rPr>
          <w:rFonts w:ascii="Arial" w:hAnsi="Arial" w:cs="Arial"/>
        </w:rPr>
        <w:t xml:space="preserve"> purpose.</w:t>
      </w:r>
    </w:p>
    <w:p w14:paraId="5EA4CCEF" w14:textId="7356D5DF" w:rsidR="00F47769" w:rsidRDefault="00F47769">
      <w:pPr>
        <w:rPr>
          <w:rFonts w:ascii="Arial" w:hAnsi="Arial" w:cs="Arial"/>
        </w:rPr>
      </w:pPr>
    </w:p>
    <w:p w14:paraId="6557BF2D" w14:textId="744D2861" w:rsidR="00F47769" w:rsidRPr="00DD686F" w:rsidRDefault="00F477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noticed that 3GPP TS36.304 </w:t>
      </w:r>
      <w:r w:rsidRPr="006624B8">
        <w:rPr>
          <w:rFonts w:ascii="Arial" w:hAnsi="Arial"/>
        </w:rPr>
        <w:t>Clause 5.2.1</w:t>
      </w:r>
      <w:r>
        <w:rPr>
          <w:rFonts w:ascii="Arial" w:hAnsi="Arial"/>
        </w:rPr>
        <w:t xml:space="preserve"> underscored that</w:t>
      </w:r>
      <w:r>
        <w:rPr>
          <w:lang w:val="en-US"/>
        </w:rPr>
        <w:t xml:space="preserve"> </w:t>
      </w:r>
      <w:r w:rsidR="00DD686F" w:rsidRPr="00902182">
        <w:rPr>
          <w:rFonts w:ascii="Arial" w:hAnsi="Arial"/>
          <w:b/>
          <w:bCs/>
          <w:i/>
          <w:iCs/>
        </w:rPr>
        <w:t>t</w:t>
      </w:r>
      <w:r w:rsidRPr="00902182">
        <w:rPr>
          <w:rFonts w:ascii="Arial" w:hAnsi="Arial"/>
          <w:b/>
          <w:bCs/>
          <w:i/>
          <w:iCs/>
        </w:rPr>
        <w:t>he NAS can control the RAT(s) in which the cell selection should be performed, for instance by indicating RAT(s) associated with the selected PLMN</w:t>
      </w:r>
      <w:r w:rsidRPr="00DD686F">
        <w:rPr>
          <w:rFonts w:ascii="Arial" w:hAnsi="Arial"/>
        </w:rPr>
        <w:t>.</w:t>
      </w:r>
    </w:p>
    <w:p w14:paraId="4B3CC833" w14:textId="75D91940" w:rsidR="00D939F5" w:rsidRDefault="00D939F5">
      <w:pPr>
        <w:rPr>
          <w:rFonts w:ascii="Arial" w:hAnsi="Arial" w:cs="Arial"/>
        </w:rPr>
      </w:pPr>
    </w:p>
    <w:p w14:paraId="020A4809" w14:textId="4188E9BD" w:rsidR="00902182" w:rsidRDefault="006D62D2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  <w:r w:rsidRPr="006D62D2">
        <w:rPr>
          <w:rFonts w:ascii="Arial" w:hAnsi="Arial" w:cs="Arial"/>
        </w:rPr>
        <w:t>Accordingly, CT1 respectfully requests RAN2 to consider the CT1 agreement, provide feedback, and make any necessary updates to relevant RAN2 specifications</w:t>
      </w:r>
      <w:r>
        <w:rPr>
          <w:rFonts w:ascii="Arial" w:hAnsi="Arial" w:cs="Arial"/>
        </w:rPr>
        <w:t>.</w:t>
      </w:r>
    </w:p>
    <w:p w14:paraId="3C7BDED6" w14:textId="77209626" w:rsidR="00E65717" w:rsidRDefault="00E65717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2D2AEA" w14:textId="2BD47087" w:rsidR="00E65717" w:rsidRDefault="00E65717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Additionally, CT1 noticed that 3GPP TS29.274 Clause 8.17 Table 8.17-1 specified the </w:t>
      </w:r>
      <w:r w:rsidRPr="00C737C9">
        <w:rPr>
          <w:rFonts w:ascii="Arial" w:hAnsi="Arial" w:cs="Arial"/>
          <w:b/>
          <w:bCs/>
          <w:i/>
          <w:iCs/>
        </w:rPr>
        <w:t>RAT types</w:t>
      </w:r>
      <w:r>
        <w:rPr>
          <w:rFonts w:ascii="Arial" w:hAnsi="Arial" w:cs="Arial"/>
        </w:rPr>
        <w:t xml:space="preserve"> as indicated below. Therefore, CT1 seeks the perspective of RAN2 on the following matter: If the MME conveys to the UE the RAT types beyond the </w:t>
      </w:r>
      <w:r w:rsidRPr="002457EF">
        <w:rPr>
          <w:rFonts w:ascii="Arial" w:hAnsi="Arial" w:cs="Arial"/>
        </w:rPr>
        <w:t xml:space="preserve">RATs </w:t>
      </w:r>
      <w:r w:rsidR="00C737C9" w:rsidRPr="002457EF">
        <w:rPr>
          <w:rFonts w:ascii="Arial" w:hAnsi="Arial" w:cs="Arial"/>
        </w:rPr>
        <w:t>(GSM, UTRA, EUTRA and NR)</w:t>
      </w:r>
      <w:r w:rsidR="00C737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defined by RAN2 in TS 36.304 and TS38.304, which are intended to be restricted for use by the UE</w:t>
      </w:r>
      <w:r w:rsidR="005B6D5E">
        <w:rPr>
          <w:rFonts w:ascii="Arial" w:hAnsi="Arial" w:cs="Arial"/>
        </w:rPr>
        <w:t xml:space="preserve"> too</w:t>
      </w:r>
      <w:r>
        <w:rPr>
          <w:rFonts w:ascii="Arial" w:hAnsi="Arial" w:cs="Arial"/>
        </w:rPr>
        <w:t xml:space="preserve">, does RAN2 have any concerns regarding this approach? </w:t>
      </w:r>
    </w:p>
    <w:p w14:paraId="4F79EF49" w14:textId="5DBCB5BD" w:rsidR="00E65717" w:rsidRDefault="00E65717" w:rsidP="00E65717">
      <w:pPr>
        <w:pStyle w:val="Kopfzeile"/>
        <w:tabs>
          <w:tab w:val="clear" w:pos="4153"/>
          <w:tab w:val="clear" w:pos="8306"/>
        </w:tabs>
        <w:jc w:val="center"/>
        <w:rPr>
          <w:rFonts w:ascii="Arial" w:hAnsi="Arial" w:cs="Arial"/>
        </w:rPr>
      </w:pPr>
      <w:r w:rsidRPr="00E65717">
        <w:rPr>
          <w:rFonts w:ascii="Arial" w:hAnsi="Arial" w:cs="Arial"/>
        </w:rPr>
        <w:lastRenderedPageBreak/>
        <w:drawing>
          <wp:inline distT="0" distB="0" distL="0" distR="0" wp14:anchorId="2B9503FB" wp14:editId="384A4AC6">
            <wp:extent cx="3308400" cy="3063600"/>
            <wp:effectExtent l="0" t="0" r="6350" b="381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8400" cy="30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0130A" w14:textId="77777777" w:rsidR="006D62D2" w:rsidRPr="000F4E43" w:rsidRDefault="006D62D2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BC1949" w:rsidR="00463675" w:rsidRPr="001558C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558C3">
        <w:rPr>
          <w:rFonts w:ascii="Arial" w:hAnsi="Arial" w:cs="Arial"/>
          <w:b/>
        </w:rPr>
        <w:t xml:space="preserve">To </w:t>
      </w:r>
      <w:r w:rsidR="00C10EED" w:rsidRPr="001558C3">
        <w:rPr>
          <w:rFonts w:ascii="Arial" w:hAnsi="Arial" w:cs="Arial"/>
          <w:b/>
        </w:rPr>
        <w:t>RAN WG2</w:t>
      </w:r>
      <w:r w:rsidRPr="001558C3">
        <w:rPr>
          <w:rFonts w:ascii="Arial" w:hAnsi="Arial" w:cs="Arial"/>
          <w:b/>
        </w:rPr>
        <w:t xml:space="preserve"> group.</w:t>
      </w:r>
    </w:p>
    <w:p w14:paraId="4CFA2AD2" w14:textId="00B80FF8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65717" w:rsidRPr="00E65717">
        <w:rPr>
          <w:rFonts w:ascii="Arial" w:hAnsi="Arial" w:cs="Arial"/>
          <w:bCs/>
        </w:rPr>
        <w:t>1.</w:t>
      </w:r>
      <w:r w:rsidR="00E65717">
        <w:rPr>
          <w:rFonts w:ascii="Arial" w:hAnsi="Arial" w:cs="Arial"/>
        </w:rPr>
        <w:t xml:space="preserve"> </w:t>
      </w:r>
      <w:r w:rsidR="006D62D2" w:rsidRPr="006D62D2">
        <w:rPr>
          <w:rFonts w:ascii="Arial" w:hAnsi="Arial" w:cs="Arial"/>
        </w:rPr>
        <w:t>CT1 respectfully requests RAN2 to consider the CT1 agreement, provide feedback, and make any necessary updates to relevant RAN2 specifications</w:t>
      </w:r>
      <w:r w:rsidR="00C10EED" w:rsidRPr="00C10EED">
        <w:rPr>
          <w:rFonts w:ascii="Arial" w:hAnsi="Arial" w:cs="Arial"/>
        </w:rPr>
        <w:t>.</w:t>
      </w:r>
    </w:p>
    <w:p w14:paraId="37F272A4" w14:textId="23B22B64" w:rsidR="00E65717" w:rsidRPr="00E65717" w:rsidRDefault="00E65717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E65717">
        <w:rPr>
          <w:rFonts w:ascii="Arial" w:hAnsi="Arial" w:cs="Arial"/>
          <w:bCs/>
        </w:rPr>
        <w:t xml:space="preserve">2. Does RAN2 </w:t>
      </w:r>
      <w:r w:rsidRPr="00E65717">
        <w:rPr>
          <w:rFonts w:ascii="Arial" w:hAnsi="Arial" w:cs="Arial"/>
          <w:bCs/>
        </w:rPr>
        <w:t xml:space="preserve">have any concerns regarding </w:t>
      </w:r>
      <w:r w:rsidRPr="00E65717">
        <w:rPr>
          <w:rFonts w:ascii="Arial" w:hAnsi="Arial" w:cs="Arial"/>
          <w:bCs/>
        </w:rPr>
        <w:t>the</w:t>
      </w:r>
      <w:r w:rsidRPr="00E65717">
        <w:rPr>
          <w:rFonts w:ascii="Arial" w:hAnsi="Arial" w:cs="Arial"/>
          <w:bCs/>
        </w:rPr>
        <w:t xml:space="preserve"> approach</w:t>
      </w:r>
      <w:r w:rsidRPr="00E65717">
        <w:rPr>
          <w:rFonts w:ascii="Arial" w:hAnsi="Arial" w:cs="Arial"/>
          <w:bCs/>
        </w:rPr>
        <w:t xml:space="preserve"> of </w:t>
      </w:r>
      <w:r w:rsidR="009F4B5F">
        <w:rPr>
          <w:rFonts w:ascii="Arial" w:hAnsi="Arial" w:cs="Arial"/>
          <w:bCs/>
        </w:rPr>
        <w:t>network</w:t>
      </w:r>
      <w:r>
        <w:rPr>
          <w:rFonts w:ascii="Arial" w:hAnsi="Arial" w:cs="Arial"/>
          <w:bCs/>
        </w:rPr>
        <w:t xml:space="preserve"> </w:t>
      </w:r>
      <w:r w:rsidRPr="00E65717">
        <w:rPr>
          <w:rFonts w:ascii="Arial" w:hAnsi="Arial" w:cs="Arial"/>
          <w:bCs/>
        </w:rPr>
        <w:t xml:space="preserve">conveying </w:t>
      </w:r>
      <w:r>
        <w:rPr>
          <w:rFonts w:ascii="Arial" w:hAnsi="Arial" w:cs="Arial"/>
          <w:bCs/>
        </w:rPr>
        <w:t xml:space="preserve">restricted </w:t>
      </w:r>
      <w:r w:rsidRPr="00E65717">
        <w:rPr>
          <w:rFonts w:ascii="Arial" w:hAnsi="Arial" w:cs="Arial"/>
          <w:bCs/>
        </w:rPr>
        <w:t xml:space="preserve">RAT types to the UE as </w:t>
      </w:r>
      <w:r>
        <w:rPr>
          <w:rFonts w:ascii="Arial" w:hAnsi="Arial" w:cs="Arial"/>
          <w:bCs/>
        </w:rPr>
        <w:t>outlined</w:t>
      </w:r>
      <w:r w:rsidRPr="00E65717">
        <w:rPr>
          <w:rFonts w:ascii="Arial" w:hAnsi="Arial" w:cs="Arial"/>
          <w:bCs/>
        </w:rPr>
        <w:t xml:space="preserve"> above?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971F89" w14:textId="77777777" w:rsidR="004B2DB5" w:rsidRDefault="004B2DB5" w:rsidP="004B2D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India, IN</w:t>
      </w:r>
    </w:p>
    <w:p w14:paraId="02A190E8" w14:textId="61C354DE" w:rsidR="004B2DB5" w:rsidRDefault="004B2DB5" w:rsidP="004B2D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B28EF" w14:textId="77777777" w:rsidR="005B0FA3" w:rsidRDefault="005B0FA3">
      <w:r>
        <w:separator/>
      </w:r>
    </w:p>
  </w:endnote>
  <w:endnote w:type="continuationSeparator" w:id="0">
    <w:p w14:paraId="30DE3941" w14:textId="77777777" w:rsidR="005B0FA3" w:rsidRDefault="005B0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7A82" w14:textId="77777777" w:rsidR="00E65717" w:rsidRDefault="00E6571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C6F6B" w14:textId="2AFAABB9" w:rsidR="002B1F21" w:rsidRDefault="002B1F2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B68E" w14:textId="34012524" w:rsidR="002B1F21" w:rsidRDefault="002B1F2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228E6" w14:textId="77777777" w:rsidR="005B0FA3" w:rsidRDefault="005B0FA3">
      <w:r>
        <w:separator/>
      </w:r>
    </w:p>
  </w:footnote>
  <w:footnote w:type="continuationSeparator" w:id="0">
    <w:p w14:paraId="7E622CBD" w14:textId="77777777" w:rsidR="005B0FA3" w:rsidRDefault="005B0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2DF60" w14:textId="77777777" w:rsidR="00E65717" w:rsidRDefault="00E6571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03CFA" w14:textId="77777777" w:rsidR="00E65717" w:rsidRDefault="00E6571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9F419" w14:textId="77777777" w:rsidR="00E65717" w:rsidRDefault="00E6571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5C3D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065A4"/>
    <w:rsid w:val="001121A3"/>
    <w:rsid w:val="001558C3"/>
    <w:rsid w:val="001608BF"/>
    <w:rsid w:val="00160E89"/>
    <w:rsid w:val="00165C82"/>
    <w:rsid w:val="0016780E"/>
    <w:rsid w:val="001734EB"/>
    <w:rsid w:val="001848F5"/>
    <w:rsid w:val="001A4AF7"/>
    <w:rsid w:val="001E60FD"/>
    <w:rsid w:val="001F6498"/>
    <w:rsid w:val="00241727"/>
    <w:rsid w:val="002457EF"/>
    <w:rsid w:val="00275FF1"/>
    <w:rsid w:val="00295A7B"/>
    <w:rsid w:val="002B1F21"/>
    <w:rsid w:val="002E5688"/>
    <w:rsid w:val="002F5CEA"/>
    <w:rsid w:val="00324107"/>
    <w:rsid w:val="00326B06"/>
    <w:rsid w:val="00347947"/>
    <w:rsid w:val="003621C9"/>
    <w:rsid w:val="00362677"/>
    <w:rsid w:val="003663C4"/>
    <w:rsid w:val="00367678"/>
    <w:rsid w:val="003901E1"/>
    <w:rsid w:val="003A21D5"/>
    <w:rsid w:val="003B7403"/>
    <w:rsid w:val="003E727A"/>
    <w:rsid w:val="00401229"/>
    <w:rsid w:val="004234FF"/>
    <w:rsid w:val="00445241"/>
    <w:rsid w:val="004567C2"/>
    <w:rsid w:val="004634F1"/>
    <w:rsid w:val="00463675"/>
    <w:rsid w:val="004643F7"/>
    <w:rsid w:val="00467EC2"/>
    <w:rsid w:val="00482A8B"/>
    <w:rsid w:val="004B2DB5"/>
    <w:rsid w:val="004B43FA"/>
    <w:rsid w:val="004B6D78"/>
    <w:rsid w:val="004C09A2"/>
    <w:rsid w:val="004C2A09"/>
    <w:rsid w:val="004C3F5A"/>
    <w:rsid w:val="004C4DCF"/>
    <w:rsid w:val="00507006"/>
    <w:rsid w:val="00517913"/>
    <w:rsid w:val="00533B63"/>
    <w:rsid w:val="00584B08"/>
    <w:rsid w:val="005A58DD"/>
    <w:rsid w:val="005B0FA3"/>
    <w:rsid w:val="005B6D5E"/>
    <w:rsid w:val="005E5C97"/>
    <w:rsid w:val="00600476"/>
    <w:rsid w:val="006051D9"/>
    <w:rsid w:val="00615177"/>
    <w:rsid w:val="00654758"/>
    <w:rsid w:val="00675D3A"/>
    <w:rsid w:val="006866EF"/>
    <w:rsid w:val="00687A0B"/>
    <w:rsid w:val="00691A75"/>
    <w:rsid w:val="006B136A"/>
    <w:rsid w:val="006B22EE"/>
    <w:rsid w:val="006D0B09"/>
    <w:rsid w:val="006D108B"/>
    <w:rsid w:val="006D62D2"/>
    <w:rsid w:val="006E17C7"/>
    <w:rsid w:val="007032C5"/>
    <w:rsid w:val="007116E4"/>
    <w:rsid w:val="00726FC3"/>
    <w:rsid w:val="0073312A"/>
    <w:rsid w:val="007558E6"/>
    <w:rsid w:val="0077485D"/>
    <w:rsid w:val="00787CAC"/>
    <w:rsid w:val="0089666F"/>
    <w:rsid w:val="00902182"/>
    <w:rsid w:val="0090241A"/>
    <w:rsid w:val="0090582E"/>
    <w:rsid w:val="00912DB5"/>
    <w:rsid w:val="00923E7C"/>
    <w:rsid w:val="009453F6"/>
    <w:rsid w:val="00952FCD"/>
    <w:rsid w:val="00991253"/>
    <w:rsid w:val="009B2144"/>
    <w:rsid w:val="009D2D6A"/>
    <w:rsid w:val="009F4B5F"/>
    <w:rsid w:val="009F6E85"/>
    <w:rsid w:val="00A52DB2"/>
    <w:rsid w:val="00A7348D"/>
    <w:rsid w:val="00AC079B"/>
    <w:rsid w:val="00AC2ED0"/>
    <w:rsid w:val="00AC438C"/>
    <w:rsid w:val="00AD51BB"/>
    <w:rsid w:val="00AE489C"/>
    <w:rsid w:val="00AE5091"/>
    <w:rsid w:val="00B144F4"/>
    <w:rsid w:val="00B16AA3"/>
    <w:rsid w:val="00BC10F5"/>
    <w:rsid w:val="00BF7EE2"/>
    <w:rsid w:val="00C10EED"/>
    <w:rsid w:val="00C165D1"/>
    <w:rsid w:val="00C37707"/>
    <w:rsid w:val="00C62BC9"/>
    <w:rsid w:val="00C6700A"/>
    <w:rsid w:val="00C7312A"/>
    <w:rsid w:val="00C737C9"/>
    <w:rsid w:val="00C93BAE"/>
    <w:rsid w:val="00CA2FB0"/>
    <w:rsid w:val="00CA77AA"/>
    <w:rsid w:val="00CC5CA8"/>
    <w:rsid w:val="00CD2DC1"/>
    <w:rsid w:val="00D53018"/>
    <w:rsid w:val="00D676CD"/>
    <w:rsid w:val="00D939F5"/>
    <w:rsid w:val="00DA5361"/>
    <w:rsid w:val="00DB777F"/>
    <w:rsid w:val="00DD686F"/>
    <w:rsid w:val="00E16BBB"/>
    <w:rsid w:val="00E20604"/>
    <w:rsid w:val="00E274E3"/>
    <w:rsid w:val="00E32815"/>
    <w:rsid w:val="00E4207B"/>
    <w:rsid w:val="00E65717"/>
    <w:rsid w:val="00E66D9D"/>
    <w:rsid w:val="00E72B30"/>
    <w:rsid w:val="00E74B9D"/>
    <w:rsid w:val="00E76827"/>
    <w:rsid w:val="00E76E4C"/>
    <w:rsid w:val="00EA19B5"/>
    <w:rsid w:val="00EA68B1"/>
    <w:rsid w:val="00F0649B"/>
    <w:rsid w:val="00F12248"/>
    <w:rsid w:val="00F16C83"/>
    <w:rsid w:val="00F20CD7"/>
    <w:rsid w:val="00F47769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 Lu, Vodafone</cp:lastModifiedBy>
  <cp:revision>26</cp:revision>
  <cp:lastPrinted>2002-04-23T07:10:00Z</cp:lastPrinted>
  <dcterms:created xsi:type="dcterms:W3CDTF">2024-04-03T08:50:00Z</dcterms:created>
  <dcterms:modified xsi:type="dcterms:W3CDTF">2024-04-08T09:34:00Z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2024-04-08T07:17:28Z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47ef6536-8647-467d-8fee-9268f03e3a71</vt:lpwstr>
  </property>
  <property fmtid="{D5CDD505-2E9C-101B-9397-08002B2CF9AE}" pid="8" name="MSIP_Label_17da11e7-ad83-4459-98c6-12a88e2eac78_ContentBits">
    <vt:lpwstr>0</vt:lpwstr>
  </property>
</Properties>
</file>