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9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0689</w:t>
      </w:r>
    </w:p>
    <w:p>
      <w:pPr>
        <w:pStyle w:val="19"/>
        <w:outlineLvl w:val="0"/>
        <w:rPr>
          <w:b/>
          <w:sz w:val="24"/>
        </w:rPr>
      </w:pPr>
      <w:r>
        <w:rPr>
          <w:b/>
          <w:sz w:val="24"/>
        </w:rPr>
        <w:t>Athens, Greece, 26 February – 1 March 2024</w:t>
      </w:r>
    </w:p>
    <w:bookmarkEnd w:id="0"/>
    <w:p>
      <w:pPr>
        <w:spacing w:after="120"/>
        <w:ind w:left="1985" w:hanging="1985"/>
        <w:rPr>
          <w:rFonts w:ascii="Arial" w:hAnsi="Arial"/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Discrepancy on provisioning ATSSS rules via 3GPP access and untrusted non-3GPP access in EPC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18.2.30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DISCUSSION &amp; DECISION</w:t>
      </w:r>
    </w:p>
    <w:p>
      <w:pPr>
        <w:pBdr>
          <w:bottom w:val="single" w:color="auto" w:sz="4" w:space="1"/>
        </w:pBdr>
        <w:rPr>
          <w:rFonts w:ascii="Arial" w:hAnsi="Arial" w:cs="Arial"/>
          <w:b/>
          <w:bCs/>
        </w:rPr>
      </w:pPr>
    </w:p>
    <w:p>
      <w:pPr>
        <w:rPr>
          <w:rFonts w:ascii="Arial" w:hAnsi="Arial" w:cs="Arial"/>
          <w:b/>
          <w:bCs/>
        </w:rPr>
      </w:pPr>
    </w:p>
    <w:p>
      <w:pPr>
        <w:pStyle w:val="2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lang w:eastAsia="zh-CN"/>
        </w:rPr>
        <w:t>Discussion</w:t>
      </w:r>
    </w:p>
    <w:p>
      <w:pPr>
        <w:spacing w:after="120"/>
        <w:rPr>
          <w:lang w:eastAsia="zh-CN"/>
        </w:rPr>
      </w:pPr>
      <w:r>
        <w:rPr>
          <w:lang w:eastAsia="zh-CN"/>
        </w:rPr>
        <w:t xml:space="preserve">In Rel-17, ATSSS_Ph2 introduces support of MA PDU session establishment with 3GPP access connected to EPC and non-3GPP access connected to 5GC. It specifies that </w:t>
      </w:r>
      <w:r>
        <w:rPr>
          <w:b/>
          <w:lang w:eastAsia="zh-CN"/>
        </w:rPr>
        <w:t>ATSSS rules</w:t>
      </w:r>
      <w:r>
        <w:rPr>
          <w:b/>
          <w:color w:val="FF0000"/>
          <w:lang w:eastAsia="zh-CN"/>
        </w:rPr>
        <w:t xml:space="preserve"> are not</w:t>
      </w:r>
      <w:r>
        <w:rPr>
          <w:b/>
          <w:lang w:eastAsia="zh-CN"/>
        </w:rPr>
        <w:t xml:space="preserve"> provided via the EPC</w:t>
      </w:r>
      <w:r>
        <w:rPr>
          <w:lang w:eastAsia="zh-CN"/>
        </w:rPr>
        <w:t xml:space="preserve"> (see the yellow highlighted texts in 4.22.2.3.1 of 23.502 excerpted as below).</w:t>
      </w:r>
    </w:p>
    <w:p>
      <w:pPr>
        <w:spacing w:after="120"/>
        <w:rPr>
          <w:lang w:eastAsia="zh-CN"/>
        </w:rPr>
      </w:pPr>
      <w:r>
        <w:rPr>
          <w:lang w:eastAsia="zh-CN"/>
        </w:rPr>
        <w:t>In Rel-18, ATSSS_Ph3 introduces support of MA PDU session establishment with non-3GPP access connected to EPC and 3GPP access connected to 5GC. It specifies that</w:t>
      </w:r>
      <w:r>
        <w:rPr>
          <w:b/>
          <w:lang w:eastAsia="zh-CN"/>
        </w:rPr>
        <w:t xml:space="preserve"> ATSSS rules </w:t>
      </w:r>
      <w:r>
        <w:rPr>
          <w:b/>
          <w:color w:val="FF0000"/>
          <w:lang w:eastAsia="zh-CN"/>
        </w:rPr>
        <w:t>may be</w:t>
      </w:r>
      <w:r>
        <w:rPr>
          <w:b/>
          <w:lang w:eastAsia="zh-CN"/>
        </w:rPr>
        <w:t xml:space="preserve"> provided via the EPC</w:t>
      </w:r>
      <w:r>
        <w:rPr>
          <w:lang w:eastAsia="zh-CN"/>
        </w:rPr>
        <w:t xml:space="preserve"> (see the green highlighted texts in 4.22.2.4.1 of 23.502 excerpted as below).</w:t>
      </w:r>
    </w:p>
    <w:p>
      <w:pPr>
        <w:ind w:left="200" w:leftChars="100"/>
        <w:rPr>
          <w:lang w:eastAsia="zh-CN"/>
        </w:rPr>
      </w:pPr>
      <w:r>
        <w:rPr>
          <w:rFonts w:hint="eastAsia"/>
          <w:lang w:eastAsia="zh-CN"/>
        </w:rPr>
        <w:t>"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618" w:leftChars="100" w:hanging="1418"/>
        <w:textAlignment w:val="baseline"/>
        <w:outlineLvl w:val="3"/>
        <w:rPr>
          <w:rFonts w:ascii="Arial" w:hAnsi="Arial" w:eastAsiaTheme="minorEastAsia"/>
          <w:i/>
          <w:sz w:val="24"/>
          <w:lang w:eastAsia="en-GB"/>
        </w:rPr>
      </w:pPr>
      <w:bookmarkStart w:id="1" w:name="_Toc153802142"/>
      <w:r>
        <w:rPr>
          <w:rFonts w:ascii="Arial" w:hAnsi="Arial" w:eastAsiaTheme="minorEastAsia"/>
          <w:i/>
          <w:sz w:val="24"/>
          <w:lang w:eastAsia="en-GB"/>
        </w:rPr>
        <w:t>4.22.2.3</w:t>
      </w:r>
      <w:r>
        <w:rPr>
          <w:rFonts w:ascii="Arial" w:hAnsi="Arial" w:eastAsiaTheme="minorEastAsia"/>
          <w:i/>
          <w:sz w:val="24"/>
          <w:lang w:eastAsia="en-GB"/>
        </w:rPr>
        <w:tab/>
      </w:r>
      <w:r>
        <w:rPr>
          <w:rFonts w:ascii="Arial" w:hAnsi="Arial" w:eastAsiaTheme="minorEastAsia"/>
          <w:i/>
          <w:sz w:val="24"/>
          <w:lang w:eastAsia="en-GB"/>
        </w:rPr>
        <w:t xml:space="preserve">MA PDU Session establishment </w:t>
      </w:r>
      <w:r>
        <w:rPr>
          <w:rFonts w:ascii="Arial" w:hAnsi="Arial" w:eastAsiaTheme="minorEastAsia"/>
          <w:i/>
          <w:sz w:val="24"/>
          <w:highlight w:val="yellow"/>
          <w:lang w:eastAsia="en-GB"/>
        </w:rPr>
        <w:t>with 3GPP access connected to EPC</w:t>
      </w:r>
      <w:r>
        <w:rPr>
          <w:rFonts w:ascii="Arial" w:hAnsi="Arial" w:eastAsiaTheme="minorEastAsia"/>
          <w:i/>
          <w:sz w:val="24"/>
          <w:lang w:eastAsia="en-GB"/>
        </w:rPr>
        <w:t xml:space="preserve"> and non-3GPP access connected to 5GC</w:t>
      </w:r>
      <w:bookmarkEnd w:id="1"/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901" w:leftChars="100" w:hanging="1701"/>
        <w:textAlignment w:val="baseline"/>
        <w:outlineLvl w:val="4"/>
        <w:rPr>
          <w:rFonts w:ascii="Arial" w:hAnsi="Arial" w:eastAsiaTheme="minorEastAsia"/>
          <w:i/>
          <w:sz w:val="22"/>
          <w:lang w:eastAsia="en-GB"/>
        </w:rPr>
      </w:pPr>
      <w:bookmarkStart w:id="2" w:name="_CR4_22_2_3_1"/>
      <w:bookmarkEnd w:id="2"/>
      <w:bookmarkStart w:id="3" w:name="_Toc153802143"/>
      <w:r>
        <w:rPr>
          <w:rFonts w:ascii="Arial" w:hAnsi="Arial" w:eastAsiaTheme="minorEastAsia"/>
          <w:i/>
          <w:sz w:val="22"/>
          <w:lang w:eastAsia="en-GB"/>
        </w:rPr>
        <w:t>4.22.2.3.1</w:t>
      </w:r>
      <w:r>
        <w:rPr>
          <w:rFonts w:ascii="Arial" w:hAnsi="Arial" w:eastAsiaTheme="minorEastAsia"/>
          <w:i/>
          <w:sz w:val="22"/>
          <w:lang w:eastAsia="en-GB"/>
        </w:rPr>
        <w:tab/>
      </w:r>
      <w:r>
        <w:rPr>
          <w:rFonts w:ascii="Arial" w:hAnsi="Arial" w:eastAsiaTheme="minorEastAsia"/>
          <w:i/>
          <w:sz w:val="22"/>
          <w:lang w:eastAsia="en-GB"/>
        </w:rPr>
        <w:t>General</w:t>
      </w:r>
      <w:bookmarkEnd w:id="3"/>
    </w:p>
    <w:p>
      <w:pPr>
        <w:overflowPunct w:val="0"/>
        <w:autoSpaceDE w:val="0"/>
        <w:autoSpaceDN w:val="0"/>
        <w:adjustRightInd w:val="0"/>
        <w:spacing w:after="180"/>
        <w:ind w:left="200" w:leftChars="100"/>
        <w:textAlignment w:val="baseline"/>
        <w:rPr>
          <w:rFonts w:eastAsiaTheme="minorEastAsia"/>
          <w:i/>
          <w:lang w:eastAsia="en-GB"/>
        </w:rPr>
      </w:pPr>
      <w:r>
        <w:rPr>
          <w:rFonts w:eastAsiaTheme="minorEastAsia"/>
          <w:i/>
          <w:lang w:eastAsia="en-GB"/>
        </w:rPr>
        <w:t>This clause applies to the case where, for a PDU Session, multi-access connectivity via both EPC (over 3GPP access) and 5GC (over non-3GPP access) is supported and allowed in the UE and network. In this case, multi-access connectivity using ATSSS via both 3GPP access to EPC and non-3GPP access to 5GC may be provided as described in this clause.</w:t>
      </w:r>
    </w:p>
    <w:p>
      <w:pPr>
        <w:overflowPunct w:val="0"/>
        <w:autoSpaceDE w:val="0"/>
        <w:autoSpaceDN w:val="0"/>
        <w:adjustRightInd w:val="0"/>
        <w:spacing w:after="180"/>
        <w:ind w:left="200" w:leftChars="100"/>
        <w:textAlignment w:val="baseline"/>
        <w:rPr>
          <w:rFonts w:eastAsiaTheme="minorEastAsia"/>
          <w:i/>
          <w:lang w:eastAsia="en-GB"/>
        </w:rPr>
      </w:pPr>
      <w:r>
        <w:rPr>
          <w:rFonts w:eastAsiaTheme="minorEastAsia"/>
          <w:i/>
          <w:lang w:eastAsia="en-GB"/>
        </w:rPr>
        <w:t>… …</w:t>
      </w:r>
    </w:p>
    <w:p>
      <w:pPr>
        <w:overflowPunct w:val="0"/>
        <w:autoSpaceDE w:val="0"/>
        <w:autoSpaceDN w:val="0"/>
        <w:adjustRightInd w:val="0"/>
        <w:spacing w:after="180"/>
        <w:ind w:left="200" w:leftChars="100"/>
        <w:textAlignment w:val="baseline"/>
        <w:rPr>
          <w:rFonts w:eastAsiaTheme="minorEastAsia"/>
          <w:i/>
          <w:lang w:eastAsia="en-GB"/>
        </w:rPr>
      </w:pPr>
      <w:r>
        <w:rPr>
          <w:rFonts w:eastAsiaTheme="minorEastAsia"/>
          <w:i/>
          <w:lang w:eastAsia="en-GB"/>
        </w:rPr>
        <w:t>The ATSSS rules are provided from the PGW-C+SMF to the UE via SM NAS signalling over 5GC, as described in clause 5.32.2 of TS 23.501 [2].</w:t>
      </w:r>
      <w:r>
        <w:rPr>
          <w:rFonts w:eastAsiaTheme="minorEastAsia"/>
          <w:b/>
          <w:i/>
          <w:lang w:eastAsia="en-GB"/>
        </w:rPr>
        <w:t xml:space="preserve"> </w:t>
      </w:r>
      <w:r>
        <w:rPr>
          <w:rFonts w:eastAsiaTheme="minorEastAsia"/>
          <w:b/>
          <w:i/>
          <w:highlight w:val="yellow"/>
          <w:lang w:eastAsia="en-GB"/>
        </w:rPr>
        <w:t>ATSSS rules are not provided via the EPC</w:t>
      </w:r>
      <w:r>
        <w:rPr>
          <w:rFonts w:eastAsiaTheme="minorEastAsia"/>
          <w:b/>
          <w:i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200" w:leftChars="100"/>
        <w:textAlignment w:val="baseline"/>
        <w:rPr>
          <w:lang w:eastAsia="zh-CN"/>
        </w:rPr>
      </w:pPr>
      <w:r>
        <w:rPr>
          <w:rFonts w:eastAsiaTheme="minorEastAsia"/>
          <w:lang w:eastAsia="en-GB"/>
        </w:rPr>
        <w:t>… …</w:t>
      </w:r>
      <w:r>
        <w:rPr>
          <w:rFonts w:hint="eastAsia"/>
          <w:lang w:eastAsia="zh-CN"/>
        </w:rPr>
        <w:t>"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618" w:leftChars="100" w:hanging="1418"/>
        <w:textAlignment w:val="baseline"/>
        <w:outlineLvl w:val="3"/>
        <w:rPr>
          <w:rFonts w:ascii="Arial" w:hAnsi="Arial" w:eastAsiaTheme="minorEastAsia"/>
          <w:i/>
          <w:sz w:val="24"/>
          <w:lang w:eastAsia="en-GB"/>
        </w:rPr>
      </w:pPr>
      <w:bookmarkStart w:id="4" w:name="_Toc153802146"/>
      <w:r>
        <w:rPr>
          <w:rFonts w:ascii="Arial" w:hAnsi="Arial" w:eastAsiaTheme="minorEastAsia"/>
          <w:i/>
          <w:sz w:val="24"/>
          <w:lang w:eastAsia="en-GB"/>
        </w:rPr>
        <w:t>4.22.2.4</w:t>
      </w:r>
      <w:r>
        <w:rPr>
          <w:rFonts w:ascii="Arial" w:hAnsi="Arial" w:eastAsiaTheme="minorEastAsia"/>
          <w:i/>
          <w:sz w:val="24"/>
          <w:lang w:eastAsia="en-GB"/>
        </w:rPr>
        <w:tab/>
      </w:r>
      <w:r>
        <w:rPr>
          <w:rFonts w:ascii="Arial" w:hAnsi="Arial" w:eastAsiaTheme="minorEastAsia"/>
          <w:i/>
          <w:sz w:val="24"/>
          <w:lang w:eastAsia="en-GB"/>
        </w:rPr>
        <w:t>MA PDU Session establishment</w:t>
      </w:r>
      <w:r>
        <w:rPr>
          <w:rFonts w:ascii="Arial" w:hAnsi="Arial" w:eastAsiaTheme="minorEastAsia"/>
          <w:i/>
          <w:sz w:val="24"/>
          <w:highlight w:val="green"/>
          <w:lang w:eastAsia="en-GB"/>
        </w:rPr>
        <w:t xml:space="preserve"> with non-3GPP access connected to EPC</w:t>
      </w:r>
      <w:r>
        <w:rPr>
          <w:rFonts w:ascii="Arial" w:hAnsi="Arial" w:eastAsiaTheme="minorEastAsia"/>
          <w:i/>
          <w:sz w:val="24"/>
          <w:lang w:eastAsia="en-GB"/>
        </w:rPr>
        <w:t xml:space="preserve"> and 3GPP access connected to 5GC</w:t>
      </w:r>
      <w:bookmarkEnd w:id="4"/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901" w:leftChars="100" w:hanging="1701"/>
        <w:textAlignment w:val="baseline"/>
        <w:outlineLvl w:val="4"/>
        <w:rPr>
          <w:rFonts w:ascii="Arial" w:hAnsi="Arial" w:eastAsiaTheme="minorEastAsia"/>
          <w:i/>
          <w:sz w:val="22"/>
          <w:lang w:eastAsia="en-GB"/>
        </w:rPr>
      </w:pPr>
      <w:bookmarkStart w:id="5" w:name="_CR4_22_2_4_1"/>
      <w:bookmarkEnd w:id="5"/>
      <w:bookmarkStart w:id="6" w:name="_Toc153802147"/>
      <w:r>
        <w:rPr>
          <w:rFonts w:ascii="Arial" w:hAnsi="Arial" w:eastAsiaTheme="minorEastAsia"/>
          <w:i/>
          <w:sz w:val="22"/>
          <w:lang w:eastAsia="en-GB"/>
        </w:rPr>
        <w:t>4.22.2.4.1</w:t>
      </w:r>
      <w:r>
        <w:rPr>
          <w:rFonts w:ascii="Arial" w:hAnsi="Arial" w:eastAsiaTheme="minorEastAsia"/>
          <w:i/>
          <w:sz w:val="22"/>
          <w:lang w:eastAsia="en-GB"/>
        </w:rPr>
        <w:tab/>
      </w:r>
      <w:r>
        <w:rPr>
          <w:rFonts w:ascii="Arial" w:hAnsi="Arial" w:eastAsiaTheme="minorEastAsia"/>
          <w:i/>
          <w:sz w:val="22"/>
          <w:lang w:eastAsia="en-GB"/>
        </w:rPr>
        <w:t>General</w:t>
      </w:r>
      <w:bookmarkEnd w:id="6"/>
    </w:p>
    <w:p>
      <w:pPr>
        <w:overflowPunct w:val="0"/>
        <w:autoSpaceDE w:val="0"/>
        <w:autoSpaceDN w:val="0"/>
        <w:adjustRightInd w:val="0"/>
        <w:spacing w:after="180"/>
        <w:ind w:left="200" w:leftChars="100"/>
        <w:textAlignment w:val="baseline"/>
        <w:rPr>
          <w:rFonts w:eastAsiaTheme="minorEastAsia"/>
          <w:i/>
          <w:lang w:eastAsia="en-GB"/>
        </w:rPr>
      </w:pPr>
      <w:r>
        <w:rPr>
          <w:rFonts w:eastAsiaTheme="minorEastAsia"/>
          <w:i/>
          <w:lang w:eastAsia="en-GB"/>
        </w:rPr>
        <w:t xml:space="preserve">… … </w:t>
      </w:r>
    </w:p>
    <w:p>
      <w:pPr>
        <w:overflowPunct w:val="0"/>
        <w:autoSpaceDE w:val="0"/>
        <w:autoSpaceDN w:val="0"/>
        <w:adjustRightInd w:val="0"/>
        <w:spacing w:after="180"/>
        <w:ind w:left="200" w:leftChars="100"/>
        <w:textAlignment w:val="baseline"/>
        <w:rPr>
          <w:rFonts w:eastAsiaTheme="minorEastAsia"/>
          <w:i/>
          <w:lang w:eastAsia="en-GB"/>
        </w:rPr>
      </w:pPr>
      <w:r>
        <w:rPr>
          <w:rFonts w:eastAsiaTheme="minorEastAsia"/>
          <w:i/>
          <w:lang w:eastAsia="en-GB"/>
        </w:rPr>
        <w:t>The ATSSS rules are provided from the PGW-C+SMF to the UE via SM NAS signalling over 5GC, as described in clause 5.32.2 of TS 23.501 [2].</w:t>
      </w:r>
      <w:r>
        <w:rPr>
          <w:rFonts w:eastAsiaTheme="minorEastAsia"/>
          <w:b/>
          <w:i/>
          <w:lang w:eastAsia="en-GB"/>
        </w:rPr>
        <w:t xml:space="preserve"> </w:t>
      </w:r>
      <w:r>
        <w:rPr>
          <w:rFonts w:eastAsiaTheme="minorEastAsia"/>
          <w:b/>
          <w:i/>
          <w:highlight w:val="green"/>
          <w:lang w:eastAsia="en-GB"/>
        </w:rPr>
        <w:t>ATSSS rules may be provided via the EPC</w:t>
      </w:r>
      <w:r>
        <w:rPr>
          <w:rFonts w:eastAsiaTheme="minorEastAsia"/>
          <w:i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spacing w:after="180"/>
        <w:ind w:left="200" w:leftChars="100"/>
        <w:textAlignment w:val="baseline"/>
        <w:rPr>
          <w:rFonts w:eastAsiaTheme="minorEastAsia"/>
          <w:lang w:eastAsia="en-GB"/>
        </w:rPr>
      </w:pPr>
      <w:r>
        <w:rPr>
          <w:rFonts w:eastAsiaTheme="minorEastAsia"/>
          <w:lang w:eastAsia="en-GB"/>
        </w:rPr>
        <w:t>… …</w:t>
      </w:r>
    </w:p>
    <w:p>
      <w:pPr>
        <w:overflowPunct w:val="0"/>
        <w:autoSpaceDE w:val="0"/>
        <w:autoSpaceDN w:val="0"/>
        <w:adjustRightInd w:val="0"/>
        <w:spacing w:after="180"/>
        <w:ind w:left="200" w:leftChars="10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"</w:t>
      </w:r>
    </w:p>
    <w:p>
      <w:pPr>
        <w:spacing w:after="120"/>
        <w:rPr>
          <w:b/>
          <w:sz w:val="24"/>
          <w:lang w:eastAsia="zh-CN"/>
        </w:rPr>
      </w:pPr>
      <w:bookmarkStart w:id="7" w:name="_Toc153802148"/>
      <w:r>
        <w:rPr>
          <w:b/>
          <w:sz w:val="24"/>
          <w:lang w:eastAsia="zh-CN"/>
        </w:rPr>
        <w:t>Observation</w:t>
      </w:r>
      <w:r>
        <w:rPr>
          <w:b/>
          <w:sz w:val="24"/>
          <w:lang w:val="en-US" w:eastAsia="zh-CN"/>
        </w:rPr>
        <w:t> </w:t>
      </w:r>
      <w:r>
        <w:rPr>
          <w:b/>
          <w:sz w:val="24"/>
          <w:lang w:eastAsia="zh-CN"/>
        </w:rPr>
        <w:t>1: PGW-C+SMF can provide ATSSS rules to the UE via untrusted non-3GPP access in EPC but cannot provide ATSSS rules to the UE via 3GPP access in EPC.</w:t>
      </w:r>
    </w:p>
    <w:p>
      <w:pPr>
        <w:spacing w:after="120"/>
        <w:rPr>
          <w:lang w:eastAsia="zh-CN"/>
        </w:rPr>
      </w:pPr>
      <w:r>
        <w:rPr>
          <w:lang w:eastAsia="zh-CN"/>
        </w:rPr>
        <w:t xml:space="preserve">As green highlighted texts specified in 4.22.2.4.2 of 23.502 excerpted as below, the ATSSS rules are included </w:t>
      </w:r>
      <w:r>
        <w:rPr>
          <w:b/>
          <w:lang w:eastAsia="zh-CN"/>
        </w:rPr>
        <w:t xml:space="preserve">in the APCO IE </w:t>
      </w:r>
      <w:r>
        <w:rPr>
          <w:lang w:eastAsia="zh-CN"/>
        </w:rPr>
        <w:t>in create session response message from PGW-C+SMF to the ePDG. The ePDG then extracts ATSSS rules from the APCO IE and include the ATSSS rules in the ATSSS_RESPONSE Notify payload to the UE.</w:t>
      </w:r>
    </w:p>
    <w:p>
      <w:pPr>
        <w:overflowPunct w:val="0"/>
        <w:autoSpaceDE w:val="0"/>
        <w:autoSpaceDN w:val="0"/>
        <w:adjustRightInd w:val="0"/>
        <w:spacing w:after="180"/>
        <w:ind w:left="200" w:leftChars="10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"</w:t>
      </w:r>
    </w:p>
    <w:p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901" w:leftChars="100" w:hanging="1701"/>
        <w:textAlignment w:val="baseline"/>
        <w:outlineLvl w:val="4"/>
        <w:rPr>
          <w:rFonts w:ascii="Arial" w:hAnsi="Arial" w:eastAsiaTheme="minorEastAsia"/>
          <w:i/>
          <w:sz w:val="22"/>
          <w:lang w:eastAsia="en-GB"/>
        </w:rPr>
      </w:pPr>
      <w:r>
        <w:rPr>
          <w:rFonts w:ascii="Arial" w:hAnsi="Arial" w:eastAsiaTheme="minorEastAsia"/>
          <w:i/>
          <w:sz w:val="22"/>
          <w:lang w:eastAsia="en-GB"/>
        </w:rPr>
        <w:t>4.22.2.4.2</w:t>
      </w:r>
      <w:r>
        <w:rPr>
          <w:rFonts w:ascii="Arial" w:hAnsi="Arial" w:eastAsiaTheme="minorEastAsia"/>
          <w:i/>
          <w:sz w:val="22"/>
          <w:lang w:eastAsia="en-GB"/>
        </w:rPr>
        <w:tab/>
      </w:r>
      <w:r>
        <w:rPr>
          <w:rFonts w:ascii="Arial" w:hAnsi="Arial" w:eastAsiaTheme="minorEastAsia"/>
          <w:i/>
          <w:sz w:val="22"/>
          <w:lang w:eastAsia="en-GB"/>
        </w:rPr>
        <w:t>PDN Connections and Multi Access PDU Sessions</w:t>
      </w:r>
      <w:bookmarkEnd w:id="7"/>
    </w:p>
    <w:p>
      <w:pPr>
        <w:overflowPunct w:val="0"/>
        <w:autoSpaceDE w:val="0"/>
        <w:autoSpaceDN w:val="0"/>
        <w:adjustRightInd w:val="0"/>
        <w:spacing w:after="180"/>
        <w:ind w:left="200" w:leftChars="100"/>
        <w:textAlignment w:val="baseline"/>
        <w:rPr>
          <w:rFonts w:eastAsiaTheme="minorEastAsia"/>
          <w:i/>
          <w:lang w:eastAsia="en-GB"/>
        </w:rPr>
      </w:pPr>
      <w:r>
        <w:rPr>
          <w:rFonts w:eastAsiaTheme="minorEastAsia"/>
          <w:i/>
          <w:lang w:eastAsia="en-GB"/>
        </w:rPr>
        <w:t>… …</w:t>
      </w:r>
    </w:p>
    <w:p>
      <w:pPr>
        <w:overflowPunct w:val="0"/>
        <w:autoSpaceDE w:val="0"/>
        <w:autoSpaceDN w:val="0"/>
        <w:adjustRightInd w:val="0"/>
        <w:spacing w:after="180"/>
        <w:ind w:left="768" w:leftChars="242" w:hanging="284"/>
        <w:textAlignment w:val="baseline"/>
        <w:rPr>
          <w:rFonts w:eastAsiaTheme="minorEastAsia"/>
          <w:i/>
          <w:lang w:eastAsia="en-GB"/>
        </w:rPr>
      </w:pPr>
      <w:r>
        <w:rPr>
          <w:rFonts w:eastAsiaTheme="minorEastAsia"/>
          <w:i/>
          <w:lang w:eastAsia="en-GB"/>
        </w:rPr>
        <w:t>-</w:t>
      </w:r>
      <w:r>
        <w:rPr>
          <w:rFonts w:eastAsiaTheme="minorEastAsia"/>
          <w:i/>
          <w:lang w:eastAsia="en-GB"/>
        </w:rPr>
        <w:tab/>
      </w:r>
      <w:r>
        <w:rPr>
          <w:rFonts w:eastAsiaTheme="minorEastAsia"/>
          <w:i/>
          <w:lang w:eastAsia="en-GB"/>
        </w:rPr>
        <w:t xml:space="preserve">The PGW-C+SMF determines based its capabilities whether the request can be accepted. The PCF decides whether the multi-access connectivity is allowed or not based on operator policy and subscription data, as described in clause 4.22.2. </w:t>
      </w:r>
      <w:r>
        <w:rPr>
          <w:rFonts w:eastAsiaTheme="minorEastAsia"/>
          <w:i/>
          <w:highlight w:val="green"/>
          <w:lang w:eastAsia="en-GB"/>
        </w:rPr>
        <w:t xml:space="preserve">The PGW-C+SMF provides the following information </w:t>
      </w:r>
      <w:r>
        <w:rPr>
          <w:rFonts w:eastAsiaTheme="minorEastAsia"/>
          <w:b/>
          <w:i/>
          <w:highlight w:val="green"/>
          <w:lang w:eastAsia="en-GB"/>
        </w:rPr>
        <w:t xml:space="preserve">via the APCO </w:t>
      </w:r>
      <w:r>
        <w:rPr>
          <w:rFonts w:eastAsiaTheme="minorEastAsia"/>
          <w:i/>
          <w:highlight w:val="green"/>
          <w:lang w:eastAsia="en-GB"/>
        </w:rPr>
        <w:t>in the Create Session Response message to the ePDG</w:t>
      </w:r>
      <w:r>
        <w:rPr>
          <w:rFonts w:eastAsiaTheme="minorEastAsia"/>
          <w:i/>
          <w:lang w:eastAsia="en-GB"/>
        </w:rPr>
        <w:t>:</w:t>
      </w:r>
    </w:p>
    <w:p>
      <w:pPr>
        <w:overflowPunct w:val="0"/>
        <w:autoSpaceDE w:val="0"/>
        <w:autoSpaceDN w:val="0"/>
        <w:adjustRightInd w:val="0"/>
        <w:spacing w:after="180"/>
        <w:ind w:left="1050" w:leftChars="383" w:hanging="284"/>
        <w:textAlignment w:val="baseline"/>
        <w:rPr>
          <w:rFonts w:eastAsiaTheme="minorEastAsia"/>
          <w:i/>
          <w:lang w:eastAsia="en-GB"/>
        </w:rPr>
      </w:pPr>
      <w:r>
        <w:rPr>
          <w:rFonts w:eastAsiaTheme="minorEastAsia"/>
          <w:i/>
          <w:lang w:eastAsia="en-GB"/>
        </w:rPr>
        <w:t>… …</w:t>
      </w:r>
    </w:p>
    <w:p>
      <w:pPr>
        <w:overflowPunct w:val="0"/>
        <w:autoSpaceDE w:val="0"/>
        <w:autoSpaceDN w:val="0"/>
        <w:adjustRightInd w:val="0"/>
        <w:spacing w:after="180"/>
        <w:ind w:left="1050" w:leftChars="383" w:hanging="284"/>
        <w:textAlignment w:val="baseline"/>
        <w:rPr>
          <w:rFonts w:eastAsiaTheme="minorEastAsia"/>
          <w:i/>
          <w:highlight w:val="green"/>
          <w:lang w:eastAsia="en-GB"/>
        </w:rPr>
      </w:pPr>
      <w:r>
        <w:rPr>
          <w:rFonts w:eastAsiaTheme="minorEastAsia"/>
          <w:i/>
          <w:highlight w:val="green"/>
          <w:lang w:eastAsia="en-GB"/>
        </w:rPr>
        <w:t>-</w:t>
      </w:r>
      <w:r>
        <w:rPr>
          <w:rFonts w:eastAsiaTheme="minorEastAsia"/>
          <w:i/>
          <w:highlight w:val="green"/>
          <w:lang w:eastAsia="en-GB"/>
        </w:rPr>
        <w:tab/>
      </w:r>
      <w:r>
        <w:rPr>
          <w:rFonts w:eastAsiaTheme="minorEastAsia"/>
          <w:i/>
          <w:highlight w:val="green"/>
          <w:lang w:eastAsia="en-GB"/>
        </w:rPr>
        <w:t>ATSSS rules</w:t>
      </w:r>
    </w:p>
    <w:p>
      <w:pPr>
        <w:overflowPunct w:val="0"/>
        <w:autoSpaceDE w:val="0"/>
        <w:autoSpaceDN w:val="0"/>
        <w:adjustRightInd w:val="0"/>
        <w:spacing w:after="180"/>
        <w:ind w:left="768" w:leftChars="242" w:hanging="284"/>
        <w:textAlignment w:val="baseline"/>
        <w:rPr>
          <w:rFonts w:eastAsiaTheme="minorEastAsia"/>
          <w:lang w:eastAsia="en-GB"/>
        </w:rPr>
      </w:pPr>
      <w:r>
        <w:rPr>
          <w:rFonts w:eastAsiaTheme="minorEastAsia"/>
          <w:i/>
          <w:highlight w:val="green"/>
          <w:lang w:eastAsia="en-GB"/>
        </w:rPr>
        <w:t>-</w:t>
      </w:r>
      <w:r>
        <w:rPr>
          <w:rFonts w:eastAsiaTheme="minorEastAsia"/>
          <w:i/>
          <w:highlight w:val="green"/>
          <w:lang w:eastAsia="en-GB"/>
        </w:rPr>
        <w:tab/>
      </w:r>
      <w:r>
        <w:rPr>
          <w:rFonts w:eastAsiaTheme="minorEastAsia"/>
          <w:i/>
          <w:highlight w:val="green"/>
          <w:lang w:eastAsia="en-GB"/>
        </w:rPr>
        <w:t>The ePDG forwards the received above information to the UE via IKE signalling</w:t>
      </w:r>
      <w:r>
        <w:rPr>
          <w:rFonts w:eastAsiaTheme="minorEastAsia"/>
          <w:i/>
          <w:lang w:eastAsia="en-GB"/>
        </w:rPr>
        <w:t>.</w:t>
      </w:r>
    </w:p>
    <w:p>
      <w:pPr>
        <w:ind w:left="200" w:leftChars="100"/>
        <w:rPr>
          <w:lang w:eastAsia="zh-CN"/>
        </w:rPr>
      </w:pPr>
      <w:r>
        <w:rPr>
          <w:lang w:eastAsia="zh-CN"/>
        </w:rPr>
        <w:t>"</w:t>
      </w:r>
    </w:p>
    <w:p>
      <w:pPr>
        <w:ind w:left="200" w:leftChars="100"/>
        <w:rPr>
          <w:lang w:eastAsia="zh-CN"/>
        </w:rPr>
      </w:pPr>
    </w:p>
    <w:p>
      <w:pPr>
        <w:spacing w:after="120"/>
        <w:rPr>
          <w:lang w:eastAsia="zh-CN"/>
        </w:rPr>
      </w:pPr>
      <w:r>
        <w:rPr>
          <w:lang w:eastAsia="zh-CN"/>
        </w:rPr>
        <w:t>The encoding of APCO IE is the same format as the PCO IE specified in 3GPP TS 24.008 [16] subclause 10.5.6.3, starting with octet 3 according to the statement in TS 29.275.</w:t>
      </w:r>
    </w:p>
    <w:p>
      <w:pPr>
        <w:ind w:left="400" w:leftChars="200"/>
        <w:rPr>
          <w:lang w:eastAsia="zh-CN"/>
        </w:rPr>
      </w:pPr>
      <w:r>
        <w:rPr>
          <w:lang w:eastAsia="zh-CN"/>
        </w:rPr>
        <w:t>"</w:t>
      </w:r>
    </w:p>
    <w:p>
      <w:pPr>
        <w:keepNext/>
        <w:keepLines/>
        <w:spacing w:before="120" w:after="180"/>
        <w:ind w:left="1818" w:leftChars="200" w:hanging="1418"/>
        <w:outlineLvl w:val="3"/>
        <w:rPr>
          <w:rFonts w:ascii="Arial" w:hAnsi="Arial" w:eastAsia="宋体"/>
          <w:i/>
          <w:sz w:val="24"/>
          <w:lang w:val="en-US"/>
        </w:rPr>
      </w:pPr>
      <w:bookmarkStart w:id="8" w:name="_Toc517480344"/>
      <w:r>
        <w:rPr>
          <w:rFonts w:ascii="Arial" w:hAnsi="Arial" w:eastAsia="宋体"/>
          <w:i/>
          <w:sz w:val="24"/>
          <w:lang w:val="en-US"/>
        </w:rPr>
        <w:t>12.1.1.19</w:t>
      </w:r>
      <w:r>
        <w:rPr>
          <w:rFonts w:ascii="Arial" w:hAnsi="Arial" w:eastAsia="宋体"/>
          <w:i/>
          <w:sz w:val="24"/>
          <w:lang w:val="en-US"/>
        </w:rPr>
        <w:tab/>
      </w:r>
      <w:r>
        <w:rPr>
          <w:rFonts w:ascii="Arial" w:hAnsi="Arial" w:eastAsia="宋体"/>
          <w:i/>
          <w:sz w:val="24"/>
          <w:lang w:val="en-US"/>
        </w:rPr>
        <w:t>Additional Protocol Configuration Options</w:t>
      </w:r>
      <w:bookmarkEnd w:id="8"/>
    </w:p>
    <w:p>
      <w:pPr>
        <w:spacing w:after="180"/>
        <w:ind w:left="400" w:leftChars="200"/>
        <w:rPr>
          <w:rFonts w:eastAsia="宋体"/>
          <w:i/>
          <w:lang w:eastAsia="zh-CN"/>
        </w:rPr>
      </w:pPr>
      <w:r>
        <w:rPr>
          <w:rFonts w:eastAsia="宋体"/>
          <w:i/>
          <w:lang w:val="en-US"/>
        </w:rPr>
        <w:t>The Additional Protocol Configuration Options IE contains additional 3GPP protocol configuration options information.</w:t>
      </w:r>
      <w:r>
        <w:rPr>
          <w:rFonts w:eastAsia="宋体"/>
          <w:b/>
          <w:i/>
          <w:lang w:val="en-US"/>
        </w:rPr>
        <w:t xml:space="preserve"> </w:t>
      </w:r>
      <w:r>
        <w:rPr>
          <w:rFonts w:eastAsia="宋体"/>
          <w:b/>
          <w:i/>
          <w:highlight w:val="green"/>
          <w:lang w:val="en-US"/>
        </w:rPr>
        <w:t xml:space="preserve">The IE is </w:t>
      </w:r>
      <w:r>
        <w:rPr>
          <w:rFonts w:eastAsia="宋体"/>
          <w:b/>
          <w:i/>
          <w:highlight w:val="green"/>
        </w:rPr>
        <w:t>in the same format as the PCO IE specified in 3GPP TS 24.008 [16] subclause 10.5.6.</w:t>
      </w:r>
      <w:r>
        <w:rPr>
          <w:rFonts w:hint="eastAsia" w:eastAsia="宋体"/>
          <w:b/>
          <w:i/>
          <w:highlight w:val="green"/>
          <w:lang w:eastAsia="zh-CN"/>
        </w:rPr>
        <w:t>3</w:t>
      </w:r>
      <w:r>
        <w:rPr>
          <w:rFonts w:eastAsia="宋体"/>
          <w:b/>
          <w:i/>
          <w:highlight w:val="green"/>
          <w:lang w:eastAsia="zh-CN"/>
        </w:rPr>
        <w:t>, starting with octet 3</w:t>
      </w:r>
      <w:r>
        <w:rPr>
          <w:rFonts w:eastAsia="宋体"/>
          <w:i/>
          <w:highlight w:val="green"/>
          <w:lang w:eastAsia="zh-CN"/>
        </w:rPr>
        <w:t>.</w:t>
      </w:r>
    </w:p>
    <w:p>
      <w:pPr>
        <w:ind w:left="400" w:leftChars="200"/>
        <w:rPr>
          <w:lang w:eastAsia="zh-CN"/>
        </w:rPr>
      </w:pPr>
      <w:r>
        <w:rPr>
          <w:lang w:eastAsia="zh-CN"/>
        </w:rPr>
        <w:t>"</w:t>
      </w:r>
    </w:p>
    <w:p>
      <w:pPr>
        <w:spacing w:after="12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Observation</w:t>
      </w:r>
      <w:r>
        <w:rPr>
          <w:b/>
          <w:sz w:val="24"/>
          <w:lang w:val="en-US" w:eastAsia="zh-CN"/>
        </w:rPr>
        <w:t> 2</w:t>
      </w:r>
      <w:r>
        <w:rPr>
          <w:b/>
          <w:sz w:val="24"/>
          <w:lang w:eastAsia="zh-CN"/>
        </w:rPr>
        <w:t>: The format of APCO IE is not solely defined. The format of APCO IE is absolutely referenced to the format of PCO IE (starting with octet</w:t>
      </w:r>
      <w:r>
        <w:rPr>
          <w:b/>
          <w:sz w:val="24"/>
          <w:lang w:val="en-US" w:eastAsia="zh-CN"/>
        </w:rPr>
        <w:t> 3</w:t>
      </w:r>
      <w:r>
        <w:rPr>
          <w:b/>
          <w:sz w:val="24"/>
          <w:lang w:eastAsia="zh-CN"/>
        </w:rPr>
        <w:t>)</w:t>
      </w:r>
    </w:p>
    <w:p>
      <w:pPr>
        <w:spacing w:after="120"/>
        <w:rPr>
          <w:lang w:eastAsia="zh-CN"/>
        </w:rPr>
      </w:pPr>
      <w:r>
        <w:rPr>
          <w:lang w:eastAsia="zh-CN"/>
        </w:rPr>
        <w:t>In addition, since Rel-16 ATSSS, "</w:t>
      </w:r>
      <w:r>
        <w:t>ATSSS response with the length of two octets PCO parameter"</w:t>
      </w:r>
      <w:r>
        <w:rPr>
          <w:lang w:eastAsia="zh-CN"/>
        </w:rPr>
        <w:t xml:space="preserve"> is defined as PCO parameter to </w:t>
      </w:r>
      <w:r>
        <w:t>provide network parameters for MA PDU session management (see 6.1.6.3 of TS 24.193).</w:t>
      </w:r>
    </w:p>
    <w:p>
      <w:pPr>
        <w:spacing w:after="120"/>
        <w:rPr>
          <w:b/>
          <w:sz w:val="24"/>
          <w:lang w:eastAsia="zh-CN"/>
        </w:rPr>
      </w:pPr>
      <w:r>
        <w:rPr>
          <w:b/>
          <w:sz w:val="24"/>
          <w:lang w:eastAsia="zh-CN"/>
        </w:rPr>
        <w:t>Observation</w:t>
      </w:r>
      <w:r>
        <w:rPr>
          <w:b/>
          <w:sz w:val="24"/>
          <w:lang w:val="en-US" w:eastAsia="zh-CN"/>
        </w:rPr>
        <w:t> 3</w:t>
      </w:r>
      <w:r>
        <w:rPr>
          <w:b/>
          <w:sz w:val="24"/>
          <w:lang w:eastAsia="zh-CN"/>
        </w:rPr>
        <w:t>: In order to support including ATSSS rules in APCO IE, "ATSSS response with the length of two octets PCO parameter" should be extended to contain ATSSS rules.</w:t>
      </w:r>
    </w:p>
    <w:p>
      <w:pPr>
        <w:rPr>
          <w:rFonts w:ascii="Arial" w:hAnsi="Arial" w:cs="Arial"/>
          <w:b/>
          <w:bCs/>
          <w:lang w:eastAsia="zh-CN"/>
        </w:rPr>
      </w:pPr>
    </w:p>
    <w:p>
      <w:pPr>
        <w:pStyle w:val="2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>Problem</w:t>
      </w:r>
    </w:p>
    <w:p>
      <w:pPr>
        <w:spacing w:after="120"/>
        <w:rPr>
          <w:lang w:eastAsia="zh-CN"/>
        </w:rPr>
      </w:pPr>
      <w:r>
        <w:rPr>
          <w:lang w:eastAsia="zh-CN"/>
        </w:rPr>
        <w:t>Based on the observations above, this discrepancy on provisioning ATSSS rules via 3GPP access and untrusted non-3GPP access in EPC can create conflicts when using PCO:</w:t>
      </w:r>
    </w:p>
    <w:p>
      <w:pPr>
        <w:spacing w:after="120"/>
        <w:ind w:left="200" w:leftChars="100"/>
        <w:rPr>
          <w:lang w:eastAsia="zh-CN"/>
        </w:rPr>
      </w:pPr>
      <w:r>
        <w:rPr>
          <w:lang w:eastAsia="zh-CN"/>
        </w:rPr>
        <w:t>Extending "ATSSS response with the length of two octets PCO parameter" to include ATSSS rules means the ATSSS rules can be transported by PCO.</w:t>
      </w:r>
    </w:p>
    <w:p>
      <w:pPr>
        <w:spacing w:after="120"/>
        <w:ind w:left="200" w:leftChars="100"/>
        <w:rPr>
          <w:lang w:eastAsia="zh-CN"/>
        </w:rPr>
      </w:pPr>
      <w:r>
        <w:rPr>
          <w:b/>
          <w:lang w:eastAsia="zh-CN"/>
        </w:rPr>
        <w:t>However</w:t>
      </w:r>
      <w:r>
        <w:rPr>
          <w:lang w:eastAsia="zh-CN"/>
        </w:rPr>
        <w:t>, the ATSSS rules should not be transported by PCO since ATSSS rules are not supported to be provided to the UE via 3GPP access in EPC.</w:t>
      </w:r>
    </w:p>
    <w:p>
      <w:pPr>
        <w:spacing w:after="120"/>
        <w:ind w:left="200" w:leftChars="100"/>
        <w:rPr>
          <w:lang w:eastAsia="zh-CN"/>
        </w:rPr>
      </w:pPr>
    </w:p>
    <w:p>
      <w:pPr>
        <w:pStyle w:val="2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>Proposals</w:t>
      </w:r>
    </w:p>
    <w:p>
      <w:pPr>
        <w:spacing w:after="120"/>
        <w:rPr>
          <w:lang w:eastAsia="zh-CN"/>
        </w:rPr>
      </w:pPr>
      <w:r>
        <w:rPr>
          <w:lang w:eastAsia="zh-CN"/>
        </w:rPr>
        <w:t>Two proposals which are two options in opposite direction are expected for CT1 discussion and decision to address this discrepancy problem above.</w:t>
      </w:r>
    </w:p>
    <w:p>
      <w:pPr>
        <w:spacing w:after="120"/>
        <w:rPr>
          <w:lang w:eastAsia="zh-CN"/>
        </w:rPr>
      </w:pPr>
      <w:r>
        <w:rPr>
          <w:b/>
          <w:lang w:eastAsia="zh-CN"/>
        </w:rPr>
        <w:t>Proposal</w:t>
      </w:r>
      <w:r>
        <w:rPr>
          <w:b/>
          <w:lang w:val="en-US" w:eastAsia="zh-CN"/>
        </w:rPr>
        <w:t> </w:t>
      </w:r>
      <w:r>
        <w:rPr>
          <w:b/>
          <w:lang w:eastAsia="zh-CN"/>
        </w:rPr>
        <w:t>1</w:t>
      </w:r>
      <w:r>
        <w:rPr>
          <w:lang w:eastAsia="zh-CN"/>
        </w:rPr>
        <w:t xml:space="preserve">: </w:t>
      </w:r>
    </w:p>
    <w:p>
      <w:pPr>
        <w:spacing w:after="120"/>
        <w:rPr>
          <w:lang w:eastAsia="zh-CN"/>
        </w:rPr>
      </w:pPr>
      <w:r>
        <w:rPr>
          <w:lang w:eastAsia="zh-CN"/>
        </w:rPr>
        <w:t>Remove support of provisioning ATSSS rules to the UE via untrusted non-3GPP access in EPC.</w:t>
      </w:r>
    </w:p>
    <w:p>
      <w:pPr>
        <w:spacing w:after="120"/>
        <w:rPr>
          <w:lang w:eastAsia="zh-CN"/>
        </w:rPr>
      </w:pPr>
      <w:r>
        <w:rPr>
          <w:lang w:eastAsia="zh-CN"/>
        </w:rPr>
        <w:t xml:space="preserve">Please refer to the related </w:t>
      </w:r>
      <w:r>
        <w:rPr>
          <w:b/>
          <w:lang w:eastAsia="zh-CN"/>
        </w:rPr>
        <w:t>CR C1-24</w:t>
      </w:r>
      <w:r>
        <w:rPr>
          <w:rFonts w:hint="eastAsia"/>
          <w:b/>
          <w:lang w:val="en-US" w:eastAsia="zh-CN"/>
        </w:rPr>
        <w:t>0690</w:t>
      </w:r>
      <w:r>
        <w:rPr>
          <w:b/>
          <w:lang w:eastAsia="zh-CN"/>
        </w:rPr>
        <w:t xml:space="preserve"> for 24.193</w:t>
      </w:r>
      <w:r>
        <w:rPr>
          <w:lang w:eastAsia="zh-CN"/>
        </w:rPr>
        <w:t>.</w:t>
      </w:r>
    </w:p>
    <w:p>
      <w:pPr>
        <w:spacing w:after="120"/>
        <w:rPr>
          <w:lang w:eastAsia="zh-CN"/>
        </w:rPr>
      </w:pPr>
      <w:r>
        <w:rPr>
          <w:b/>
          <w:lang w:eastAsia="zh-CN"/>
        </w:rPr>
        <w:t>Proposal</w:t>
      </w:r>
      <w:r>
        <w:rPr>
          <w:b/>
          <w:lang w:val="en-US" w:eastAsia="zh-CN"/>
        </w:rPr>
        <w:t> </w:t>
      </w:r>
      <w:r>
        <w:rPr>
          <w:b/>
          <w:lang w:eastAsia="zh-CN"/>
        </w:rPr>
        <w:t>2</w:t>
      </w:r>
      <w:r>
        <w:rPr>
          <w:lang w:eastAsia="zh-CN"/>
        </w:rPr>
        <w:t>:</w:t>
      </w:r>
    </w:p>
    <w:p>
      <w:pPr>
        <w:spacing w:after="120"/>
        <w:rPr>
          <w:lang w:eastAsia="zh-CN"/>
        </w:rPr>
      </w:pPr>
      <w:r>
        <w:rPr>
          <w:lang w:eastAsia="zh-CN"/>
        </w:rPr>
        <w:t>Add support of provisioning ATSSS rules to the UE via 3GPP access in EPC.</w:t>
      </w:r>
    </w:p>
    <w:p>
      <w:pPr>
        <w:spacing w:after="120"/>
        <w:rPr>
          <w:rFonts w:hint="eastAsia"/>
          <w:lang w:eastAsia="zh-CN"/>
        </w:rPr>
      </w:pPr>
      <w:r>
        <w:rPr>
          <w:lang w:eastAsia="zh-CN"/>
        </w:rPr>
        <w:t xml:space="preserve">Please refer to the related </w:t>
      </w:r>
      <w:r>
        <w:rPr>
          <w:b/>
          <w:bCs/>
          <w:lang w:eastAsia="zh-CN"/>
        </w:rPr>
        <w:t>CR C1-24</w:t>
      </w:r>
      <w:r>
        <w:rPr>
          <w:rFonts w:hint="eastAsia"/>
          <w:b/>
          <w:bCs/>
          <w:lang w:val="en-US" w:eastAsia="zh-CN"/>
        </w:rPr>
        <w:t>0691</w:t>
      </w:r>
      <w:r>
        <w:rPr>
          <w:b/>
          <w:bCs/>
          <w:lang w:eastAsia="zh-CN"/>
        </w:rPr>
        <w:t xml:space="preserve"> for 24.193</w:t>
      </w:r>
      <w:r>
        <w:rPr>
          <w:lang w:eastAsia="zh-CN"/>
        </w:rPr>
        <w:t>.</w:t>
      </w:r>
    </w:p>
    <w:p>
      <w:pPr>
        <w:spacing w:after="120"/>
        <w:rPr>
          <w:rFonts w:hint="eastAsia"/>
          <w:lang w:eastAsia="zh-CN"/>
        </w:rPr>
      </w:pPr>
      <w:r>
        <w:rPr>
          <w:lang w:eastAsia="zh-CN"/>
        </w:rPr>
        <w:t>ZTE prefers proposal</w:t>
      </w:r>
      <w:r>
        <w:rPr>
          <w:lang w:val="en-US" w:eastAsia="zh-CN"/>
        </w:rPr>
        <w:t> </w:t>
      </w:r>
      <w:r>
        <w:rPr>
          <w:lang w:eastAsia="zh-CN"/>
        </w:rPr>
        <w:t>1 but can live with proposal</w:t>
      </w:r>
      <w:r>
        <w:rPr>
          <w:lang w:val="en-US" w:eastAsia="zh-CN"/>
        </w:rPr>
        <w:t> </w:t>
      </w:r>
      <w:r>
        <w:rPr>
          <w:lang w:eastAsia="zh-CN"/>
        </w:rPr>
        <w:t>2.</w:t>
      </w:r>
    </w:p>
    <w:p>
      <w:pPr>
        <w:spacing w:after="120"/>
        <w:rPr>
          <w:rFonts w:hint="eastAsia"/>
          <w:lang w:eastAsia="zh-CN"/>
        </w:rPr>
      </w:pPr>
      <w:r>
        <w:rPr>
          <w:b/>
          <w:lang w:eastAsia="zh-CN"/>
        </w:rPr>
        <w:t>Proposal</w:t>
      </w:r>
      <w:r>
        <w:rPr>
          <w:b/>
          <w:lang w:val="en-US" w:eastAsia="zh-CN"/>
        </w:rPr>
        <w:t> </w:t>
      </w:r>
      <w:r>
        <w:rPr>
          <w:b/>
          <w:lang w:eastAsia="zh-CN"/>
        </w:rPr>
        <w:t>3</w:t>
      </w:r>
      <w:r>
        <w:rPr>
          <w:lang w:eastAsia="zh-CN"/>
        </w:rPr>
        <w:t>: If there is no consensus on proposal 1 or proposal 2, an LS is proposed to ask SA2 why such discrepancy exits.</w:t>
      </w:r>
    </w:p>
    <w:p>
      <w:pPr>
        <w:spacing w:after="120"/>
        <w:rPr>
          <w:lang w:eastAsia="zh-CN"/>
        </w:rPr>
      </w:pPr>
    </w:p>
    <w:p>
      <w:pPr>
        <w:spacing w:after="120"/>
        <w:rPr>
          <w:lang w:eastAsia="zh-CN"/>
        </w:rPr>
      </w:pPr>
      <w:bookmarkStart w:id="9" w:name="_GoBack"/>
      <w:r>
        <w:rPr>
          <w:b/>
          <w:bCs/>
          <w:lang w:eastAsia="zh-CN"/>
        </w:rPr>
        <w:t>LS C1-24</w:t>
      </w:r>
      <w:r>
        <w:rPr>
          <w:rFonts w:hint="eastAsia"/>
          <w:b/>
          <w:bCs/>
          <w:lang w:val="en-US" w:eastAsia="zh-CN"/>
        </w:rPr>
        <w:t>0693</w:t>
      </w:r>
      <w:bookmarkEnd w:id="9"/>
      <w:r>
        <w:rPr>
          <w:lang w:eastAsia="zh-CN"/>
        </w:rPr>
        <w:t xml:space="preserve"> to SA2 is drafted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for discussion based on the three proposals</w:t>
      </w:r>
      <w:r>
        <w:rPr>
          <w:rFonts w:hint="eastAsia"/>
          <w:lang w:val="en-US" w:eastAsia="zh-CN"/>
        </w:rPr>
        <w:t xml:space="preserve"> above</w:t>
      </w:r>
      <w:r>
        <w:rPr>
          <w:lang w:eastAsia="zh-CN"/>
        </w:rPr>
        <w:t>.</w:t>
      </w:r>
    </w:p>
    <w:sectPr>
      <w:pgSz w:w="11907" w:h="16840"/>
      <w:pgMar w:top="1134" w:right="1021" w:bottom="1287" w:left="1021" w:header="720" w:footer="578" w:gutter="0"/>
      <w:cols w:space="720" w:num="1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05CF"/>
    <w:rsid w:val="0001570A"/>
    <w:rsid w:val="0002191A"/>
    <w:rsid w:val="000252C7"/>
    <w:rsid w:val="0002680D"/>
    <w:rsid w:val="00030CD4"/>
    <w:rsid w:val="0003759D"/>
    <w:rsid w:val="00046686"/>
    <w:rsid w:val="00046FDD"/>
    <w:rsid w:val="00050925"/>
    <w:rsid w:val="000528AC"/>
    <w:rsid w:val="00054884"/>
    <w:rsid w:val="00057E1E"/>
    <w:rsid w:val="00060AE9"/>
    <w:rsid w:val="00063A63"/>
    <w:rsid w:val="00063CFE"/>
    <w:rsid w:val="000717BA"/>
    <w:rsid w:val="00072A7C"/>
    <w:rsid w:val="000768FE"/>
    <w:rsid w:val="00076F5B"/>
    <w:rsid w:val="000775E7"/>
    <w:rsid w:val="0007775C"/>
    <w:rsid w:val="000815DF"/>
    <w:rsid w:val="000825DB"/>
    <w:rsid w:val="00086419"/>
    <w:rsid w:val="00090E1C"/>
    <w:rsid w:val="00092A0E"/>
    <w:rsid w:val="00094F23"/>
    <w:rsid w:val="00096799"/>
    <w:rsid w:val="000967F4"/>
    <w:rsid w:val="000B0C67"/>
    <w:rsid w:val="000B22E5"/>
    <w:rsid w:val="000B3C7B"/>
    <w:rsid w:val="000B404E"/>
    <w:rsid w:val="000B42CA"/>
    <w:rsid w:val="000B5510"/>
    <w:rsid w:val="000B62FE"/>
    <w:rsid w:val="000B70E6"/>
    <w:rsid w:val="000C109D"/>
    <w:rsid w:val="000D58DF"/>
    <w:rsid w:val="000D6D78"/>
    <w:rsid w:val="000E0429"/>
    <w:rsid w:val="000F5BE4"/>
    <w:rsid w:val="000F601F"/>
    <w:rsid w:val="000F6C9E"/>
    <w:rsid w:val="000F6E51"/>
    <w:rsid w:val="00102A24"/>
    <w:rsid w:val="00103FFE"/>
    <w:rsid w:val="001042B5"/>
    <w:rsid w:val="00110AB6"/>
    <w:rsid w:val="00110DA8"/>
    <w:rsid w:val="0011580D"/>
    <w:rsid w:val="001273AB"/>
    <w:rsid w:val="00130B7E"/>
    <w:rsid w:val="0013259C"/>
    <w:rsid w:val="001352D3"/>
    <w:rsid w:val="00135831"/>
    <w:rsid w:val="001376A6"/>
    <w:rsid w:val="001424CD"/>
    <w:rsid w:val="0014413C"/>
    <w:rsid w:val="00145E94"/>
    <w:rsid w:val="00153305"/>
    <w:rsid w:val="0015640E"/>
    <w:rsid w:val="00163D28"/>
    <w:rsid w:val="00166A1B"/>
    <w:rsid w:val="001762C9"/>
    <w:rsid w:val="00181F38"/>
    <w:rsid w:val="00182D51"/>
    <w:rsid w:val="001844A9"/>
    <w:rsid w:val="00192B41"/>
    <w:rsid w:val="0019580D"/>
    <w:rsid w:val="00197E4A"/>
    <w:rsid w:val="001A31EF"/>
    <w:rsid w:val="001B01F1"/>
    <w:rsid w:val="001B2414"/>
    <w:rsid w:val="001B5421"/>
    <w:rsid w:val="001B650D"/>
    <w:rsid w:val="001D0B09"/>
    <w:rsid w:val="001D17D9"/>
    <w:rsid w:val="001E6729"/>
    <w:rsid w:val="002070CB"/>
    <w:rsid w:val="002228DD"/>
    <w:rsid w:val="0023221F"/>
    <w:rsid w:val="002336BF"/>
    <w:rsid w:val="00234745"/>
    <w:rsid w:val="00235F96"/>
    <w:rsid w:val="00235F9B"/>
    <w:rsid w:val="00236BBA"/>
    <w:rsid w:val="00236D1F"/>
    <w:rsid w:val="00237039"/>
    <w:rsid w:val="002407FF"/>
    <w:rsid w:val="002410E5"/>
    <w:rsid w:val="00250F58"/>
    <w:rsid w:val="002531A9"/>
    <w:rsid w:val="00253E5D"/>
    <w:rsid w:val="002541D3"/>
    <w:rsid w:val="00256429"/>
    <w:rsid w:val="0026253E"/>
    <w:rsid w:val="00272D61"/>
    <w:rsid w:val="00274CDE"/>
    <w:rsid w:val="002752AA"/>
    <w:rsid w:val="00285BEE"/>
    <w:rsid w:val="002917E6"/>
    <w:rsid w:val="002919B7"/>
    <w:rsid w:val="00295D61"/>
    <w:rsid w:val="002A0C30"/>
    <w:rsid w:val="002A2EE2"/>
    <w:rsid w:val="002A4990"/>
    <w:rsid w:val="002B074C"/>
    <w:rsid w:val="002B2DED"/>
    <w:rsid w:val="002B2FE7"/>
    <w:rsid w:val="002B34EA"/>
    <w:rsid w:val="002B39CA"/>
    <w:rsid w:val="002B5361"/>
    <w:rsid w:val="002C1BA4"/>
    <w:rsid w:val="002C47B8"/>
    <w:rsid w:val="002D2F6D"/>
    <w:rsid w:val="002E397B"/>
    <w:rsid w:val="002E3AE2"/>
    <w:rsid w:val="002F006E"/>
    <w:rsid w:val="002F1DDB"/>
    <w:rsid w:val="002F2E79"/>
    <w:rsid w:val="002F4B10"/>
    <w:rsid w:val="002F5847"/>
    <w:rsid w:val="002F7CCB"/>
    <w:rsid w:val="00302F9F"/>
    <w:rsid w:val="00303C7D"/>
    <w:rsid w:val="00303EF6"/>
    <w:rsid w:val="00310E70"/>
    <w:rsid w:val="00312B90"/>
    <w:rsid w:val="00313F3E"/>
    <w:rsid w:val="00314C4C"/>
    <w:rsid w:val="00316F4D"/>
    <w:rsid w:val="00320536"/>
    <w:rsid w:val="0032086E"/>
    <w:rsid w:val="00323F2C"/>
    <w:rsid w:val="00325E33"/>
    <w:rsid w:val="00326C81"/>
    <w:rsid w:val="003275E6"/>
    <w:rsid w:val="00330FB3"/>
    <w:rsid w:val="00341814"/>
    <w:rsid w:val="003469F7"/>
    <w:rsid w:val="00354553"/>
    <w:rsid w:val="003603B5"/>
    <w:rsid w:val="0036426D"/>
    <w:rsid w:val="00364C74"/>
    <w:rsid w:val="00370D78"/>
    <w:rsid w:val="00372C4D"/>
    <w:rsid w:val="00382635"/>
    <w:rsid w:val="003925C9"/>
    <w:rsid w:val="00392C87"/>
    <w:rsid w:val="00396197"/>
    <w:rsid w:val="003A5FFA"/>
    <w:rsid w:val="003A67E1"/>
    <w:rsid w:val="003B2A9D"/>
    <w:rsid w:val="003B42ED"/>
    <w:rsid w:val="003C53AB"/>
    <w:rsid w:val="003D1D6F"/>
    <w:rsid w:val="003D4593"/>
    <w:rsid w:val="003D67F8"/>
    <w:rsid w:val="003E2C8B"/>
    <w:rsid w:val="003E562A"/>
    <w:rsid w:val="003E710B"/>
    <w:rsid w:val="003F1C0E"/>
    <w:rsid w:val="003F6B77"/>
    <w:rsid w:val="004008D7"/>
    <w:rsid w:val="0040145D"/>
    <w:rsid w:val="00411339"/>
    <w:rsid w:val="00412708"/>
    <w:rsid w:val="004131BD"/>
    <w:rsid w:val="00416CEA"/>
    <w:rsid w:val="00421AFD"/>
    <w:rsid w:val="00432048"/>
    <w:rsid w:val="00433EC9"/>
    <w:rsid w:val="00442663"/>
    <w:rsid w:val="00445503"/>
    <w:rsid w:val="00450C0F"/>
    <w:rsid w:val="004518DB"/>
    <w:rsid w:val="00453579"/>
    <w:rsid w:val="00466A26"/>
    <w:rsid w:val="004726C5"/>
    <w:rsid w:val="00477EBC"/>
    <w:rsid w:val="004820AE"/>
    <w:rsid w:val="00496AEF"/>
    <w:rsid w:val="004A0A73"/>
    <w:rsid w:val="004A661C"/>
    <w:rsid w:val="004A677C"/>
    <w:rsid w:val="004B0EF0"/>
    <w:rsid w:val="004B6ABE"/>
    <w:rsid w:val="004C1597"/>
    <w:rsid w:val="004C481F"/>
    <w:rsid w:val="004C4C9B"/>
    <w:rsid w:val="004D11BD"/>
    <w:rsid w:val="004D2FA0"/>
    <w:rsid w:val="004D6D84"/>
    <w:rsid w:val="004D7F2F"/>
    <w:rsid w:val="004E0A34"/>
    <w:rsid w:val="004E1010"/>
    <w:rsid w:val="005019E9"/>
    <w:rsid w:val="0050202A"/>
    <w:rsid w:val="005034DB"/>
    <w:rsid w:val="005118F7"/>
    <w:rsid w:val="005159F4"/>
    <w:rsid w:val="00515AFC"/>
    <w:rsid w:val="0052032E"/>
    <w:rsid w:val="005220FF"/>
    <w:rsid w:val="005327DA"/>
    <w:rsid w:val="00537D29"/>
    <w:rsid w:val="00542C19"/>
    <w:rsid w:val="00544D8F"/>
    <w:rsid w:val="00545926"/>
    <w:rsid w:val="00552319"/>
    <w:rsid w:val="00553BDE"/>
    <w:rsid w:val="00562495"/>
    <w:rsid w:val="00572D5F"/>
    <w:rsid w:val="00577727"/>
    <w:rsid w:val="005777AF"/>
    <w:rsid w:val="005847FA"/>
    <w:rsid w:val="00586562"/>
    <w:rsid w:val="00593276"/>
    <w:rsid w:val="00593DC4"/>
    <w:rsid w:val="0059529B"/>
    <w:rsid w:val="005954A5"/>
    <w:rsid w:val="005A3249"/>
    <w:rsid w:val="005A6ABC"/>
    <w:rsid w:val="005B1577"/>
    <w:rsid w:val="005C0CC6"/>
    <w:rsid w:val="005C0FFC"/>
    <w:rsid w:val="005C3BF7"/>
    <w:rsid w:val="005C3F71"/>
    <w:rsid w:val="005C7352"/>
    <w:rsid w:val="005D1F7E"/>
    <w:rsid w:val="005D2738"/>
    <w:rsid w:val="005D3EE7"/>
    <w:rsid w:val="005D4A24"/>
    <w:rsid w:val="005D7C73"/>
    <w:rsid w:val="005E12F4"/>
    <w:rsid w:val="005E1C93"/>
    <w:rsid w:val="005E27D8"/>
    <w:rsid w:val="005E7235"/>
    <w:rsid w:val="005F041C"/>
    <w:rsid w:val="005F4B34"/>
    <w:rsid w:val="005F4FD7"/>
    <w:rsid w:val="006127E6"/>
    <w:rsid w:val="0061340C"/>
    <w:rsid w:val="00613AA1"/>
    <w:rsid w:val="00616E18"/>
    <w:rsid w:val="0062326E"/>
    <w:rsid w:val="00623AED"/>
    <w:rsid w:val="00623BDB"/>
    <w:rsid w:val="0062443C"/>
    <w:rsid w:val="0062500D"/>
    <w:rsid w:val="00627437"/>
    <w:rsid w:val="00632157"/>
    <w:rsid w:val="00633971"/>
    <w:rsid w:val="00635C49"/>
    <w:rsid w:val="0064121E"/>
    <w:rsid w:val="0064424B"/>
    <w:rsid w:val="00644C1A"/>
    <w:rsid w:val="006465DF"/>
    <w:rsid w:val="006520C7"/>
    <w:rsid w:val="006535F9"/>
    <w:rsid w:val="00660354"/>
    <w:rsid w:val="006608E3"/>
    <w:rsid w:val="00665B9B"/>
    <w:rsid w:val="0067542E"/>
    <w:rsid w:val="00675557"/>
    <w:rsid w:val="00694945"/>
    <w:rsid w:val="006A72EA"/>
    <w:rsid w:val="006A77AF"/>
    <w:rsid w:val="006A7D5A"/>
    <w:rsid w:val="006B0E2A"/>
    <w:rsid w:val="006B3B94"/>
    <w:rsid w:val="006B6B17"/>
    <w:rsid w:val="006D3D54"/>
    <w:rsid w:val="006D7F12"/>
    <w:rsid w:val="006E1A49"/>
    <w:rsid w:val="006E35EA"/>
    <w:rsid w:val="006F1B00"/>
    <w:rsid w:val="006F4B7A"/>
    <w:rsid w:val="006F4E90"/>
    <w:rsid w:val="006F7727"/>
    <w:rsid w:val="00700276"/>
    <w:rsid w:val="00700A59"/>
    <w:rsid w:val="00701CE9"/>
    <w:rsid w:val="00705D55"/>
    <w:rsid w:val="007077B5"/>
    <w:rsid w:val="00710142"/>
    <w:rsid w:val="007113F8"/>
    <w:rsid w:val="007116A7"/>
    <w:rsid w:val="00712E81"/>
    <w:rsid w:val="00723919"/>
    <w:rsid w:val="00723E26"/>
    <w:rsid w:val="007261D3"/>
    <w:rsid w:val="0074596C"/>
    <w:rsid w:val="00752509"/>
    <w:rsid w:val="00761E5A"/>
    <w:rsid w:val="00762474"/>
    <w:rsid w:val="00762F4C"/>
    <w:rsid w:val="00764CC0"/>
    <w:rsid w:val="00780A89"/>
    <w:rsid w:val="00780B22"/>
    <w:rsid w:val="007814A8"/>
    <w:rsid w:val="00781A62"/>
    <w:rsid w:val="007828A1"/>
    <w:rsid w:val="0078352E"/>
    <w:rsid w:val="00783C0E"/>
    <w:rsid w:val="00787383"/>
    <w:rsid w:val="00790792"/>
    <w:rsid w:val="007909CF"/>
    <w:rsid w:val="00791B51"/>
    <w:rsid w:val="00795AD1"/>
    <w:rsid w:val="007A498F"/>
    <w:rsid w:val="007B5456"/>
    <w:rsid w:val="007B5F65"/>
    <w:rsid w:val="007D03B9"/>
    <w:rsid w:val="007D3C7C"/>
    <w:rsid w:val="007D6ED9"/>
    <w:rsid w:val="007E0550"/>
    <w:rsid w:val="007F0D8F"/>
    <w:rsid w:val="007F4420"/>
    <w:rsid w:val="007F6574"/>
    <w:rsid w:val="00805563"/>
    <w:rsid w:val="00816C3B"/>
    <w:rsid w:val="00825095"/>
    <w:rsid w:val="008264E9"/>
    <w:rsid w:val="00830D44"/>
    <w:rsid w:val="008420DA"/>
    <w:rsid w:val="00844C63"/>
    <w:rsid w:val="00850CD4"/>
    <w:rsid w:val="00854A49"/>
    <w:rsid w:val="00855EED"/>
    <w:rsid w:val="008607B3"/>
    <w:rsid w:val="00863BF1"/>
    <w:rsid w:val="00871C29"/>
    <w:rsid w:val="00875255"/>
    <w:rsid w:val="0087656B"/>
    <w:rsid w:val="00880034"/>
    <w:rsid w:val="00881EF3"/>
    <w:rsid w:val="0088460F"/>
    <w:rsid w:val="00887536"/>
    <w:rsid w:val="00887EC5"/>
    <w:rsid w:val="00890BF0"/>
    <w:rsid w:val="00891901"/>
    <w:rsid w:val="008A06BE"/>
    <w:rsid w:val="008A1BDB"/>
    <w:rsid w:val="008A56FD"/>
    <w:rsid w:val="008B0277"/>
    <w:rsid w:val="008B362A"/>
    <w:rsid w:val="008B69FE"/>
    <w:rsid w:val="008D3DA6"/>
    <w:rsid w:val="008E1F92"/>
    <w:rsid w:val="008E3171"/>
    <w:rsid w:val="008E318F"/>
    <w:rsid w:val="008F7444"/>
    <w:rsid w:val="00902540"/>
    <w:rsid w:val="00905B99"/>
    <w:rsid w:val="0091399A"/>
    <w:rsid w:val="00916F40"/>
    <w:rsid w:val="00923E3A"/>
    <w:rsid w:val="00924935"/>
    <w:rsid w:val="00926791"/>
    <w:rsid w:val="00926DB6"/>
    <w:rsid w:val="00932EB4"/>
    <w:rsid w:val="009334C3"/>
    <w:rsid w:val="0093661C"/>
    <w:rsid w:val="00940736"/>
    <w:rsid w:val="00946E34"/>
    <w:rsid w:val="00950CF7"/>
    <w:rsid w:val="00953304"/>
    <w:rsid w:val="009541C8"/>
    <w:rsid w:val="00954B83"/>
    <w:rsid w:val="00956169"/>
    <w:rsid w:val="0095676C"/>
    <w:rsid w:val="009608F5"/>
    <w:rsid w:val="00960A44"/>
    <w:rsid w:val="009760E6"/>
    <w:rsid w:val="009767F8"/>
    <w:rsid w:val="009768C3"/>
    <w:rsid w:val="00977C43"/>
    <w:rsid w:val="00990E44"/>
    <w:rsid w:val="00990EEE"/>
    <w:rsid w:val="00996533"/>
    <w:rsid w:val="009A3833"/>
    <w:rsid w:val="009A5F57"/>
    <w:rsid w:val="009A62E2"/>
    <w:rsid w:val="009A650A"/>
    <w:rsid w:val="009B110B"/>
    <w:rsid w:val="009B13F0"/>
    <w:rsid w:val="009B196A"/>
    <w:rsid w:val="009B370F"/>
    <w:rsid w:val="009B5745"/>
    <w:rsid w:val="009B5D1C"/>
    <w:rsid w:val="009B6249"/>
    <w:rsid w:val="009B6738"/>
    <w:rsid w:val="009D6D9F"/>
    <w:rsid w:val="009E1910"/>
    <w:rsid w:val="009E354B"/>
    <w:rsid w:val="009E4B21"/>
    <w:rsid w:val="009E5DBA"/>
    <w:rsid w:val="009F0064"/>
    <w:rsid w:val="009F54B1"/>
    <w:rsid w:val="009F581A"/>
    <w:rsid w:val="009F6047"/>
    <w:rsid w:val="00A03D2A"/>
    <w:rsid w:val="00A10ADB"/>
    <w:rsid w:val="00A10CE0"/>
    <w:rsid w:val="00A12C91"/>
    <w:rsid w:val="00A144AB"/>
    <w:rsid w:val="00A14FB4"/>
    <w:rsid w:val="00A151A1"/>
    <w:rsid w:val="00A15F9C"/>
    <w:rsid w:val="00A17F01"/>
    <w:rsid w:val="00A21E8C"/>
    <w:rsid w:val="00A24557"/>
    <w:rsid w:val="00A248B2"/>
    <w:rsid w:val="00A27A64"/>
    <w:rsid w:val="00A33E92"/>
    <w:rsid w:val="00A354D0"/>
    <w:rsid w:val="00A37F26"/>
    <w:rsid w:val="00A37F80"/>
    <w:rsid w:val="00A44744"/>
    <w:rsid w:val="00A45E52"/>
    <w:rsid w:val="00A46B3F"/>
    <w:rsid w:val="00A46F30"/>
    <w:rsid w:val="00A573C2"/>
    <w:rsid w:val="00A60B3C"/>
    <w:rsid w:val="00A61169"/>
    <w:rsid w:val="00A63024"/>
    <w:rsid w:val="00A63749"/>
    <w:rsid w:val="00A63C4A"/>
    <w:rsid w:val="00A66AB0"/>
    <w:rsid w:val="00A6744E"/>
    <w:rsid w:val="00A82427"/>
    <w:rsid w:val="00A82FCC"/>
    <w:rsid w:val="00A906A4"/>
    <w:rsid w:val="00A928A5"/>
    <w:rsid w:val="00A92DB4"/>
    <w:rsid w:val="00AA574E"/>
    <w:rsid w:val="00AA6E50"/>
    <w:rsid w:val="00AB29DF"/>
    <w:rsid w:val="00AB6BA1"/>
    <w:rsid w:val="00AC02C2"/>
    <w:rsid w:val="00AD324E"/>
    <w:rsid w:val="00AD5B51"/>
    <w:rsid w:val="00AD7B78"/>
    <w:rsid w:val="00AE1521"/>
    <w:rsid w:val="00AE1FE0"/>
    <w:rsid w:val="00AE2A14"/>
    <w:rsid w:val="00AE72D9"/>
    <w:rsid w:val="00AF097C"/>
    <w:rsid w:val="00AF28B6"/>
    <w:rsid w:val="00AF4118"/>
    <w:rsid w:val="00B01EE8"/>
    <w:rsid w:val="00B02149"/>
    <w:rsid w:val="00B147A9"/>
    <w:rsid w:val="00B2209F"/>
    <w:rsid w:val="00B223E3"/>
    <w:rsid w:val="00B3526C"/>
    <w:rsid w:val="00B3594F"/>
    <w:rsid w:val="00B37BF8"/>
    <w:rsid w:val="00B47534"/>
    <w:rsid w:val="00B53C95"/>
    <w:rsid w:val="00B64BE4"/>
    <w:rsid w:val="00B6528B"/>
    <w:rsid w:val="00B66F9F"/>
    <w:rsid w:val="00B73196"/>
    <w:rsid w:val="00B74630"/>
    <w:rsid w:val="00B75D28"/>
    <w:rsid w:val="00B84B54"/>
    <w:rsid w:val="00B92C7D"/>
    <w:rsid w:val="00B93BB2"/>
    <w:rsid w:val="00B9697B"/>
    <w:rsid w:val="00B96DAB"/>
    <w:rsid w:val="00BA1CCD"/>
    <w:rsid w:val="00BA46C7"/>
    <w:rsid w:val="00BA4DA4"/>
    <w:rsid w:val="00BB1571"/>
    <w:rsid w:val="00BB5EE3"/>
    <w:rsid w:val="00BB7B45"/>
    <w:rsid w:val="00BC2E5F"/>
    <w:rsid w:val="00BC481E"/>
    <w:rsid w:val="00BC5493"/>
    <w:rsid w:val="00BC5AF6"/>
    <w:rsid w:val="00BD3E51"/>
    <w:rsid w:val="00BE03D5"/>
    <w:rsid w:val="00BE2FAC"/>
    <w:rsid w:val="00BF0A84"/>
    <w:rsid w:val="00BF34E3"/>
    <w:rsid w:val="00C020B5"/>
    <w:rsid w:val="00C03706"/>
    <w:rsid w:val="00C03F46"/>
    <w:rsid w:val="00C11FCE"/>
    <w:rsid w:val="00C12058"/>
    <w:rsid w:val="00C14BEA"/>
    <w:rsid w:val="00C159BC"/>
    <w:rsid w:val="00C15A54"/>
    <w:rsid w:val="00C15CEB"/>
    <w:rsid w:val="00C2214E"/>
    <w:rsid w:val="00C23F84"/>
    <w:rsid w:val="00C2519B"/>
    <w:rsid w:val="00C2619B"/>
    <w:rsid w:val="00C26959"/>
    <w:rsid w:val="00C3782E"/>
    <w:rsid w:val="00C404D1"/>
    <w:rsid w:val="00C4170F"/>
    <w:rsid w:val="00C41D75"/>
    <w:rsid w:val="00C42176"/>
    <w:rsid w:val="00C425EC"/>
    <w:rsid w:val="00C504D7"/>
    <w:rsid w:val="00C52914"/>
    <w:rsid w:val="00C5567D"/>
    <w:rsid w:val="00C63F06"/>
    <w:rsid w:val="00C6590B"/>
    <w:rsid w:val="00C7131F"/>
    <w:rsid w:val="00C8158C"/>
    <w:rsid w:val="00C82632"/>
    <w:rsid w:val="00CA0BCF"/>
    <w:rsid w:val="00CA5AAE"/>
    <w:rsid w:val="00CA5DB0"/>
    <w:rsid w:val="00CB184A"/>
    <w:rsid w:val="00CC58ED"/>
    <w:rsid w:val="00CD3DDF"/>
    <w:rsid w:val="00CD7995"/>
    <w:rsid w:val="00CE294D"/>
    <w:rsid w:val="00CE555E"/>
    <w:rsid w:val="00CF71AC"/>
    <w:rsid w:val="00D02A1D"/>
    <w:rsid w:val="00D04802"/>
    <w:rsid w:val="00D04B81"/>
    <w:rsid w:val="00D07157"/>
    <w:rsid w:val="00D11139"/>
    <w:rsid w:val="00D145EC"/>
    <w:rsid w:val="00D16FE2"/>
    <w:rsid w:val="00D240B3"/>
    <w:rsid w:val="00D25CB8"/>
    <w:rsid w:val="00D350BF"/>
    <w:rsid w:val="00D43C0B"/>
    <w:rsid w:val="00D43E7F"/>
    <w:rsid w:val="00D44A74"/>
    <w:rsid w:val="00D4513E"/>
    <w:rsid w:val="00D45AEF"/>
    <w:rsid w:val="00D53688"/>
    <w:rsid w:val="00D5685E"/>
    <w:rsid w:val="00D57CD2"/>
    <w:rsid w:val="00D57E66"/>
    <w:rsid w:val="00D61147"/>
    <w:rsid w:val="00D63ADE"/>
    <w:rsid w:val="00D64164"/>
    <w:rsid w:val="00D66CB9"/>
    <w:rsid w:val="00D67DDC"/>
    <w:rsid w:val="00D73350"/>
    <w:rsid w:val="00D82231"/>
    <w:rsid w:val="00D8756E"/>
    <w:rsid w:val="00D938DD"/>
    <w:rsid w:val="00D96DAE"/>
    <w:rsid w:val="00D974EA"/>
    <w:rsid w:val="00DA17B0"/>
    <w:rsid w:val="00DA73DC"/>
    <w:rsid w:val="00DB7BC2"/>
    <w:rsid w:val="00DC0404"/>
    <w:rsid w:val="00DC0F52"/>
    <w:rsid w:val="00DC4726"/>
    <w:rsid w:val="00DC6DE2"/>
    <w:rsid w:val="00DD40D2"/>
    <w:rsid w:val="00DD7CA0"/>
    <w:rsid w:val="00DE02D2"/>
    <w:rsid w:val="00DE5BBF"/>
    <w:rsid w:val="00DE5BDB"/>
    <w:rsid w:val="00E03098"/>
    <w:rsid w:val="00E03A99"/>
    <w:rsid w:val="00E041CD"/>
    <w:rsid w:val="00E13C87"/>
    <w:rsid w:val="00E1463F"/>
    <w:rsid w:val="00E23023"/>
    <w:rsid w:val="00E26FC1"/>
    <w:rsid w:val="00E3132F"/>
    <w:rsid w:val="00E32C1C"/>
    <w:rsid w:val="00E3403D"/>
    <w:rsid w:val="00E34562"/>
    <w:rsid w:val="00E34807"/>
    <w:rsid w:val="00E351AD"/>
    <w:rsid w:val="00E363A9"/>
    <w:rsid w:val="00E37266"/>
    <w:rsid w:val="00E408BC"/>
    <w:rsid w:val="00E413E0"/>
    <w:rsid w:val="00E432A1"/>
    <w:rsid w:val="00E53AE3"/>
    <w:rsid w:val="00E5574A"/>
    <w:rsid w:val="00E60432"/>
    <w:rsid w:val="00E610B9"/>
    <w:rsid w:val="00E64FB2"/>
    <w:rsid w:val="00E75E33"/>
    <w:rsid w:val="00E81E2C"/>
    <w:rsid w:val="00E90369"/>
    <w:rsid w:val="00E92B5E"/>
    <w:rsid w:val="00E94FA2"/>
    <w:rsid w:val="00EB2EB4"/>
    <w:rsid w:val="00EB5D2F"/>
    <w:rsid w:val="00EB6FDB"/>
    <w:rsid w:val="00EC10EC"/>
    <w:rsid w:val="00EC2CCB"/>
    <w:rsid w:val="00ED0F1F"/>
    <w:rsid w:val="00ED24DB"/>
    <w:rsid w:val="00ED6080"/>
    <w:rsid w:val="00EE0176"/>
    <w:rsid w:val="00EE6897"/>
    <w:rsid w:val="00EE7BAF"/>
    <w:rsid w:val="00EF0942"/>
    <w:rsid w:val="00EF1949"/>
    <w:rsid w:val="00EF291F"/>
    <w:rsid w:val="00F00431"/>
    <w:rsid w:val="00F00470"/>
    <w:rsid w:val="00F0218C"/>
    <w:rsid w:val="00F0393B"/>
    <w:rsid w:val="00F05C08"/>
    <w:rsid w:val="00F1342A"/>
    <w:rsid w:val="00F14D39"/>
    <w:rsid w:val="00F15619"/>
    <w:rsid w:val="00F27BCB"/>
    <w:rsid w:val="00F30E03"/>
    <w:rsid w:val="00F313DD"/>
    <w:rsid w:val="00F378BE"/>
    <w:rsid w:val="00F43120"/>
    <w:rsid w:val="00F52743"/>
    <w:rsid w:val="00F53A9F"/>
    <w:rsid w:val="00F56952"/>
    <w:rsid w:val="00F57E6B"/>
    <w:rsid w:val="00F763A4"/>
    <w:rsid w:val="00F77153"/>
    <w:rsid w:val="00F81BA0"/>
    <w:rsid w:val="00F81CF2"/>
    <w:rsid w:val="00F87FD2"/>
    <w:rsid w:val="00F941B8"/>
    <w:rsid w:val="00FA0FB2"/>
    <w:rsid w:val="00FA5FA5"/>
    <w:rsid w:val="00FA79A7"/>
    <w:rsid w:val="00FA7C6C"/>
    <w:rsid w:val="00FB0C83"/>
    <w:rsid w:val="00FB1D54"/>
    <w:rsid w:val="00FB7FF9"/>
    <w:rsid w:val="00FC2700"/>
    <w:rsid w:val="00FC643D"/>
    <w:rsid w:val="00FC771D"/>
    <w:rsid w:val="00FD1DAF"/>
    <w:rsid w:val="00FD3511"/>
    <w:rsid w:val="00FD7EF0"/>
    <w:rsid w:val="00FE072F"/>
    <w:rsid w:val="00FE1586"/>
    <w:rsid w:val="00FE3B68"/>
    <w:rsid w:val="00FE3DCC"/>
    <w:rsid w:val="00FE53C8"/>
    <w:rsid w:val="00FE5FB7"/>
    <w:rsid w:val="00FF7541"/>
    <w:rsid w:val="05CE0223"/>
    <w:rsid w:val="0EC4372C"/>
    <w:rsid w:val="18F808AE"/>
    <w:rsid w:val="3F314EA7"/>
    <w:rsid w:val="74F71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link w:val="2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footer"/>
    <w:basedOn w:val="1"/>
    <w:uiPriority w:val="0"/>
    <w:pPr>
      <w:tabs>
        <w:tab w:val="center" w:pos="4153"/>
        <w:tab w:val="right" w:pos="8306"/>
      </w:tabs>
    </w:pPr>
  </w:style>
  <w:style w:type="paragraph" w:styleId="10">
    <w:name w:val="header"/>
    <w:basedOn w:val="1"/>
    <w:link w:val="20"/>
    <w:uiPriority w:val="0"/>
    <w:pPr>
      <w:tabs>
        <w:tab w:val="center" w:pos="4153"/>
        <w:tab w:val="right" w:pos="8306"/>
      </w:tabs>
    </w:pPr>
  </w:style>
  <w:style w:type="paragraph" w:styleId="11">
    <w:name w:val="index 1"/>
    <w:basedOn w:val="1"/>
    <w:next w:val="1"/>
    <w:semiHidden/>
    <w:qFormat/>
    <w:uiPriority w:val="0"/>
    <w:pPr>
      <w:keepLines/>
    </w:pPr>
  </w:style>
  <w:style w:type="character" w:styleId="14">
    <w:name w:val="page number"/>
    <w:basedOn w:val="13"/>
    <w:uiPriority w:val="0"/>
  </w:style>
  <w:style w:type="paragraph" w:customStyle="1" w:styleId="15">
    <w:name w:val="B1"/>
    <w:basedOn w:val="1"/>
    <w:uiPriority w:val="0"/>
    <w:pPr>
      <w:ind w:left="567" w:hanging="567"/>
      <w:jc w:val="both"/>
    </w:pPr>
    <w:rPr>
      <w:rFonts w:ascii="Arial" w:hAnsi="Arial"/>
    </w:rPr>
  </w:style>
  <w:style w:type="paragraph" w:customStyle="1" w:styleId="16">
    <w:name w:val="00 BodyText"/>
    <w:basedOn w:val="1"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7">
    <w:name w:val="??"/>
    <w:qFormat/>
    <w:uiPriority w:val="0"/>
    <w:pPr>
      <w:widowControl w:val="0"/>
    </w:pPr>
    <w:rPr>
      <w:rFonts w:ascii="Times New Roman" w:hAnsi="Times New Roman" w:eastAsia="等线" w:cs="Times New Roman"/>
      <w:lang w:val="en-US" w:eastAsia="en-US" w:bidi="ar-SA"/>
    </w:rPr>
  </w:style>
  <w:style w:type="paragraph" w:customStyle="1" w:styleId="18">
    <w:name w:val="??? 2"/>
    <w:basedOn w:val="17"/>
    <w:next w:val="17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9">
    <w:name w:val="CR Cover Page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20">
    <w:name w:val="页眉 Char"/>
    <w:link w:val="10"/>
    <w:qFormat/>
    <w:uiPriority w:val="0"/>
    <w:rPr>
      <w:lang w:eastAsia="en-US"/>
    </w:rPr>
  </w:style>
  <w:style w:type="character" w:customStyle="1" w:styleId="21">
    <w:name w:val="标题 4 Char"/>
    <w:basedOn w:val="13"/>
    <w:link w:val="5"/>
    <w:semiHidden/>
    <w:qFormat/>
    <w:uiPriority w:val="0"/>
    <w:rPr>
      <w:rFonts w:asciiTheme="majorHAnsi" w:hAnsiTheme="majorHAnsi" w:eastAsiaTheme="majorEastAsia" w:cstheme="majorBidi"/>
      <w:b/>
      <w:bCs/>
      <w:sz w:val="28"/>
      <w:szCs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744</Words>
  <Characters>4242</Characters>
  <Lines>35</Lines>
  <Paragraphs>9</Paragraphs>
  <TotalTime>1437</TotalTime>
  <ScaleCrop>false</ScaleCrop>
  <LinksUpToDate>false</LinksUpToDate>
  <CharactersWithSpaces>4977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2024-01-29T03:37:00Z</dcterms:created>
  <dc:creator>David Boswarthick</dc:creator>
  <cp:lastModifiedBy>Zhou</cp:lastModifiedBy>
  <cp:lastPrinted>2001-04-23T09:30:00Z</cp:lastPrinted>
  <dcterms:modified xsi:type="dcterms:W3CDTF">2024-02-18T02:58:54Z</dcterms:modified>
  <dc:title>Source:</dc:title>
  <cp:revision>366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867841E190E34CBEAD5CF0B44D67C7BF</vt:lpwstr>
  </property>
</Properties>
</file>