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0891E" w14:textId="1E0BE082" w:rsidR="001B370F" w:rsidRDefault="00F750E3" w:rsidP="00C62A5F">
      <w:pPr>
        <w:pStyle w:val="BodyText"/>
        <w:ind w:left="7416"/>
        <w:rPr>
          <w:sz w:val="20"/>
        </w:rPr>
      </w:pPr>
      <w:r>
        <w:rPr>
          <w:noProof/>
          <w:sz w:val="20"/>
        </w:rPr>
        <w:drawing>
          <wp:inline distT="0" distB="0" distL="0" distR="0" wp14:anchorId="7B054617" wp14:editId="61B10098">
            <wp:extent cx="1611630" cy="644980"/>
            <wp:effectExtent l="0" t="0" r="7620" b="317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526" cy="646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545FE" w14:textId="77777777" w:rsidR="00C75269" w:rsidRDefault="00C75269">
      <w:pPr>
        <w:pStyle w:val="BodyText"/>
        <w:spacing w:before="5"/>
        <w:ind w:left="0"/>
        <w:rPr>
          <w:sz w:val="16"/>
        </w:rPr>
      </w:pPr>
    </w:p>
    <w:p w14:paraId="7B0545FF" w14:textId="77777777" w:rsidR="00C75269" w:rsidRDefault="00F750E3">
      <w:pPr>
        <w:pStyle w:val="BodyText"/>
        <w:tabs>
          <w:tab w:val="left" w:pos="1902"/>
        </w:tabs>
        <w:spacing w:before="90" w:line="242" w:lineRule="auto"/>
        <w:ind w:left="1902" w:right="380" w:hanging="1800"/>
      </w:pPr>
      <w:r>
        <w:t>Title:</w:t>
      </w:r>
      <w:r>
        <w:tab/>
        <w:t>LS on draft-</w:t>
      </w:r>
      <w:proofErr w:type="spellStart"/>
      <w:r>
        <w:t>ietf</w:t>
      </w:r>
      <w:proofErr w:type="spellEnd"/>
      <w:r>
        <w:t>-</w:t>
      </w:r>
      <w:proofErr w:type="spellStart"/>
      <w:r>
        <w:t>tsvwg</w:t>
      </w:r>
      <w:proofErr w:type="spellEnd"/>
      <w:r>
        <w:t>-</w:t>
      </w:r>
      <w:proofErr w:type="spellStart"/>
      <w:r>
        <w:t>ecn</w:t>
      </w:r>
      <w:proofErr w:type="spellEnd"/>
      <w:r>
        <w:t>-</w:t>
      </w:r>
      <w:proofErr w:type="spellStart"/>
      <w:r>
        <w:t>encap</w:t>
      </w:r>
      <w:proofErr w:type="spellEnd"/>
      <w:r>
        <w:t>-guidelines and draft-ietf-tsvwg-rfc6040update-</w:t>
      </w:r>
      <w:r>
        <w:rPr>
          <w:spacing w:val="-57"/>
        </w:rPr>
        <w:t xml:space="preserve"> </w:t>
      </w:r>
      <w:r>
        <w:t>shim</w:t>
      </w:r>
    </w:p>
    <w:p w14:paraId="7B054600" w14:textId="77777777" w:rsidR="00C75269" w:rsidRDefault="00F750E3">
      <w:pPr>
        <w:pStyle w:val="BodyText"/>
        <w:tabs>
          <w:tab w:val="left" w:pos="1902"/>
        </w:tabs>
        <w:spacing w:before="57" w:line="292" w:lineRule="auto"/>
        <w:ind w:right="2725"/>
      </w:pPr>
      <w:r>
        <w:t>Source:</w:t>
      </w:r>
      <w:r>
        <w:tab/>
        <w:t>IETF Transport and Services Working Group (TSVWG)</w:t>
      </w:r>
      <w:r>
        <w:rPr>
          <w:spacing w:val="-57"/>
        </w:rPr>
        <w:t xml:space="preserve"> </w:t>
      </w:r>
      <w:r>
        <w:t>To:</w:t>
      </w:r>
      <w:r>
        <w:tab/>
        <w:t>3GPP</w:t>
      </w:r>
      <w:r>
        <w:rPr>
          <w:spacing w:val="-2"/>
        </w:rPr>
        <w:t xml:space="preserve"> </w:t>
      </w:r>
      <w:r>
        <w:t>SA2, SA4, CT1, CT3,</w:t>
      </w:r>
      <w:r>
        <w:rPr>
          <w:spacing w:val="-1"/>
        </w:rPr>
        <w:t xml:space="preserve"> </w:t>
      </w:r>
      <w:r>
        <w:t>CT4, and RAN2</w:t>
      </w:r>
    </w:p>
    <w:p w14:paraId="7B054601" w14:textId="77777777" w:rsidR="00C75269" w:rsidRDefault="00F750E3">
      <w:pPr>
        <w:pStyle w:val="BodyText"/>
        <w:tabs>
          <w:tab w:val="left" w:pos="1902"/>
        </w:tabs>
        <w:spacing w:line="292" w:lineRule="auto"/>
        <w:ind w:right="1783"/>
      </w:pPr>
      <w:r>
        <w:t>To</w:t>
      </w:r>
      <w:r>
        <w:rPr>
          <w:spacing w:val="-1"/>
        </w:rPr>
        <w:t xml:space="preserve"> </w:t>
      </w:r>
      <w:r>
        <w:t>Contacts:</w:t>
      </w:r>
      <w:r>
        <w:tab/>
      </w:r>
      <w:hyperlink r:id="rId8">
        <w:r>
          <w:rPr>
            <w:color w:val="0000FF"/>
            <w:u w:val="single" w:color="0000FF"/>
          </w:rPr>
          <w:t>3GPPLiaison@etsi.org</w:t>
        </w:r>
        <w:r>
          <w:t>,</w:t>
        </w:r>
      </w:hyperlink>
      <w:r>
        <w:t xml:space="preserve"> Peter Schmitt </w:t>
      </w:r>
      <w:hyperlink r:id="rId9">
        <w:r>
          <w:rPr>
            <w:color w:val="0000FF"/>
            <w:u w:val="single" w:color="0000FF"/>
          </w:rPr>
          <w:t>Peter.Schmitt@huawei.com</w:t>
        </w:r>
      </w:hyperlink>
      <w:r>
        <w:rPr>
          <w:color w:val="0000FF"/>
          <w:spacing w:val="-57"/>
        </w:rPr>
        <w:t xml:space="preserve"> </w:t>
      </w:r>
      <w:r>
        <w:t>Cc:</w:t>
      </w:r>
      <w:r>
        <w:tab/>
        <w:t xml:space="preserve">Charles Eckel </w:t>
      </w:r>
      <w:hyperlink r:id="rId10">
        <w:r>
          <w:rPr>
            <w:color w:val="0000FF"/>
            <w:u w:val="single" w:color="0000FF"/>
          </w:rPr>
          <w:t>eckelcu@cisco.com</w:t>
        </w:r>
        <w:r>
          <w:t>,</w:t>
        </w:r>
      </w:hyperlink>
      <w:r>
        <w:t xml:space="preserve"> TSVWG </w:t>
      </w:r>
      <w:hyperlink r:id="rId11">
        <w:r>
          <w:rPr>
            <w:color w:val="0000FF"/>
            <w:u w:val="single" w:color="0000FF"/>
          </w:rPr>
          <w:t>tsvwg@ietf.org</w:t>
        </w:r>
      </w:hyperlink>
      <w:r>
        <w:rPr>
          <w:color w:val="0000FF"/>
          <w:spacing w:val="1"/>
        </w:rPr>
        <w:t xml:space="preserve"> </w:t>
      </w:r>
      <w:r>
        <w:t>Contact</w:t>
      </w:r>
      <w:r>
        <w:rPr>
          <w:spacing w:val="-2"/>
        </w:rPr>
        <w:t xml:space="preserve"> </w:t>
      </w:r>
      <w:r>
        <w:t>person:</w:t>
      </w:r>
      <w:r>
        <w:tab/>
        <w:t xml:space="preserve">TSVWG WG Chairs </w:t>
      </w:r>
      <w:hyperlink r:id="rId12">
        <w:r>
          <w:rPr>
            <w:color w:val="0000FF"/>
            <w:u w:val="single" w:color="0000FF"/>
          </w:rPr>
          <w:t>tsvwg-chairs@ietf.org</w:t>
        </w:r>
      </w:hyperlink>
    </w:p>
    <w:p w14:paraId="7B054602" w14:textId="77777777" w:rsidR="00C75269" w:rsidRDefault="00F750E3">
      <w:pPr>
        <w:pStyle w:val="BodyText"/>
        <w:tabs>
          <w:tab w:val="left" w:pos="1902"/>
        </w:tabs>
        <w:spacing w:line="274" w:lineRule="exact"/>
      </w:pPr>
      <w:r>
        <w:t>Submitted</w:t>
      </w:r>
      <w:r>
        <w:rPr>
          <w:spacing w:val="-1"/>
        </w:rPr>
        <w:t xml:space="preserve"> </w:t>
      </w:r>
      <w:r>
        <w:t>Date:</w:t>
      </w:r>
      <w:r>
        <w:tab/>
        <w:t>2023-12-18</w:t>
      </w:r>
    </w:p>
    <w:p w14:paraId="7B054603" w14:textId="77777777" w:rsidR="00C75269" w:rsidRDefault="00F750E3">
      <w:pPr>
        <w:pStyle w:val="BodyText"/>
        <w:tabs>
          <w:tab w:val="left" w:pos="1902"/>
        </w:tabs>
        <w:spacing w:before="59" w:line="292" w:lineRule="auto"/>
        <w:ind w:right="5870"/>
      </w:pPr>
      <w:r>
        <w:t xml:space="preserve">Send any reply LS to: </w:t>
      </w:r>
      <w:hyperlink r:id="rId13">
        <w:r>
          <w:rPr>
            <w:color w:val="0000FF"/>
            <w:u w:val="single" w:color="0000FF"/>
          </w:rPr>
          <w:t>statements@ietf.org</w:t>
        </w:r>
      </w:hyperlink>
      <w:r>
        <w:rPr>
          <w:color w:val="0000FF"/>
          <w:spacing w:val="-57"/>
        </w:rPr>
        <w:t xml:space="preserve"> </w:t>
      </w:r>
      <w:r>
        <w:t>Purpose:</w:t>
      </w:r>
      <w:r>
        <w:tab/>
        <w:t>For</w:t>
      </w:r>
      <w:r>
        <w:rPr>
          <w:spacing w:val="-1"/>
        </w:rPr>
        <w:t xml:space="preserve"> </w:t>
      </w:r>
      <w:r>
        <w:t>information</w:t>
      </w:r>
    </w:p>
    <w:p w14:paraId="7B054604" w14:textId="77777777" w:rsidR="00C75269" w:rsidRDefault="00C75269">
      <w:pPr>
        <w:pStyle w:val="BodyText"/>
        <w:spacing w:before="1"/>
        <w:ind w:left="0"/>
        <w:rPr>
          <w:sz w:val="29"/>
        </w:rPr>
      </w:pPr>
    </w:p>
    <w:p w14:paraId="7B054605" w14:textId="77777777" w:rsidR="00C75269" w:rsidRDefault="00F750E3">
      <w:pPr>
        <w:pStyle w:val="ListParagraph"/>
        <w:numPr>
          <w:ilvl w:val="0"/>
          <w:numId w:val="2"/>
        </w:numPr>
        <w:tabs>
          <w:tab w:val="left" w:pos="343"/>
        </w:tabs>
        <w:ind w:hanging="241"/>
        <w:rPr>
          <w:sz w:val="24"/>
          <w:u w:val="none"/>
        </w:rPr>
      </w:pPr>
      <w:r>
        <w:rPr>
          <w:sz w:val="24"/>
          <w:u w:val="none"/>
        </w:rPr>
        <w:t>Description</w:t>
      </w:r>
    </w:p>
    <w:p w14:paraId="7B054606" w14:textId="77777777" w:rsidR="00C75269" w:rsidRDefault="00C75269">
      <w:pPr>
        <w:pStyle w:val="BodyText"/>
        <w:ind w:left="0"/>
        <w:rPr>
          <w:sz w:val="34"/>
        </w:rPr>
      </w:pPr>
    </w:p>
    <w:p w14:paraId="7B054607" w14:textId="77777777" w:rsidR="00C75269" w:rsidRDefault="00F750E3">
      <w:pPr>
        <w:pStyle w:val="BodyText"/>
        <w:spacing w:line="242" w:lineRule="auto"/>
        <w:ind w:right="97"/>
      </w:pPr>
      <w:r>
        <w:t>The IETF Transport and Services Working Group (TSVWG) [1] has prepared the following drafts and</w:t>
      </w:r>
      <w:r>
        <w:rPr>
          <w:spacing w:val="-57"/>
        </w:rPr>
        <w:t xml:space="preserve"> </w:t>
      </w:r>
      <w:r>
        <w:t>included previous inputs from the 3rd Generation Partnership Project (3GPP) on topics</w:t>
      </w:r>
      <w:r>
        <w:t xml:space="preserve"> relating to</w:t>
      </w:r>
      <w:r>
        <w:rPr>
          <w:spacing w:val="1"/>
        </w:rPr>
        <w:t xml:space="preserve"> </w:t>
      </w:r>
      <w:r>
        <w:t>Explicit</w:t>
      </w:r>
      <w:r>
        <w:rPr>
          <w:spacing w:val="-1"/>
        </w:rPr>
        <w:t xml:space="preserve"> </w:t>
      </w:r>
      <w:r>
        <w:t>Congestion Notification (ECN):</w:t>
      </w:r>
    </w:p>
    <w:p w14:paraId="7B054608" w14:textId="77777777" w:rsidR="00C75269" w:rsidRDefault="00F750E3">
      <w:pPr>
        <w:pStyle w:val="ListParagraph"/>
        <w:numPr>
          <w:ilvl w:val="1"/>
          <w:numId w:val="2"/>
        </w:numPr>
        <w:tabs>
          <w:tab w:val="left" w:pos="822"/>
          <w:tab w:val="left" w:pos="823"/>
        </w:tabs>
        <w:spacing w:before="54" w:line="293" w:lineRule="exact"/>
        <w:ind w:hanging="361"/>
        <w:rPr>
          <w:sz w:val="24"/>
          <w:u w:val="none"/>
        </w:rPr>
      </w:pPr>
      <w:r>
        <w:rPr>
          <w:sz w:val="24"/>
          <w:u w:val="none"/>
        </w:rPr>
        <w:t>draft-</w:t>
      </w:r>
      <w:proofErr w:type="spellStart"/>
      <w:r>
        <w:rPr>
          <w:sz w:val="24"/>
          <w:u w:val="none"/>
        </w:rPr>
        <w:t>ietf</w:t>
      </w:r>
      <w:proofErr w:type="spellEnd"/>
      <w:r>
        <w:rPr>
          <w:sz w:val="24"/>
          <w:u w:val="none"/>
        </w:rPr>
        <w:t>-</w:t>
      </w:r>
      <w:proofErr w:type="spellStart"/>
      <w:r>
        <w:rPr>
          <w:sz w:val="24"/>
          <w:u w:val="none"/>
        </w:rPr>
        <w:t>tsvwg</w:t>
      </w:r>
      <w:proofErr w:type="spellEnd"/>
      <w:r>
        <w:rPr>
          <w:sz w:val="24"/>
          <w:u w:val="none"/>
        </w:rPr>
        <w:t>-</w:t>
      </w:r>
      <w:proofErr w:type="spellStart"/>
      <w:r>
        <w:rPr>
          <w:sz w:val="24"/>
          <w:u w:val="none"/>
        </w:rPr>
        <w:t>ecn</w:t>
      </w:r>
      <w:proofErr w:type="spellEnd"/>
      <w:r>
        <w:rPr>
          <w:sz w:val="24"/>
          <w:u w:val="none"/>
        </w:rPr>
        <w:t>-</w:t>
      </w:r>
      <w:proofErr w:type="spellStart"/>
      <w:r>
        <w:rPr>
          <w:sz w:val="24"/>
          <w:u w:val="none"/>
        </w:rPr>
        <w:t>encap</w:t>
      </w:r>
      <w:proofErr w:type="spellEnd"/>
      <w:r>
        <w:rPr>
          <w:sz w:val="24"/>
          <w:u w:val="none"/>
        </w:rPr>
        <w:t>-guidelines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[2]</w:t>
      </w:r>
    </w:p>
    <w:p w14:paraId="7B054609" w14:textId="77777777" w:rsidR="00C75269" w:rsidRDefault="00F750E3">
      <w:pPr>
        <w:pStyle w:val="ListParagraph"/>
        <w:numPr>
          <w:ilvl w:val="1"/>
          <w:numId w:val="2"/>
        </w:numPr>
        <w:tabs>
          <w:tab w:val="left" w:pos="822"/>
          <w:tab w:val="left" w:pos="823"/>
        </w:tabs>
        <w:spacing w:line="293" w:lineRule="exact"/>
        <w:ind w:hanging="361"/>
        <w:rPr>
          <w:sz w:val="24"/>
          <w:u w:val="none"/>
        </w:rPr>
      </w:pPr>
      <w:r>
        <w:rPr>
          <w:sz w:val="24"/>
          <w:u w:val="none"/>
        </w:rPr>
        <w:t>draft-ietf-tsvwg-rfc6040update-shim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[3]</w:t>
      </w:r>
    </w:p>
    <w:p w14:paraId="7B05460A" w14:textId="77777777" w:rsidR="00C75269" w:rsidRDefault="00F750E3">
      <w:pPr>
        <w:pStyle w:val="BodyText"/>
        <w:spacing w:before="59" w:line="242" w:lineRule="auto"/>
        <w:ind w:right="137"/>
      </w:pPr>
      <w:r>
        <w:t>These drafts have been revised in IETF Review and are now thought ready to be published. The drafts</w:t>
      </w:r>
      <w:r>
        <w:rPr>
          <w:spacing w:val="-57"/>
        </w:rPr>
        <w:t xml:space="preserve"> </w:t>
      </w:r>
      <w:r>
        <w:t>mention the GPRS Tunnelling Protocol (GTP), which is under the control of 3GPP, and clarify that</w:t>
      </w:r>
      <w:r>
        <w:rPr>
          <w:spacing w:val="1"/>
        </w:rPr>
        <w:t xml:space="preserve"> </w:t>
      </w:r>
      <w:r>
        <w:t>GTP</w:t>
      </w:r>
      <w:r>
        <w:rPr>
          <w:spacing w:val="-1"/>
        </w:rPr>
        <w:t xml:space="preserve"> </w:t>
      </w:r>
      <w:r>
        <w:t>is in scope</w:t>
      </w:r>
      <w:r>
        <w:rPr>
          <w:spacing w:val="-1"/>
        </w:rPr>
        <w:t xml:space="preserve"> </w:t>
      </w:r>
      <w:r>
        <w:t>of RFC6040.</w:t>
      </w:r>
    </w:p>
    <w:p w14:paraId="7B05460B" w14:textId="77777777" w:rsidR="00C75269" w:rsidRDefault="00F750E3">
      <w:pPr>
        <w:pStyle w:val="BodyText"/>
        <w:spacing w:before="54" w:line="237" w:lineRule="auto"/>
        <w:ind w:right="770"/>
      </w:pPr>
      <w:r>
        <w:t>The drafts are currently in the</w:t>
      </w:r>
      <w:r>
        <w:t xml:space="preserve"> RFC-editor queue. 3GPP was involved at the start of the process;</w:t>
      </w:r>
      <w:r>
        <w:rPr>
          <w:spacing w:val="-57"/>
        </w:rPr>
        <w:t xml:space="preserve"> </w:t>
      </w:r>
      <w:r>
        <w:t>therefore,</w:t>
      </w:r>
      <w:r>
        <w:rPr>
          <w:spacing w:val="-1"/>
        </w:rPr>
        <w:t xml:space="preserve"> </w:t>
      </w:r>
      <w:r>
        <w:t>TSVWG thought</w:t>
      </w:r>
      <w:r>
        <w:rPr>
          <w:spacing w:val="-2"/>
        </w:rPr>
        <w:t xml:space="preserve"> </w:t>
      </w:r>
      <w:r>
        <w:t>it may be</w:t>
      </w:r>
      <w:r>
        <w:rPr>
          <w:spacing w:val="-2"/>
        </w:rPr>
        <w:t xml:space="preserve"> </w:t>
      </w:r>
      <w:r>
        <w:t>useful</w:t>
      </w:r>
      <w:r>
        <w:rPr>
          <w:spacing w:val="-1"/>
        </w:rPr>
        <w:t xml:space="preserve"> </w:t>
      </w:r>
      <w:r>
        <w:t>for 3GPP</w:t>
      </w:r>
      <w:r>
        <w:rPr>
          <w:spacing w:val="-1"/>
        </w:rPr>
        <w:t xml:space="preserve"> </w:t>
      </w:r>
      <w:r>
        <w:t>to be</w:t>
      </w:r>
      <w:r>
        <w:rPr>
          <w:spacing w:val="-1"/>
        </w:rPr>
        <w:t xml:space="preserve"> </w:t>
      </w:r>
      <w:r>
        <w:t>notified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conclusion.</w:t>
      </w:r>
    </w:p>
    <w:p w14:paraId="7B05460C" w14:textId="77777777" w:rsidR="00C75269" w:rsidRDefault="00C75269">
      <w:pPr>
        <w:pStyle w:val="BodyText"/>
        <w:spacing w:before="11"/>
        <w:ind w:left="0"/>
        <w:rPr>
          <w:sz w:val="29"/>
        </w:rPr>
      </w:pPr>
    </w:p>
    <w:p w14:paraId="7B05460D" w14:textId="77777777" w:rsidR="00C75269" w:rsidRDefault="00F750E3">
      <w:pPr>
        <w:pStyle w:val="ListParagraph"/>
        <w:numPr>
          <w:ilvl w:val="0"/>
          <w:numId w:val="2"/>
        </w:numPr>
        <w:tabs>
          <w:tab w:val="left" w:pos="343"/>
        </w:tabs>
        <w:ind w:hanging="241"/>
        <w:rPr>
          <w:sz w:val="24"/>
          <w:u w:val="none"/>
        </w:rPr>
      </w:pPr>
      <w:r>
        <w:rPr>
          <w:sz w:val="24"/>
          <w:u w:val="none"/>
        </w:rPr>
        <w:t>Upcoming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Meetings</w:t>
      </w:r>
    </w:p>
    <w:p w14:paraId="7B05460E" w14:textId="77777777" w:rsidR="00C75269" w:rsidRDefault="00C75269">
      <w:pPr>
        <w:pStyle w:val="BodyText"/>
        <w:spacing w:before="5"/>
        <w:ind w:left="0"/>
        <w:rPr>
          <w:sz w:val="34"/>
        </w:rPr>
      </w:pPr>
    </w:p>
    <w:p w14:paraId="7B05460F" w14:textId="77777777" w:rsidR="00C75269" w:rsidRDefault="00F750E3">
      <w:pPr>
        <w:pStyle w:val="BodyText"/>
      </w:pPr>
      <w:r>
        <w:t>IETF</w:t>
      </w:r>
      <w:r>
        <w:rPr>
          <w:spacing w:val="-1"/>
        </w:rPr>
        <w:t xml:space="preserve"> </w:t>
      </w:r>
      <w:r>
        <w:t>119</w:t>
      </w:r>
      <w:r>
        <w:rPr>
          <w:spacing w:val="-1"/>
        </w:rPr>
        <w:t xml:space="preserve"> </w:t>
      </w:r>
      <w:r>
        <w:t>16-22</w:t>
      </w:r>
      <w:r>
        <w:rPr>
          <w:spacing w:val="-1"/>
        </w:rPr>
        <w:t xml:space="preserve"> </w:t>
      </w:r>
      <w:r>
        <w:t>March</w:t>
      </w:r>
      <w:r>
        <w:rPr>
          <w:spacing w:val="-1"/>
        </w:rPr>
        <w:t xml:space="preserve"> </w:t>
      </w:r>
      <w:r>
        <w:t>2024,</w:t>
      </w:r>
      <w:r>
        <w:rPr>
          <w:spacing w:val="-1"/>
        </w:rPr>
        <w:t xml:space="preserve"> </w:t>
      </w:r>
      <w:r>
        <w:t>Brisbane,</w:t>
      </w:r>
      <w:r>
        <w:rPr>
          <w:spacing w:val="-1"/>
        </w:rPr>
        <w:t xml:space="preserve"> </w:t>
      </w:r>
      <w:r>
        <w:t>Australia</w:t>
      </w:r>
    </w:p>
    <w:p w14:paraId="7B054610" w14:textId="77777777" w:rsidR="00C75269" w:rsidRDefault="00F750E3">
      <w:pPr>
        <w:pStyle w:val="BodyText"/>
        <w:spacing w:before="60"/>
      </w:pPr>
      <w:r>
        <w:t>IETF</w:t>
      </w:r>
      <w:r>
        <w:rPr>
          <w:spacing w:val="-1"/>
        </w:rPr>
        <w:t xml:space="preserve"> </w:t>
      </w:r>
      <w:r>
        <w:t>120</w:t>
      </w:r>
      <w:r>
        <w:rPr>
          <w:spacing w:val="-1"/>
        </w:rPr>
        <w:t xml:space="preserve"> </w:t>
      </w:r>
      <w:r>
        <w:t>20-26</w:t>
      </w:r>
      <w:r>
        <w:rPr>
          <w:spacing w:val="-1"/>
        </w:rPr>
        <w:t xml:space="preserve"> </w:t>
      </w:r>
      <w:r>
        <w:t>July</w:t>
      </w:r>
      <w:r>
        <w:rPr>
          <w:spacing w:val="-1"/>
        </w:rPr>
        <w:t xml:space="preserve"> </w:t>
      </w:r>
      <w:r>
        <w:t>2024,</w:t>
      </w:r>
      <w:r>
        <w:rPr>
          <w:spacing w:val="-1"/>
        </w:rPr>
        <w:t xml:space="preserve"> </w:t>
      </w:r>
      <w:r>
        <w:t>Vancouver,</w:t>
      </w:r>
      <w:r>
        <w:rPr>
          <w:spacing w:val="-1"/>
        </w:rPr>
        <w:t xml:space="preserve"> </w:t>
      </w:r>
      <w:r>
        <w:t>Canada</w:t>
      </w:r>
    </w:p>
    <w:p w14:paraId="7B054611" w14:textId="77777777" w:rsidR="00C75269" w:rsidRDefault="00C75269">
      <w:pPr>
        <w:pStyle w:val="BodyText"/>
        <w:spacing w:before="5"/>
        <w:ind w:left="0"/>
        <w:rPr>
          <w:sz w:val="34"/>
        </w:rPr>
      </w:pPr>
    </w:p>
    <w:p w14:paraId="7B054612" w14:textId="77777777" w:rsidR="00C75269" w:rsidRDefault="00F750E3">
      <w:pPr>
        <w:pStyle w:val="ListParagraph"/>
        <w:numPr>
          <w:ilvl w:val="0"/>
          <w:numId w:val="2"/>
        </w:numPr>
        <w:tabs>
          <w:tab w:val="left" w:pos="343"/>
        </w:tabs>
        <w:ind w:hanging="241"/>
        <w:rPr>
          <w:sz w:val="24"/>
          <w:u w:val="none"/>
        </w:rPr>
      </w:pPr>
      <w:r>
        <w:rPr>
          <w:sz w:val="24"/>
          <w:u w:val="none"/>
        </w:rPr>
        <w:t>References</w:t>
      </w:r>
    </w:p>
    <w:p w14:paraId="7B054613" w14:textId="77777777" w:rsidR="00C75269" w:rsidRDefault="00C75269">
      <w:pPr>
        <w:pStyle w:val="BodyText"/>
        <w:spacing w:before="5"/>
        <w:ind w:left="0"/>
        <w:rPr>
          <w:sz w:val="34"/>
        </w:rPr>
      </w:pPr>
    </w:p>
    <w:p w14:paraId="7B054614" w14:textId="77777777" w:rsidR="00C75269" w:rsidRDefault="00F750E3">
      <w:pPr>
        <w:pStyle w:val="ListParagraph"/>
        <w:numPr>
          <w:ilvl w:val="0"/>
          <w:numId w:val="1"/>
        </w:numPr>
        <w:tabs>
          <w:tab w:val="left" w:pos="443"/>
        </w:tabs>
        <w:ind w:hanging="341"/>
        <w:rPr>
          <w:sz w:val="24"/>
          <w:u w:val="none"/>
        </w:rPr>
      </w:pPr>
      <w:r>
        <w:rPr>
          <w:color w:val="0000FF"/>
          <w:sz w:val="24"/>
          <w:u w:color="0000FF"/>
        </w:rPr>
        <w:t>https://datatracker.ietf.org/wg/tsvwg/about/</w:t>
      </w:r>
    </w:p>
    <w:p w14:paraId="7B054615" w14:textId="77777777" w:rsidR="00C75269" w:rsidRDefault="00F750E3">
      <w:pPr>
        <w:pStyle w:val="ListParagraph"/>
        <w:numPr>
          <w:ilvl w:val="0"/>
          <w:numId w:val="1"/>
        </w:numPr>
        <w:tabs>
          <w:tab w:val="left" w:pos="443"/>
        </w:tabs>
        <w:spacing w:before="60"/>
        <w:ind w:hanging="341"/>
        <w:rPr>
          <w:sz w:val="24"/>
          <w:u w:val="none"/>
        </w:rPr>
      </w:pPr>
      <w:r>
        <w:rPr>
          <w:color w:val="0000FF"/>
          <w:sz w:val="24"/>
          <w:u w:color="0000FF"/>
        </w:rPr>
        <w:t>https://datatracker.ietf.org/doc/draft-ietf-tsvwg-ecn-encap-guidelines/</w:t>
      </w:r>
    </w:p>
    <w:p w14:paraId="7B054616" w14:textId="77777777" w:rsidR="00C75269" w:rsidRDefault="00F750E3">
      <w:pPr>
        <w:pStyle w:val="ListParagraph"/>
        <w:numPr>
          <w:ilvl w:val="0"/>
          <w:numId w:val="1"/>
        </w:numPr>
        <w:tabs>
          <w:tab w:val="left" w:pos="443"/>
        </w:tabs>
        <w:spacing w:before="60"/>
        <w:ind w:hanging="341"/>
        <w:rPr>
          <w:sz w:val="24"/>
          <w:u w:val="none"/>
        </w:rPr>
      </w:pPr>
      <w:r>
        <w:rPr>
          <w:color w:val="0000FF"/>
          <w:sz w:val="24"/>
          <w:u w:color="0000FF"/>
        </w:rPr>
        <w:t>https://datatracker.ietf.org/doc/draft-ietf-tsvwg-rfc6040update-shim/</w:t>
      </w:r>
    </w:p>
    <w:sectPr w:rsidR="00C752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10" w:h="16840"/>
      <w:pgMar w:top="1000" w:right="9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7738B" w14:textId="77777777" w:rsidR="000B7BC4" w:rsidRDefault="000B7BC4" w:rsidP="000B7BC4">
      <w:r>
        <w:separator/>
      </w:r>
    </w:p>
  </w:endnote>
  <w:endnote w:type="continuationSeparator" w:id="0">
    <w:p w14:paraId="3AF48D02" w14:textId="77777777" w:rsidR="000B7BC4" w:rsidRDefault="000B7BC4" w:rsidP="000B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7AAA" w14:textId="77777777" w:rsidR="0099559D" w:rsidRDefault="009955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BDC2" w14:textId="77777777" w:rsidR="0099559D" w:rsidRDefault="009955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FF46" w14:textId="77777777" w:rsidR="0099559D" w:rsidRDefault="009955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86387" w14:textId="77777777" w:rsidR="000B7BC4" w:rsidRDefault="000B7BC4" w:rsidP="000B7BC4">
      <w:r>
        <w:separator/>
      </w:r>
    </w:p>
  </w:footnote>
  <w:footnote w:type="continuationSeparator" w:id="0">
    <w:p w14:paraId="23F8D4F8" w14:textId="77777777" w:rsidR="000B7BC4" w:rsidRDefault="000B7BC4" w:rsidP="000B7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663E" w14:textId="77777777" w:rsidR="0099559D" w:rsidRDefault="009955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AEF9" w14:textId="5093B50D" w:rsidR="00C62A5F" w:rsidRDefault="00C62A5F" w:rsidP="00C62A5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145491888"/>
    <w:r>
      <w:rPr>
        <w:b/>
        <w:noProof/>
        <w:sz w:val="24"/>
      </w:rPr>
      <w:t>3GPP TSG-CT WG1 Meeting #146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 w:rsidR="0099559D">
      <w:rPr>
        <w:b/>
        <w:noProof/>
        <w:sz w:val="24"/>
      </w:rPr>
      <w:t>0043</w:t>
    </w:r>
  </w:p>
  <w:p w14:paraId="7EE94E76" w14:textId="77777777" w:rsidR="00C62A5F" w:rsidRDefault="00C62A5F" w:rsidP="00C62A5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Online, 22– 26 January 2024</w:t>
    </w:r>
  </w:p>
  <w:bookmarkEnd w:id="0"/>
  <w:p w14:paraId="0AF5AC0E" w14:textId="77777777" w:rsidR="000B7BC4" w:rsidRDefault="000B7B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CC96" w14:textId="77777777" w:rsidR="0099559D" w:rsidRDefault="00995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A787D"/>
    <w:multiLevelType w:val="hybridMultilevel"/>
    <w:tmpl w:val="5972E87A"/>
    <w:lvl w:ilvl="0" w:tplc="11A07292">
      <w:start w:val="1"/>
      <w:numFmt w:val="decimal"/>
      <w:lvlText w:val="[%1]"/>
      <w:lvlJc w:val="left"/>
      <w:pPr>
        <w:ind w:left="442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09C9186">
      <w:numFmt w:val="bullet"/>
      <w:lvlText w:val="•"/>
      <w:lvlJc w:val="left"/>
      <w:pPr>
        <w:ind w:left="1402" w:hanging="340"/>
      </w:pPr>
      <w:rPr>
        <w:rFonts w:hint="default"/>
        <w:lang w:val="en-US" w:eastAsia="en-US" w:bidi="ar-SA"/>
      </w:rPr>
    </w:lvl>
    <w:lvl w:ilvl="2" w:tplc="3F26DFD0">
      <w:numFmt w:val="bullet"/>
      <w:lvlText w:val="•"/>
      <w:lvlJc w:val="left"/>
      <w:pPr>
        <w:ind w:left="2365" w:hanging="340"/>
      </w:pPr>
      <w:rPr>
        <w:rFonts w:hint="default"/>
        <w:lang w:val="en-US" w:eastAsia="en-US" w:bidi="ar-SA"/>
      </w:rPr>
    </w:lvl>
    <w:lvl w:ilvl="3" w:tplc="DB96C004">
      <w:numFmt w:val="bullet"/>
      <w:lvlText w:val="•"/>
      <w:lvlJc w:val="left"/>
      <w:pPr>
        <w:ind w:left="3328" w:hanging="340"/>
      </w:pPr>
      <w:rPr>
        <w:rFonts w:hint="default"/>
        <w:lang w:val="en-US" w:eastAsia="en-US" w:bidi="ar-SA"/>
      </w:rPr>
    </w:lvl>
    <w:lvl w:ilvl="4" w:tplc="15B651B4">
      <w:numFmt w:val="bullet"/>
      <w:lvlText w:val="•"/>
      <w:lvlJc w:val="left"/>
      <w:pPr>
        <w:ind w:left="4291" w:hanging="340"/>
      </w:pPr>
      <w:rPr>
        <w:rFonts w:hint="default"/>
        <w:lang w:val="en-US" w:eastAsia="en-US" w:bidi="ar-SA"/>
      </w:rPr>
    </w:lvl>
    <w:lvl w:ilvl="5" w:tplc="F3FCB642">
      <w:numFmt w:val="bullet"/>
      <w:lvlText w:val="•"/>
      <w:lvlJc w:val="left"/>
      <w:pPr>
        <w:ind w:left="5254" w:hanging="340"/>
      </w:pPr>
      <w:rPr>
        <w:rFonts w:hint="default"/>
        <w:lang w:val="en-US" w:eastAsia="en-US" w:bidi="ar-SA"/>
      </w:rPr>
    </w:lvl>
    <w:lvl w:ilvl="6" w:tplc="751C3490">
      <w:numFmt w:val="bullet"/>
      <w:lvlText w:val="•"/>
      <w:lvlJc w:val="left"/>
      <w:pPr>
        <w:ind w:left="6217" w:hanging="340"/>
      </w:pPr>
      <w:rPr>
        <w:rFonts w:hint="default"/>
        <w:lang w:val="en-US" w:eastAsia="en-US" w:bidi="ar-SA"/>
      </w:rPr>
    </w:lvl>
    <w:lvl w:ilvl="7" w:tplc="D0747930">
      <w:numFmt w:val="bullet"/>
      <w:lvlText w:val="•"/>
      <w:lvlJc w:val="left"/>
      <w:pPr>
        <w:ind w:left="7180" w:hanging="340"/>
      </w:pPr>
      <w:rPr>
        <w:rFonts w:hint="default"/>
        <w:lang w:val="en-US" w:eastAsia="en-US" w:bidi="ar-SA"/>
      </w:rPr>
    </w:lvl>
    <w:lvl w:ilvl="8" w:tplc="C66CCBA8">
      <w:numFmt w:val="bullet"/>
      <w:lvlText w:val="•"/>
      <w:lvlJc w:val="left"/>
      <w:pPr>
        <w:ind w:left="8143" w:hanging="340"/>
      </w:pPr>
      <w:rPr>
        <w:rFonts w:hint="default"/>
        <w:lang w:val="en-US" w:eastAsia="en-US" w:bidi="ar-SA"/>
      </w:rPr>
    </w:lvl>
  </w:abstractNum>
  <w:abstractNum w:abstractNumId="1" w15:restartNumberingAfterBreak="0">
    <w:nsid w:val="46AE5576"/>
    <w:multiLevelType w:val="hybridMultilevel"/>
    <w:tmpl w:val="A678B370"/>
    <w:lvl w:ilvl="0" w:tplc="61F09BFE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8E0ADBA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AC08228">
      <w:numFmt w:val="bullet"/>
      <w:lvlText w:val="•"/>
      <w:lvlJc w:val="left"/>
      <w:pPr>
        <w:ind w:left="1847" w:hanging="360"/>
      </w:pPr>
      <w:rPr>
        <w:rFonts w:hint="default"/>
        <w:lang w:val="en-US" w:eastAsia="en-US" w:bidi="ar-SA"/>
      </w:rPr>
    </w:lvl>
    <w:lvl w:ilvl="3" w:tplc="C890B2AE">
      <w:numFmt w:val="bullet"/>
      <w:lvlText w:val="•"/>
      <w:lvlJc w:val="left"/>
      <w:pPr>
        <w:ind w:left="2875" w:hanging="360"/>
      </w:pPr>
      <w:rPr>
        <w:rFonts w:hint="default"/>
        <w:lang w:val="en-US" w:eastAsia="en-US" w:bidi="ar-SA"/>
      </w:rPr>
    </w:lvl>
    <w:lvl w:ilvl="4" w:tplc="3EE2AD68">
      <w:numFmt w:val="bullet"/>
      <w:lvlText w:val="•"/>
      <w:lvlJc w:val="left"/>
      <w:pPr>
        <w:ind w:left="3902" w:hanging="360"/>
      </w:pPr>
      <w:rPr>
        <w:rFonts w:hint="default"/>
        <w:lang w:val="en-US" w:eastAsia="en-US" w:bidi="ar-SA"/>
      </w:rPr>
    </w:lvl>
    <w:lvl w:ilvl="5" w:tplc="FB6CF7A4">
      <w:numFmt w:val="bullet"/>
      <w:lvlText w:val="•"/>
      <w:lvlJc w:val="left"/>
      <w:pPr>
        <w:ind w:left="4930" w:hanging="360"/>
      </w:pPr>
      <w:rPr>
        <w:rFonts w:hint="default"/>
        <w:lang w:val="en-US" w:eastAsia="en-US" w:bidi="ar-SA"/>
      </w:rPr>
    </w:lvl>
    <w:lvl w:ilvl="6" w:tplc="0D246A8C">
      <w:numFmt w:val="bullet"/>
      <w:lvlText w:val="•"/>
      <w:lvlJc w:val="left"/>
      <w:pPr>
        <w:ind w:left="5958" w:hanging="360"/>
      </w:pPr>
      <w:rPr>
        <w:rFonts w:hint="default"/>
        <w:lang w:val="en-US" w:eastAsia="en-US" w:bidi="ar-SA"/>
      </w:rPr>
    </w:lvl>
    <w:lvl w:ilvl="7" w:tplc="0B2AAEB2">
      <w:numFmt w:val="bullet"/>
      <w:lvlText w:val="•"/>
      <w:lvlJc w:val="left"/>
      <w:pPr>
        <w:ind w:left="6985" w:hanging="360"/>
      </w:pPr>
      <w:rPr>
        <w:rFonts w:hint="default"/>
        <w:lang w:val="en-US" w:eastAsia="en-US" w:bidi="ar-SA"/>
      </w:rPr>
    </w:lvl>
    <w:lvl w:ilvl="8" w:tplc="7576AAF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num w:numId="1" w16cid:durableId="793986101">
    <w:abstractNumId w:val="0"/>
  </w:num>
  <w:num w:numId="2" w16cid:durableId="1110970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69"/>
    <w:rsid w:val="000B7BC4"/>
    <w:rsid w:val="001B370F"/>
    <w:rsid w:val="0099559D"/>
    <w:rsid w:val="00C62A5F"/>
    <w:rsid w:val="00C75269"/>
    <w:rsid w:val="00F7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45FC"/>
  <w15:docId w15:val="{21990DBF-97E3-4E6C-89AD-B8E23995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42" w:hanging="341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7B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BC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B7B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BC4"/>
    <w:rPr>
      <w:rFonts w:ascii="Times New Roman" w:eastAsia="Times New Roman" w:hAnsi="Times New Roman" w:cs="Times New Roman"/>
    </w:rPr>
  </w:style>
  <w:style w:type="paragraph" w:customStyle="1" w:styleId="CRCoverPage">
    <w:name w:val="CR Cover Page"/>
    <w:rsid w:val="00C62A5F"/>
    <w:pPr>
      <w:widowControl/>
      <w:autoSpaceDE/>
      <w:autoSpaceDN/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tsvwg-chairs@ietf.or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svwg@ietf.or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1528</Characters>
  <Application>Microsoft Office Word</Application>
  <DocSecurity>0</DocSecurity>
  <Lines>12</Lines>
  <Paragraphs>3</Paragraphs>
  <ScaleCrop>false</ScaleCrop>
  <Company>ETSI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Akansha Arora</dc:creator>
  <cp:lastModifiedBy>24.554_CR0431R5_(Rel-17)_5G_ProSe</cp:lastModifiedBy>
  <cp:revision>2</cp:revision>
  <dcterms:created xsi:type="dcterms:W3CDTF">2024-01-10T10:13:00Z</dcterms:created>
  <dcterms:modified xsi:type="dcterms:W3CDTF">2024-01-10T10:13:00Z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2023-12-18T00:00:00Z</vt:filetime>
  </property>
  <property fmtid="{D5CDD505-2E9C-101B-9397-08002B2CF9AE}" pid="3" name="LastSaved">
    <vt:filetime>2024-01-10T00:00:00Z</vt:filetime>
  </property>
</Properties>
</file>