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AE0E1" w14:textId="00B0E034" w:rsidR="00EE6897" w:rsidRDefault="00EE6897" w:rsidP="00EE6897">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416130">
        <w:rPr>
          <w:b/>
          <w:noProof/>
          <w:sz w:val="24"/>
        </w:rPr>
        <w:t>7390</w:t>
      </w:r>
    </w:p>
    <w:p w14:paraId="7146E855" w14:textId="33D05BB1" w:rsidR="00DD40D2" w:rsidRDefault="00EE6897" w:rsidP="00EE6897">
      <w:pPr>
        <w:spacing w:after="120"/>
        <w:ind w:left="1985" w:hanging="1985"/>
        <w:rPr>
          <w:rFonts w:ascii="Arial" w:hAnsi="Arial"/>
          <w:b/>
          <w:noProof/>
          <w:sz w:val="24"/>
        </w:rPr>
      </w:pPr>
      <w:r w:rsidRPr="00EE6897">
        <w:rPr>
          <w:rFonts w:ascii="Arial" w:hAnsi="Arial"/>
          <w:b/>
          <w:noProof/>
          <w:sz w:val="24"/>
        </w:rPr>
        <w:t>Xiamen,</w:t>
      </w:r>
      <w:r w:rsidR="000B62FE">
        <w:rPr>
          <w:rFonts w:ascii="Arial" w:hAnsi="Arial"/>
          <w:b/>
          <w:noProof/>
          <w:sz w:val="24"/>
        </w:rPr>
        <w:t xml:space="preserve"> China,</w:t>
      </w:r>
      <w:r w:rsidRPr="00EE6897">
        <w:rPr>
          <w:rFonts w:ascii="Arial" w:hAnsi="Arial"/>
          <w:b/>
          <w:noProof/>
          <w:sz w:val="24"/>
        </w:rPr>
        <w:t xml:space="preserve"> 09– 13 October 2023</w:t>
      </w:r>
    </w:p>
    <w:p w14:paraId="24C59453" w14:textId="77777777" w:rsidR="00EE6897" w:rsidRPr="00EE6897" w:rsidRDefault="00EE6897" w:rsidP="00EE6897">
      <w:pPr>
        <w:spacing w:after="120"/>
        <w:ind w:left="1985" w:hanging="1985"/>
        <w:rPr>
          <w:rFonts w:ascii="Arial" w:hAnsi="Arial"/>
          <w:b/>
          <w:noProof/>
          <w:sz w:val="24"/>
        </w:rPr>
      </w:pPr>
    </w:p>
    <w:p w14:paraId="484BE995" w14:textId="3DC97AF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31076">
        <w:rPr>
          <w:rFonts w:ascii="Arial" w:hAnsi="Arial" w:cs="Arial"/>
          <w:b/>
          <w:bCs/>
        </w:rPr>
        <w:t>Apple</w:t>
      </w:r>
    </w:p>
    <w:p w14:paraId="234CD7C4" w14:textId="28162D0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1076">
        <w:rPr>
          <w:rFonts w:ascii="Arial" w:hAnsi="Arial" w:cs="Arial"/>
          <w:b/>
          <w:bCs/>
        </w:rPr>
        <w:t>Discussion Paper on SUECR and reception of T3346 in EPS</w:t>
      </w:r>
      <w:r>
        <w:rPr>
          <w:rFonts w:ascii="Arial" w:hAnsi="Arial" w:cs="Arial"/>
          <w:b/>
          <w:bCs/>
        </w:rPr>
        <w:t xml:space="preserve"> </w:t>
      </w:r>
    </w:p>
    <w:p w14:paraId="55FE3D7D" w14:textId="14B8588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31076">
        <w:rPr>
          <w:rFonts w:ascii="Arial" w:hAnsi="Arial" w:cs="Arial"/>
          <w:b/>
          <w:bCs/>
        </w:rPr>
        <w:t>18</w:t>
      </w:r>
      <w:r>
        <w:rPr>
          <w:rFonts w:ascii="Arial" w:hAnsi="Arial" w:cs="Arial"/>
          <w:b/>
          <w:bCs/>
        </w:rPr>
        <w:t>.</w:t>
      </w:r>
      <w:r w:rsidR="00C31076">
        <w:rPr>
          <w:rFonts w:ascii="Arial" w:hAnsi="Arial" w:cs="Arial"/>
          <w:b/>
          <w:bCs/>
        </w:rPr>
        <w:t>2.6</w:t>
      </w:r>
    </w:p>
    <w:p w14:paraId="1589C299" w14:textId="67420FF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BDF7AFF" w14:textId="5ADBC8D3" w:rsidR="00C31076" w:rsidRDefault="00C31076">
      <w:pPr>
        <w:rPr>
          <w:rFonts w:ascii="Arial" w:hAnsi="Arial" w:cs="Arial"/>
          <w:b/>
          <w:bCs/>
        </w:rPr>
      </w:pPr>
      <w:r>
        <w:rPr>
          <w:rFonts w:ascii="Arial" w:hAnsi="Arial" w:cs="Arial"/>
          <w:b/>
          <w:bCs/>
        </w:rPr>
        <w:t>Background</w:t>
      </w:r>
    </w:p>
    <w:p w14:paraId="305CE5D0" w14:textId="77777777" w:rsidR="00C31076" w:rsidRDefault="00C31076">
      <w:pPr>
        <w:rPr>
          <w:rFonts w:ascii="Arial" w:hAnsi="Arial" w:cs="Arial"/>
          <w:b/>
          <w:bCs/>
        </w:rPr>
      </w:pPr>
    </w:p>
    <w:p w14:paraId="31A246A0" w14:textId="7E7F9079" w:rsidR="00C31076" w:rsidRDefault="00C31076">
      <w:pPr>
        <w:rPr>
          <w:rFonts w:ascii="Arial" w:hAnsi="Arial" w:cs="Arial"/>
        </w:rPr>
      </w:pPr>
      <w:r>
        <w:rPr>
          <w:rFonts w:ascii="Arial" w:hAnsi="Arial" w:cs="Arial"/>
        </w:rPr>
        <w:t xml:space="preserve">In the context of the SUECR work item, CT1 has been discussing a case where </w:t>
      </w:r>
      <w:r w:rsidR="00C74AE1">
        <w:rPr>
          <w:rFonts w:ascii="Arial" w:hAnsi="Arial" w:cs="Arial"/>
        </w:rPr>
        <w:t xml:space="preserve">the UE would like to inform the AMF of its unavailability period and </w:t>
      </w:r>
      <w:r>
        <w:rPr>
          <w:rFonts w:ascii="Arial" w:hAnsi="Arial" w:cs="Arial"/>
        </w:rPr>
        <w:t xml:space="preserve">the back-off timer (T3346) is </w:t>
      </w:r>
      <w:r w:rsidR="00C74AE1">
        <w:rPr>
          <w:rFonts w:ascii="Arial" w:hAnsi="Arial" w:cs="Arial"/>
        </w:rPr>
        <w:t xml:space="preserve">either </w:t>
      </w:r>
      <w:r>
        <w:rPr>
          <w:rFonts w:ascii="Arial" w:hAnsi="Arial" w:cs="Arial"/>
        </w:rPr>
        <w:t>running at the UE</w:t>
      </w:r>
      <w:r w:rsidR="00C74AE1">
        <w:rPr>
          <w:rFonts w:ascii="Arial" w:hAnsi="Arial" w:cs="Arial"/>
        </w:rPr>
        <w:t xml:space="preserve"> or is received in the Registration Reject message</w:t>
      </w:r>
      <w:r>
        <w:rPr>
          <w:rFonts w:ascii="Arial" w:hAnsi="Arial" w:cs="Arial"/>
        </w:rPr>
        <w:t>. A few proposals were discussed but, since there was no agreement on a solution, CT1 ended up sending an LS (C1-23</w:t>
      </w:r>
      <w:r w:rsidR="00C74AE1">
        <w:rPr>
          <w:rFonts w:ascii="Arial" w:hAnsi="Arial" w:cs="Arial"/>
        </w:rPr>
        <w:t>4364</w:t>
      </w:r>
      <w:r>
        <w:rPr>
          <w:rFonts w:ascii="Arial" w:hAnsi="Arial" w:cs="Arial"/>
        </w:rPr>
        <w:t xml:space="preserve">) to SA2 and </w:t>
      </w:r>
      <w:r w:rsidR="00C74AE1">
        <w:rPr>
          <w:rFonts w:ascii="Arial" w:hAnsi="Arial" w:cs="Arial"/>
        </w:rPr>
        <w:t>seek</w:t>
      </w:r>
      <w:r>
        <w:rPr>
          <w:rFonts w:ascii="Arial" w:hAnsi="Arial" w:cs="Arial"/>
        </w:rPr>
        <w:t xml:space="preserve"> SA2’s guidance. The SA2 then has sent a </w:t>
      </w:r>
      <w:proofErr w:type="gramStart"/>
      <w:r>
        <w:rPr>
          <w:rFonts w:ascii="Arial" w:hAnsi="Arial" w:cs="Arial"/>
        </w:rPr>
        <w:t>reply</w:t>
      </w:r>
      <w:proofErr w:type="gramEnd"/>
      <w:r>
        <w:rPr>
          <w:rFonts w:ascii="Arial" w:hAnsi="Arial" w:cs="Arial"/>
        </w:rPr>
        <w:t xml:space="preserve"> LS (S2-23</w:t>
      </w:r>
      <w:r w:rsidR="0090079E">
        <w:rPr>
          <w:rFonts w:ascii="Arial" w:hAnsi="Arial" w:cs="Arial"/>
        </w:rPr>
        <w:t>09997</w:t>
      </w:r>
      <w:r w:rsidR="00C74AE1">
        <w:rPr>
          <w:rFonts w:ascii="Arial" w:hAnsi="Arial" w:cs="Arial"/>
        </w:rPr>
        <w:t>) where they have simply indicated that the UE should respect the back-off timer.</w:t>
      </w:r>
    </w:p>
    <w:p w14:paraId="649F6F86" w14:textId="77777777" w:rsidR="00C74AE1" w:rsidRDefault="00C74AE1">
      <w:pPr>
        <w:rPr>
          <w:rFonts w:ascii="Arial" w:hAnsi="Arial" w:cs="Arial"/>
        </w:rPr>
      </w:pPr>
    </w:p>
    <w:p w14:paraId="21D05694" w14:textId="1FAF0A71" w:rsidR="00C74AE1" w:rsidRPr="00C74AE1" w:rsidRDefault="00C74AE1">
      <w:pPr>
        <w:rPr>
          <w:rFonts w:ascii="Arial" w:hAnsi="Arial" w:cs="Arial"/>
          <w:b/>
          <w:bCs/>
        </w:rPr>
      </w:pPr>
      <w:r w:rsidRPr="00C74AE1">
        <w:rPr>
          <w:rFonts w:ascii="Arial" w:hAnsi="Arial" w:cs="Arial"/>
          <w:b/>
          <w:bCs/>
        </w:rPr>
        <w:t>Discussion</w:t>
      </w:r>
      <w:r w:rsidR="00BC10BA">
        <w:rPr>
          <w:rFonts w:ascii="Arial" w:hAnsi="Arial" w:cs="Arial"/>
          <w:b/>
          <w:bCs/>
        </w:rPr>
        <w:t xml:space="preserve"> and problem statement</w:t>
      </w:r>
    </w:p>
    <w:p w14:paraId="75D166C6" w14:textId="77777777" w:rsidR="00C74AE1" w:rsidRDefault="00C74AE1">
      <w:pPr>
        <w:rPr>
          <w:rFonts w:ascii="Arial" w:hAnsi="Arial" w:cs="Arial"/>
        </w:rPr>
      </w:pPr>
    </w:p>
    <w:p w14:paraId="0147ADE5" w14:textId="0A6A0C3E" w:rsidR="00C74AE1" w:rsidRDefault="00C74AE1">
      <w:pPr>
        <w:rPr>
          <w:rFonts w:ascii="Arial" w:hAnsi="Arial" w:cs="Arial"/>
        </w:rPr>
      </w:pPr>
      <w:r>
        <w:rPr>
          <w:rFonts w:ascii="Arial" w:hAnsi="Arial" w:cs="Arial"/>
        </w:rPr>
        <w:t>During the course of discussions at CT1, the assumption was that T3346 was either just received from the AMF, in a Registration Reject message, or that it was started due to a previous rejection with Cause #22 (</w:t>
      </w:r>
      <w:proofErr w:type="gramStart"/>
      <w:r>
        <w:rPr>
          <w:rFonts w:ascii="Arial" w:hAnsi="Arial" w:cs="Arial"/>
        </w:rPr>
        <w:t>e.g.</w:t>
      </w:r>
      <w:proofErr w:type="gramEnd"/>
      <w:r>
        <w:rPr>
          <w:rFonts w:ascii="Arial" w:hAnsi="Arial" w:cs="Arial"/>
        </w:rPr>
        <w:t xml:space="preserve"> Registration Reject or Service Reject). In other words, the perception was that T3346 was received at the NAS (5GMM) layer and in 5GS. However, there is yet another case that needs attention. Consider the following scenario:</w:t>
      </w:r>
    </w:p>
    <w:p w14:paraId="5E260FAC" w14:textId="7EED8875" w:rsidR="00C74AE1" w:rsidRDefault="00C74AE1" w:rsidP="00C74AE1">
      <w:pPr>
        <w:pStyle w:val="ListParagraph"/>
        <w:numPr>
          <w:ilvl w:val="0"/>
          <w:numId w:val="4"/>
        </w:numPr>
        <w:rPr>
          <w:rFonts w:ascii="Arial" w:hAnsi="Arial" w:cs="Arial"/>
        </w:rPr>
      </w:pPr>
      <w:r>
        <w:rPr>
          <w:rFonts w:ascii="Arial" w:hAnsi="Arial" w:cs="Arial"/>
        </w:rPr>
        <w:t xml:space="preserve">The UE performs a successful registration procedure in 5GS with an </w:t>
      </w:r>
      <w:proofErr w:type="gramStart"/>
      <w:r>
        <w:rPr>
          <w:rFonts w:ascii="Arial" w:hAnsi="Arial" w:cs="Arial"/>
        </w:rPr>
        <w:t>AMF</w:t>
      </w:r>
      <w:proofErr w:type="gramEnd"/>
    </w:p>
    <w:p w14:paraId="2D71E377" w14:textId="1AE13615" w:rsidR="00C74AE1" w:rsidRDefault="00C74AE1" w:rsidP="00C74AE1">
      <w:pPr>
        <w:pStyle w:val="ListParagraph"/>
        <w:numPr>
          <w:ilvl w:val="0"/>
          <w:numId w:val="4"/>
        </w:numPr>
        <w:rPr>
          <w:rFonts w:ascii="Arial" w:hAnsi="Arial" w:cs="Arial"/>
        </w:rPr>
      </w:pPr>
      <w:r>
        <w:rPr>
          <w:rFonts w:ascii="Arial" w:hAnsi="Arial" w:cs="Arial"/>
        </w:rPr>
        <w:t xml:space="preserve">After some time, the UE loses the 5G coverage, so it tries to find an LTE cell to register in </w:t>
      </w:r>
      <w:proofErr w:type="gramStart"/>
      <w:r>
        <w:rPr>
          <w:rFonts w:ascii="Arial" w:hAnsi="Arial" w:cs="Arial"/>
        </w:rPr>
        <w:t>EPS</w:t>
      </w:r>
      <w:proofErr w:type="gramEnd"/>
    </w:p>
    <w:p w14:paraId="566015DF" w14:textId="019233F6" w:rsidR="00C74AE1" w:rsidRDefault="00C74AE1" w:rsidP="00C74AE1">
      <w:pPr>
        <w:pStyle w:val="ListParagraph"/>
        <w:numPr>
          <w:ilvl w:val="0"/>
          <w:numId w:val="4"/>
        </w:numPr>
        <w:rPr>
          <w:rFonts w:ascii="Arial" w:hAnsi="Arial" w:cs="Arial"/>
        </w:rPr>
      </w:pPr>
      <w:r>
        <w:rPr>
          <w:rFonts w:ascii="Arial" w:hAnsi="Arial" w:cs="Arial"/>
        </w:rPr>
        <w:t>The UE finds a suitable (4G) cell and sends an RRC Connection Request to the ENB</w:t>
      </w:r>
    </w:p>
    <w:p w14:paraId="50460EA5" w14:textId="7E05336B" w:rsidR="00C74AE1" w:rsidRDefault="00C74AE1" w:rsidP="00C74AE1">
      <w:pPr>
        <w:pStyle w:val="ListParagraph"/>
        <w:numPr>
          <w:ilvl w:val="0"/>
          <w:numId w:val="4"/>
        </w:numPr>
        <w:rPr>
          <w:rFonts w:ascii="Arial" w:hAnsi="Arial" w:cs="Arial"/>
        </w:rPr>
      </w:pPr>
      <w:r>
        <w:rPr>
          <w:rFonts w:ascii="Arial" w:hAnsi="Arial" w:cs="Arial"/>
        </w:rPr>
        <w:t xml:space="preserve">The ENB, however, has been informed by its serving AMF to reject RRC Connection Requests (due to the reception of Overload Start message). Therefore, the ENB sends an RRC Connection Reject message to the UE </w:t>
      </w:r>
      <w:proofErr w:type="gramStart"/>
      <w:r>
        <w:rPr>
          <w:rFonts w:ascii="Arial" w:hAnsi="Arial" w:cs="Arial"/>
        </w:rPr>
        <w:t>and also</w:t>
      </w:r>
      <w:proofErr w:type="gramEnd"/>
      <w:r>
        <w:rPr>
          <w:rFonts w:ascii="Arial" w:hAnsi="Arial" w:cs="Arial"/>
        </w:rPr>
        <w:t xml:space="preserve"> allocates an Extended Wait Time (EWT)</w:t>
      </w:r>
    </w:p>
    <w:p w14:paraId="320E9FA7" w14:textId="5442DF49" w:rsidR="00C74AE1" w:rsidRDefault="00C74AE1" w:rsidP="00C74AE1">
      <w:pPr>
        <w:pStyle w:val="ListParagraph"/>
        <w:numPr>
          <w:ilvl w:val="0"/>
          <w:numId w:val="4"/>
        </w:numPr>
        <w:rPr>
          <w:rFonts w:ascii="Arial" w:hAnsi="Arial" w:cs="Arial"/>
        </w:rPr>
      </w:pPr>
      <w:r>
        <w:rPr>
          <w:rFonts w:ascii="Arial" w:hAnsi="Arial" w:cs="Arial"/>
        </w:rPr>
        <w:t xml:space="preserve">As already specified in 4G, the UE’s RRC layer will pass the ETW to the NAS (EMM) layer and the UE will then start the T3346 with a </w:t>
      </w:r>
      <w:r w:rsidR="00BC10BA">
        <w:rPr>
          <w:rFonts w:ascii="Arial" w:hAnsi="Arial" w:cs="Arial"/>
        </w:rPr>
        <w:t>value</w:t>
      </w:r>
      <w:r>
        <w:rPr>
          <w:rFonts w:ascii="Arial" w:hAnsi="Arial" w:cs="Arial"/>
        </w:rPr>
        <w:t xml:space="preserve"> equal to the </w:t>
      </w:r>
      <w:proofErr w:type="gramStart"/>
      <w:r>
        <w:rPr>
          <w:rFonts w:ascii="Arial" w:hAnsi="Arial" w:cs="Arial"/>
        </w:rPr>
        <w:t>EWT</w:t>
      </w:r>
      <w:proofErr w:type="gramEnd"/>
    </w:p>
    <w:p w14:paraId="0DE20FBB" w14:textId="0DF833A5" w:rsidR="00C74AE1" w:rsidRDefault="00C74AE1" w:rsidP="00C74AE1">
      <w:pPr>
        <w:pStyle w:val="ListParagraph"/>
        <w:numPr>
          <w:ilvl w:val="0"/>
          <w:numId w:val="4"/>
        </w:numPr>
        <w:rPr>
          <w:rFonts w:ascii="Arial" w:hAnsi="Arial" w:cs="Arial"/>
        </w:rPr>
      </w:pPr>
      <w:r>
        <w:rPr>
          <w:rFonts w:ascii="Arial" w:hAnsi="Arial" w:cs="Arial"/>
        </w:rPr>
        <w:t xml:space="preserve">The UE now happens to find a 5G cell that belongs to the same registration area where it previously was registered in </w:t>
      </w:r>
      <w:proofErr w:type="gramStart"/>
      <w:r>
        <w:rPr>
          <w:rFonts w:ascii="Arial" w:hAnsi="Arial" w:cs="Arial"/>
        </w:rPr>
        <w:t>5GS</w:t>
      </w:r>
      <w:proofErr w:type="gramEnd"/>
    </w:p>
    <w:p w14:paraId="099500E9" w14:textId="1648561F" w:rsidR="00C74AE1" w:rsidRDefault="00C74AE1" w:rsidP="00C74AE1">
      <w:pPr>
        <w:pStyle w:val="ListParagraph"/>
        <w:numPr>
          <w:ilvl w:val="0"/>
          <w:numId w:val="4"/>
        </w:numPr>
        <w:rPr>
          <w:rFonts w:ascii="Arial" w:hAnsi="Arial" w:cs="Arial"/>
        </w:rPr>
      </w:pPr>
      <w:r>
        <w:rPr>
          <w:rFonts w:ascii="Arial" w:hAnsi="Arial" w:cs="Arial"/>
        </w:rPr>
        <w:t>The phone now is supposed to go through a S</w:t>
      </w:r>
      <w:r w:rsidR="00BC10BA">
        <w:rPr>
          <w:rFonts w:ascii="Arial" w:hAnsi="Arial" w:cs="Arial"/>
        </w:rPr>
        <w:t>W</w:t>
      </w:r>
      <w:r>
        <w:rPr>
          <w:rFonts w:ascii="Arial" w:hAnsi="Arial" w:cs="Arial"/>
        </w:rPr>
        <w:t xml:space="preserve"> update, which means that the U</w:t>
      </w:r>
      <w:r w:rsidR="00BC10BA">
        <w:rPr>
          <w:rFonts w:ascii="Arial" w:hAnsi="Arial" w:cs="Arial"/>
        </w:rPr>
        <w:t>E</w:t>
      </w:r>
      <w:r>
        <w:rPr>
          <w:rFonts w:ascii="Arial" w:hAnsi="Arial" w:cs="Arial"/>
        </w:rPr>
        <w:t xml:space="preserve"> needs to send a Registration/De-Registration Request message to the AMF</w:t>
      </w:r>
      <w:r w:rsidR="00BC10BA">
        <w:rPr>
          <w:rFonts w:ascii="Arial" w:hAnsi="Arial" w:cs="Arial"/>
        </w:rPr>
        <w:t xml:space="preserve">, in order to notify it of its unavailability </w:t>
      </w:r>
      <w:proofErr w:type="gramStart"/>
      <w:r w:rsidR="00BC10BA">
        <w:rPr>
          <w:rFonts w:ascii="Arial" w:hAnsi="Arial" w:cs="Arial"/>
        </w:rPr>
        <w:t>period</w:t>
      </w:r>
      <w:proofErr w:type="gramEnd"/>
    </w:p>
    <w:p w14:paraId="3C2FF3C6" w14:textId="77777777" w:rsidR="00C74AE1" w:rsidRDefault="00C74AE1" w:rsidP="00C74AE1">
      <w:pPr>
        <w:rPr>
          <w:rFonts w:ascii="Arial" w:hAnsi="Arial" w:cs="Arial"/>
        </w:rPr>
      </w:pPr>
    </w:p>
    <w:p w14:paraId="6C5DC6F2" w14:textId="24F71616" w:rsidR="00BC10BA" w:rsidRDefault="00BC10BA" w:rsidP="00C74AE1">
      <w:pPr>
        <w:rPr>
          <w:rFonts w:ascii="Arial" w:hAnsi="Arial" w:cs="Arial"/>
        </w:rPr>
      </w:pPr>
      <w:r>
        <w:rPr>
          <w:rFonts w:ascii="Arial" w:hAnsi="Arial" w:cs="Arial"/>
        </w:rPr>
        <w:t xml:space="preserve">The problem we are facing now is that T3346 is running at the UE side. However, it is important to note that it was NOT allocated to the UE by the AMF. In fact, things are most likely fine from the AMF’s perspective. It was not congested when the UE registered and most likely is not congested now either. </w:t>
      </w:r>
    </w:p>
    <w:p w14:paraId="66E530A6" w14:textId="77777777" w:rsidR="00BC10BA" w:rsidRDefault="00BC10BA" w:rsidP="00C74AE1">
      <w:pPr>
        <w:rPr>
          <w:rFonts w:ascii="Arial" w:hAnsi="Arial" w:cs="Arial"/>
        </w:rPr>
      </w:pPr>
    </w:p>
    <w:p w14:paraId="620D24DC" w14:textId="3CBEF834" w:rsidR="00BC10BA" w:rsidRPr="00BC10BA" w:rsidRDefault="00BC10BA" w:rsidP="00C74AE1">
      <w:pPr>
        <w:rPr>
          <w:rFonts w:ascii="Arial" w:hAnsi="Arial" w:cs="Arial"/>
          <w:b/>
          <w:bCs/>
        </w:rPr>
      </w:pPr>
      <w:r w:rsidRPr="00BC10BA">
        <w:rPr>
          <w:rFonts w:ascii="Arial" w:hAnsi="Arial" w:cs="Arial"/>
          <w:b/>
          <w:bCs/>
        </w:rPr>
        <w:t>Proposed Solutions</w:t>
      </w:r>
    </w:p>
    <w:p w14:paraId="107E133C" w14:textId="77777777" w:rsidR="00BC10BA" w:rsidRDefault="00BC10BA" w:rsidP="00C74AE1">
      <w:pPr>
        <w:rPr>
          <w:rFonts w:ascii="Arial" w:hAnsi="Arial" w:cs="Arial"/>
        </w:rPr>
      </w:pPr>
    </w:p>
    <w:p w14:paraId="11D83458" w14:textId="77777777" w:rsidR="00BC10BA" w:rsidRDefault="00BC10BA" w:rsidP="00C74AE1">
      <w:pPr>
        <w:rPr>
          <w:rFonts w:ascii="Arial" w:hAnsi="Arial" w:cs="Arial"/>
        </w:rPr>
      </w:pPr>
      <w:r>
        <w:rPr>
          <w:rFonts w:ascii="Arial" w:hAnsi="Arial" w:cs="Arial"/>
        </w:rPr>
        <w:t xml:space="preserve">There are two situations when the UE comes back to the 5GS: </w:t>
      </w:r>
    </w:p>
    <w:p w14:paraId="3A0009D7" w14:textId="77777777" w:rsidR="00BC10BA" w:rsidRDefault="00BC10BA" w:rsidP="00C74AE1">
      <w:pPr>
        <w:rPr>
          <w:rFonts w:ascii="Arial" w:hAnsi="Arial" w:cs="Arial"/>
        </w:rPr>
      </w:pPr>
    </w:p>
    <w:p w14:paraId="0A2D24FA" w14:textId="43CA037B" w:rsidR="00BC10BA" w:rsidRDefault="00BC10BA" w:rsidP="00C74AE1">
      <w:pPr>
        <w:rPr>
          <w:rFonts w:ascii="Arial" w:hAnsi="Arial" w:cs="Arial"/>
        </w:rPr>
      </w:pPr>
      <w:r>
        <w:rPr>
          <w:rFonts w:ascii="Arial" w:hAnsi="Arial" w:cs="Arial"/>
        </w:rPr>
        <w:t xml:space="preserve">1) The cell that the UE picks still </w:t>
      </w:r>
      <w:proofErr w:type="gramStart"/>
      <w:r>
        <w:rPr>
          <w:rFonts w:ascii="Arial" w:hAnsi="Arial" w:cs="Arial"/>
        </w:rPr>
        <w:t>belongs</w:t>
      </w:r>
      <w:proofErr w:type="gramEnd"/>
      <w:r>
        <w:rPr>
          <w:rFonts w:ascii="Arial" w:hAnsi="Arial" w:cs="Arial"/>
        </w:rPr>
        <w:t xml:space="preserve"> to the same registration area where the UE was registered</w:t>
      </w:r>
    </w:p>
    <w:p w14:paraId="5D065553" w14:textId="4F123FF9" w:rsidR="00BC10BA" w:rsidRDefault="00BC10BA" w:rsidP="00C74AE1">
      <w:pPr>
        <w:rPr>
          <w:rFonts w:ascii="Arial" w:hAnsi="Arial" w:cs="Arial"/>
        </w:rPr>
      </w:pPr>
      <w:r>
        <w:rPr>
          <w:rFonts w:ascii="Arial" w:hAnsi="Arial" w:cs="Arial"/>
        </w:rPr>
        <w:t xml:space="preserve">2) The cell that the UE picks </w:t>
      </w:r>
      <w:proofErr w:type="gramStart"/>
      <w:r>
        <w:rPr>
          <w:rFonts w:ascii="Arial" w:hAnsi="Arial" w:cs="Arial"/>
        </w:rPr>
        <w:t>does</w:t>
      </w:r>
      <w:proofErr w:type="gramEnd"/>
      <w:r>
        <w:rPr>
          <w:rFonts w:ascii="Arial" w:hAnsi="Arial" w:cs="Arial"/>
        </w:rPr>
        <w:t xml:space="preserve"> not belong to the same registration area where the UE was registered</w:t>
      </w:r>
    </w:p>
    <w:p w14:paraId="4635CC40" w14:textId="77777777" w:rsidR="00BC10BA" w:rsidRDefault="00BC10BA" w:rsidP="00C74AE1">
      <w:pPr>
        <w:rPr>
          <w:rFonts w:ascii="Arial" w:hAnsi="Arial" w:cs="Arial"/>
        </w:rPr>
      </w:pPr>
    </w:p>
    <w:p w14:paraId="3ABC8314" w14:textId="2D74FF34" w:rsidR="00BC10BA" w:rsidRDefault="00BC10BA" w:rsidP="00C74AE1">
      <w:pPr>
        <w:rPr>
          <w:rFonts w:ascii="Arial" w:hAnsi="Arial" w:cs="Arial"/>
        </w:rPr>
      </w:pPr>
      <w:r>
        <w:rPr>
          <w:rFonts w:ascii="Arial" w:hAnsi="Arial" w:cs="Arial"/>
        </w:rPr>
        <w:t xml:space="preserve">We can, therefore, think of two sets of solutions. For “1)”, we propose that the UE can </w:t>
      </w:r>
      <w:r w:rsidR="0073089F">
        <w:rPr>
          <w:rFonts w:ascii="Arial" w:hAnsi="Arial" w:cs="Arial"/>
        </w:rPr>
        <w:t xml:space="preserve">either </w:t>
      </w:r>
      <w:r>
        <w:rPr>
          <w:rFonts w:ascii="Arial" w:hAnsi="Arial" w:cs="Arial"/>
        </w:rPr>
        <w:t xml:space="preserve">send a Deregistration Request </w:t>
      </w:r>
      <w:r w:rsidR="0073089F">
        <w:rPr>
          <w:rFonts w:ascii="Arial" w:hAnsi="Arial" w:cs="Arial"/>
        </w:rPr>
        <w:t xml:space="preserve">or a Registration Request </w:t>
      </w:r>
      <w:r>
        <w:rPr>
          <w:rFonts w:ascii="Arial" w:hAnsi="Arial" w:cs="Arial"/>
        </w:rPr>
        <w:t>and indicate to the AMF that it has a T3346 running due to the reception of EWT in EPS/LTE. For “2)”, a solution with Deregistration may not work as the UE cannot be sure that it is the same AMF, in which it was previously registered, that would receive the message. Therefore, the solution for this case would have to be for the UE to send a Registration Request along with an indication that it has a T3346 running due to the reception of EWT in EPS/LTE.</w:t>
      </w:r>
    </w:p>
    <w:p w14:paraId="6538B1A3" w14:textId="77777777" w:rsidR="00BC10BA" w:rsidRDefault="00BC10BA" w:rsidP="00C74AE1">
      <w:pPr>
        <w:rPr>
          <w:rFonts w:ascii="Arial" w:hAnsi="Arial" w:cs="Arial"/>
        </w:rPr>
      </w:pPr>
    </w:p>
    <w:p w14:paraId="067B1FFF" w14:textId="77777777" w:rsidR="00BC10BA" w:rsidRDefault="00BC10BA" w:rsidP="00C74AE1">
      <w:pPr>
        <w:rPr>
          <w:rFonts w:ascii="Arial" w:hAnsi="Arial" w:cs="Arial"/>
          <w:b/>
          <w:bCs/>
        </w:rPr>
      </w:pPr>
    </w:p>
    <w:p w14:paraId="26C6BB22" w14:textId="77777777" w:rsidR="00BC10BA" w:rsidRDefault="00BC10BA" w:rsidP="00C74AE1">
      <w:pPr>
        <w:rPr>
          <w:rFonts w:ascii="Arial" w:hAnsi="Arial" w:cs="Arial"/>
          <w:b/>
          <w:bCs/>
        </w:rPr>
      </w:pPr>
    </w:p>
    <w:p w14:paraId="79E5E0F4" w14:textId="3C871F40" w:rsidR="00BC10BA" w:rsidRPr="00BC10BA" w:rsidRDefault="00BC10BA" w:rsidP="00C74AE1">
      <w:pPr>
        <w:rPr>
          <w:rFonts w:ascii="Arial" w:hAnsi="Arial" w:cs="Arial"/>
          <w:b/>
          <w:bCs/>
        </w:rPr>
      </w:pPr>
      <w:r w:rsidRPr="00BC10BA">
        <w:rPr>
          <w:rFonts w:ascii="Arial" w:hAnsi="Arial" w:cs="Arial"/>
          <w:b/>
          <w:bCs/>
        </w:rPr>
        <w:lastRenderedPageBreak/>
        <w:t>Conclusion</w:t>
      </w:r>
    </w:p>
    <w:p w14:paraId="31E71BF9" w14:textId="240090F7" w:rsidR="00BC10BA" w:rsidRDefault="00BC10BA" w:rsidP="00C74AE1">
      <w:pPr>
        <w:rPr>
          <w:rFonts w:ascii="Arial" w:hAnsi="Arial" w:cs="Arial"/>
        </w:rPr>
      </w:pPr>
    </w:p>
    <w:p w14:paraId="3BD03167" w14:textId="215D2380" w:rsidR="00BC10BA" w:rsidRPr="00C74AE1" w:rsidRDefault="00BC10BA" w:rsidP="00C74AE1">
      <w:pPr>
        <w:rPr>
          <w:rFonts w:ascii="Arial" w:hAnsi="Arial" w:cs="Arial"/>
        </w:rPr>
      </w:pPr>
      <w:r>
        <w:rPr>
          <w:rFonts w:ascii="Arial" w:hAnsi="Arial" w:cs="Arial"/>
        </w:rPr>
        <w:t xml:space="preserve">It is proposed to discuss the case and agree on a solution. The two different solutions, </w:t>
      </w:r>
      <w:proofErr w:type="gramStart"/>
      <w:r>
        <w:rPr>
          <w:rFonts w:ascii="Arial" w:hAnsi="Arial" w:cs="Arial"/>
        </w:rPr>
        <w:t>i.e.</w:t>
      </w:r>
      <w:proofErr w:type="gramEnd"/>
      <w:r>
        <w:rPr>
          <w:rFonts w:ascii="Arial" w:hAnsi="Arial" w:cs="Arial"/>
        </w:rPr>
        <w:t xml:space="preserve"> sending </w:t>
      </w:r>
      <w:r w:rsidR="0090079E">
        <w:rPr>
          <w:rFonts w:ascii="Arial" w:hAnsi="Arial" w:cs="Arial"/>
        </w:rPr>
        <w:t>Der</w:t>
      </w:r>
      <w:r>
        <w:rPr>
          <w:rFonts w:ascii="Arial" w:hAnsi="Arial" w:cs="Arial"/>
        </w:rPr>
        <w:t xml:space="preserve">egistration Request and </w:t>
      </w:r>
      <w:r w:rsidR="0090079E">
        <w:rPr>
          <w:rFonts w:ascii="Arial" w:hAnsi="Arial" w:cs="Arial"/>
        </w:rPr>
        <w:t>R</w:t>
      </w:r>
      <w:r>
        <w:rPr>
          <w:rFonts w:ascii="Arial" w:hAnsi="Arial" w:cs="Arial"/>
        </w:rPr>
        <w:t>egistration Request are proposed in the following two CRs, C1-23</w:t>
      </w:r>
      <w:r w:rsidR="009E1BC2">
        <w:rPr>
          <w:rFonts w:ascii="Arial" w:hAnsi="Arial" w:cs="Arial"/>
        </w:rPr>
        <w:t>7391</w:t>
      </w:r>
      <w:r>
        <w:rPr>
          <w:rFonts w:ascii="Arial" w:hAnsi="Arial" w:cs="Arial"/>
        </w:rPr>
        <w:t xml:space="preserve"> as well as C1-23</w:t>
      </w:r>
      <w:r w:rsidR="009E1BC2">
        <w:rPr>
          <w:rFonts w:ascii="Arial" w:hAnsi="Arial" w:cs="Arial"/>
        </w:rPr>
        <w:t>7392</w:t>
      </w:r>
      <w:r>
        <w:rPr>
          <w:rFonts w:ascii="Arial" w:hAnsi="Arial" w:cs="Arial"/>
        </w:rPr>
        <w:t>.</w:t>
      </w:r>
    </w:p>
    <w:sectPr w:rsidR="00BC10BA" w:rsidRPr="00C74AE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95061" w14:textId="77777777" w:rsidR="005D757E" w:rsidRDefault="005D757E">
      <w:r>
        <w:separator/>
      </w:r>
    </w:p>
  </w:endnote>
  <w:endnote w:type="continuationSeparator" w:id="0">
    <w:p w14:paraId="0AFCD621" w14:textId="77777777" w:rsidR="005D757E" w:rsidRDefault="005D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50F70" w14:textId="77777777" w:rsidR="005D757E" w:rsidRDefault="005D757E">
      <w:r>
        <w:separator/>
      </w:r>
    </w:p>
  </w:footnote>
  <w:footnote w:type="continuationSeparator" w:id="0">
    <w:p w14:paraId="45BDB707" w14:textId="77777777" w:rsidR="005D757E" w:rsidRDefault="005D7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E6E0F17"/>
    <w:multiLevelType w:val="hybridMultilevel"/>
    <w:tmpl w:val="C33ED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2"/>
  </w:num>
  <w:num w:numId="2" w16cid:durableId="1633753767">
    <w:abstractNumId w:val="1"/>
  </w:num>
  <w:num w:numId="3" w16cid:durableId="528221516">
    <w:abstractNumId w:val="0"/>
  </w:num>
  <w:num w:numId="4" w16cid:durableId="12138855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62FE"/>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130"/>
    <w:rsid w:val="00416CEA"/>
    <w:rsid w:val="00421AFD"/>
    <w:rsid w:val="00432048"/>
    <w:rsid w:val="004518DB"/>
    <w:rsid w:val="004726C5"/>
    <w:rsid w:val="00477EBC"/>
    <w:rsid w:val="004A0A73"/>
    <w:rsid w:val="004A661C"/>
    <w:rsid w:val="004C38FB"/>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757E"/>
    <w:rsid w:val="005E12F4"/>
    <w:rsid w:val="005E7235"/>
    <w:rsid w:val="005F041C"/>
    <w:rsid w:val="005F4B34"/>
    <w:rsid w:val="00616E18"/>
    <w:rsid w:val="00623AED"/>
    <w:rsid w:val="0062443C"/>
    <w:rsid w:val="00632157"/>
    <w:rsid w:val="00633971"/>
    <w:rsid w:val="0064121E"/>
    <w:rsid w:val="00660354"/>
    <w:rsid w:val="006608E3"/>
    <w:rsid w:val="00665B9B"/>
    <w:rsid w:val="00675557"/>
    <w:rsid w:val="006D3D54"/>
    <w:rsid w:val="006E1A49"/>
    <w:rsid w:val="006F1B00"/>
    <w:rsid w:val="006F4B7A"/>
    <w:rsid w:val="006F7727"/>
    <w:rsid w:val="00700A59"/>
    <w:rsid w:val="00710142"/>
    <w:rsid w:val="00712E81"/>
    <w:rsid w:val="00723919"/>
    <w:rsid w:val="007261D3"/>
    <w:rsid w:val="0073089F"/>
    <w:rsid w:val="0074596C"/>
    <w:rsid w:val="00762474"/>
    <w:rsid w:val="00762F4C"/>
    <w:rsid w:val="0076477A"/>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0079E"/>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1BC2"/>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0F72"/>
    <w:rsid w:val="00B3526C"/>
    <w:rsid w:val="00B47534"/>
    <w:rsid w:val="00B84B54"/>
    <w:rsid w:val="00B92C7D"/>
    <w:rsid w:val="00B93BB2"/>
    <w:rsid w:val="00B9697B"/>
    <w:rsid w:val="00BA46C7"/>
    <w:rsid w:val="00BA4DA4"/>
    <w:rsid w:val="00BB7B45"/>
    <w:rsid w:val="00BC10BA"/>
    <w:rsid w:val="00BC2E5F"/>
    <w:rsid w:val="00BC481E"/>
    <w:rsid w:val="00BC5AF6"/>
    <w:rsid w:val="00BD3E51"/>
    <w:rsid w:val="00BF0A84"/>
    <w:rsid w:val="00C03706"/>
    <w:rsid w:val="00C03F46"/>
    <w:rsid w:val="00C159BC"/>
    <w:rsid w:val="00C15A54"/>
    <w:rsid w:val="00C2214E"/>
    <w:rsid w:val="00C2519B"/>
    <w:rsid w:val="00C31076"/>
    <w:rsid w:val="00C3782E"/>
    <w:rsid w:val="00C404D1"/>
    <w:rsid w:val="00C42176"/>
    <w:rsid w:val="00C52914"/>
    <w:rsid w:val="00C5567D"/>
    <w:rsid w:val="00C63F06"/>
    <w:rsid w:val="00C6590B"/>
    <w:rsid w:val="00C7131F"/>
    <w:rsid w:val="00C74AE1"/>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C74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543</Words>
  <Characters>3097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Behrouz2</cp:lastModifiedBy>
  <cp:revision>8</cp:revision>
  <cp:lastPrinted>2001-04-23T09:30:00Z</cp:lastPrinted>
  <dcterms:created xsi:type="dcterms:W3CDTF">2023-09-29T04:52:00Z</dcterms:created>
  <dcterms:modified xsi:type="dcterms:W3CDTF">2023-10-02T00:54:00Z</dcterms:modified>
</cp:coreProperties>
</file>