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54A1" w14:textId="718E2C5C" w:rsidR="00E77CD3" w:rsidRDefault="00E77CD3" w:rsidP="00E77CD3">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Pr="00E77CD3">
        <w:rPr>
          <w:b/>
          <w:bCs/>
          <w:noProof/>
          <w:sz w:val="24"/>
        </w:rPr>
        <w:t>1590</w:t>
      </w:r>
    </w:p>
    <w:p w14:paraId="17AC757D" w14:textId="77777777" w:rsidR="00E77CD3" w:rsidRDefault="00E77CD3" w:rsidP="00E77CD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B6D23DB" w14:textId="77777777" w:rsidR="00E77CD3" w:rsidRDefault="00E77CD3">
      <w:pPr>
        <w:pStyle w:val="CRCoverPage"/>
        <w:tabs>
          <w:tab w:val="right" w:pos="9639"/>
        </w:tabs>
        <w:spacing w:after="0"/>
        <w:rPr>
          <w:rFonts w:cs="Arial"/>
          <w:b/>
          <w:sz w:val="24"/>
          <w:szCs w:val="28"/>
        </w:rPr>
      </w:pPr>
    </w:p>
    <w:p w14:paraId="765102B5" w14:textId="39FA52E0" w:rsidR="005A54B3" w:rsidRDefault="00D76A88">
      <w:pPr>
        <w:pStyle w:val="CRCoverPage"/>
        <w:tabs>
          <w:tab w:val="right" w:pos="9639"/>
        </w:tabs>
        <w:spacing w:after="0"/>
        <w:rPr>
          <w:rFonts w:cs="Arial"/>
          <w:b/>
          <w:sz w:val="28"/>
          <w:szCs w:val="28"/>
        </w:rPr>
      </w:pPr>
      <w:r>
        <w:rPr>
          <w:rFonts w:cs="Arial"/>
          <w:b/>
          <w:sz w:val="24"/>
          <w:szCs w:val="28"/>
        </w:rPr>
        <w:t>3GPP TSG-RAN WG3 Meeting #114bis-e</w:t>
      </w:r>
      <w:r>
        <w:rPr>
          <w:rFonts w:cs="Arial"/>
          <w:b/>
          <w:i/>
          <w:sz w:val="24"/>
          <w:szCs w:val="28"/>
        </w:rPr>
        <w:tab/>
      </w:r>
      <w:r>
        <w:rPr>
          <w:rFonts w:cs="Arial"/>
          <w:b/>
          <w:sz w:val="28"/>
          <w:szCs w:val="28"/>
        </w:rPr>
        <w:t>R3-221463</w:t>
      </w:r>
    </w:p>
    <w:p w14:paraId="1CE1D503" w14:textId="77777777" w:rsidR="005A54B3" w:rsidRDefault="00D76A88">
      <w:pPr>
        <w:pStyle w:val="CRCoverPage"/>
        <w:tabs>
          <w:tab w:val="right" w:pos="9639"/>
        </w:tabs>
        <w:spacing w:after="0"/>
        <w:rPr>
          <w:rFonts w:cs="Arial"/>
          <w:b/>
          <w:iCs/>
          <w:sz w:val="24"/>
          <w:szCs w:val="28"/>
        </w:rPr>
      </w:pPr>
      <w:r>
        <w:rPr>
          <w:rFonts w:cs="Arial"/>
          <w:b/>
          <w:iCs/>
          <w:sz w:val="24"/>
          <w:szCs w:val="28"/>
        </w:rPr>
        <w:t>Online, January 17</w:t>
      </w:r>
      <w:r>
        <w:rPr>
          <w:rFonts w:cs="Arial"/>
          <w:b/>
          <w:iCs/>
          <w:sz w:val="24"/>
          <w:szCs w:val="28"/>
          <w:vertAlign w:val="superscript"/>
        </w:rPr>
        <w:t>th</w:t>
      </w:r>
      <w:r>
        <w:rPr>
          <w:rFonts w:cs="Arial"/>
          <w:b/>
          <w:iCs/>
          <w:sz w:val="24"/>
          <w:szCs w:val="28"/>
        </w:rPr>
        <w:t xml:space="preserve"> – 26</w:t>
      </w:r>
      <w:r>
        <w:rPr>
          <w:rFonts w:cs="Arial"/>
          <w:b/>
          <w:iCs/>
          <w:sz w:val="24"/>
          <w:szCs w:val="28"/>
          <w:vertAlign w:val="superscript"/>
        </w:rPr>
        <w:t>th</w:t>
      </w:r>
      <w:r>
        <w:rPr>
          <w:rFonts w:cs="Arial"/>
          <w:b/>
          <w:iCs/>
          <w:sz w:val="24"/>
          <w:szCs w:val="28"/>
        </w:rPr>
        <w:t xml:space="preserve"> 2022</w:t>
      </w:r>
    </w:p>
    <w:p w14:paraId="1EB5A64A" w14:textId="77777777" w:rsidR="005A54B3" w:rsidRDefault="005A54B3">
      <w:pPr>
        <w:pStyle w:val="CRCoverPage"/>
        <w:tabs>
          <w:tab w:val="right" w:pos="9639"/>
        </w:tabs>
        <w:spacing w:after="0"/>
        <w:rPr>
          <w:b/>
          <w:i/>
          <w:sz w:val="24"/>
          <w:szCs w:val="28"/>
        </w:rPr>
      </w:pPr>
    </w:p>
    <w:p w14:paraId="39B92253"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theme="minorHAnsi"/>
          <w:bCs/>
          <w:sz w:val="22"/>
          <w:szCs w:val="22"/>
        </w:rPr>
        <w:t>LS on Support</w:t>
      </w:r>
      <w:r>
        <w:rPr>
          <w:rFonts w:asciiTheme="minorHAnsi" w:hAnsiTheme="minorHAnsi" w:cstheme="minorHAnsi"/>
          <w:sz w:val="22"/>
          <w:szCs w:val="22"/>
        </w:rPr>
        <w:t xml:space="preserve"> for Configuration and Reporting of RAN Visible QoE Measurements</w:t>
      </w:r>
    </w:p>
    <w:p w14:paraId="0E66A1E6"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125D9C92"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2C4C405E" w14:textId="25256742" w:rsidR="005A54B3" w:rsidRDefault="00D76A88">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Work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E-Core</w:t>
      </w:r>
    </w:p>
    <w:p w14:paraId="044E19E3"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4343D4BC" w14:textId="77777777" w:rsidR="005A54B3" w:rsidRDefault="00D76A88">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CT1</w:t>
      </w:r>
    </w:p>
    <w:p w14:paraId="1C44FDC6" w14:textId="77777777" w:rsidR="005A54B3" w:rsidRDefault="00D76A88">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t>RAN2, SA4</w:t>
      </w:r>
    </w:p>
    <w:p w14:paraId="1DC867BA" w14:textId="77777777" w:rsidR="005A54B3" w:rsidRDefault="00D76A88">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2C401965" w14:textId="77777777" w:rsidR="005A54B3" w:rsidRDefault="00D76A88">
      <w:pPr>
        <w:pStyle w:val="paragraph"/>
        <w:spacing w:before="0" w:beforeAutospacing="0" w:after="0" w:afterAutospacing="0"/>
        <w:ind w:left="540" w:hanging="180"/>
        <w:textAlignment w:val="baseline"/>
        <w:rPr>
          <w:rFonts w:asciiTheme="minorHAnsi" w:hAnsiTheme="minorHAnsi" w:cs="Calibri"/>
          <w:bCs/>
          <w:sz w:val="22"/>
          <w:szCs w:val="22"/>
          <w:lang w:val="sr-Latn-RS"/>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w:t>
      </w:r>
      <w:r>
        <w:rPr>
          <w:rFonts w:asciiTheme="minorHAnsi" w:hAnsiTheme="minorHAnsi" w:cs="Calibri"/>
          <w:bCs/>
          <w:sz w:val="22"/>
          <w:szCs w:val="22"/>
          <w:lang w:val="sr-Latn-RS"/>
        </w:rPr>
        <w:t>ć</w:t>
      </w:r>
    </w:p>
    <w:p w14:paraId="321B14D4" w14:textId="77777777" w:rsidR="005A54B3" w:rsidRDefault="00D76A88">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53FADA63" w14:textId="77777777" w:rsidR="005A54B3" w:rsidRDefault="00D76A88">
      <w:pPr>
        <w:pStyle w:val="paragraph"/>
        <w:spacing w:before="0" w:beforeAutospacing="0" w:after="0" w:afterAutospacing="0"/>
        <w:ind w:left="1980" w:hanging="1980"/>
        <w:textAlignment w:val="baseline"/>
        <w:rPr>
          <w:rFonts w:asciiTheme="minorHAnsi" w:hAnsiTheme="minorHAnsi" w:cs="Calibri"/>
          <w:sz w:val="22"/>
          <w:szCs w:val="22"/>
          <w:lang w:val="en-US"/>
        </w:rPr>
      </w:pPr>
      <w:r>
        <w:rPr>
          <w:rStyle w:val="eop"/>
          <w:rFonts w:asciiTheme="minorHAnsi" w:hAnsiTheme="minorHAnsi" w:cs="Calibri"/>
          <w:sz w:val="22"/>
          <w:szCs w:val="22"/>
          <w:lang w:val="en-US"/>
        </w:rPr>
        <w:t> </w:t>
      </w:r>
    </w:p>
    <w:p w14:paraId="5998EBD8" w14:textId="77777777" w:rsidR="005A54B3" w:rsidRDefault="00D76A88">
      <w:pPr>
        <w:pStyle w:val="paragraph"/>
        <w:spacing w:before="0" w:beforeAutospacing="0" w:after="0" w:afterAutospacing="0"/>
        <w:textAlignment w:val="baseline"/>
        <w:rPr>
          <w:rStyle w:val="normaltextrun"/>
          <w:b/>
          <w:bCs/>
          <w:color w:val="0000FF"/>
          <w:lang w:val="en-GB"/>
        </w:rPr>
      </w:pPr>
      <w:r>
        <w:rPr>
          <w:rStyle w:val="normaltextrun"/>
          <w:rFonts w:asciiTheme="minorHAnsi" w:hAnsiTheme="minorHAnsi" w:cs="Calibri"/>
          <w:b/>
          <w:bCs/>
          <w:sz w:val="22"/>
          <w:szCs w:val="22"/>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rPr>
          <w:t>mailto:3GPPLiaison@etsi.org</w:t>
        </w:r>
      </w:hyperlink>
    </w:p>
    <w:p w14:paraId="5A9C9C2D" w14:textId="77777777" w:rsidR="005A54B3" w:rsidRDefault="00D76A88">
      <w:pPr>
        <w:pStyle w:val="Header"/>
        <w:jc w:val="left"/>
        <w:rPr>
          <w:rFonts w:cs="Arial"/>
        </w:rPr>
      </w:pPr>
      <w:r>
        <w:rPr>
          <w:rFonts w:asciiTheme="minorHAnsi" w:hAnsiTheme="minorHAnsi" w:cs="Arial"/>
          <w:b/>
          <w:sz w:val="22"/>
          <w:szCs w:val="22"/>
        </w:rPr>
        <w:t xml:space="preserve">                         </w:t>
      </w:r>
    </w:p>
    <w:p w14:paraId="45205AF7" w14:textId="77777777" w:rsidR="005A54B3" w:rsidRDefault="00D76A88">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054E8FCC" w14:textId="77777777" w:rsidR="005A54B3" w:rsidRDefault="005A54B3">
      <w:pPr>
        <w:pBdr>
          <w:bottom w:val="single" w:sz="4" w:space="1" w:color="auto"/>
        </w:pBdr>
        <w:jc w:val="left"/>
        <w:rPr>
          <w:rFonts w:cs="Arial"/>
        </w:rPr>
      </w:pPr>
    </w:p>
    <w:p w14:paraId="31EF4553" w14:textId="77777777" w:rsidR="005A54B3" w:rsidRDefault="005A54B3">
      <w:pPr>
        <w:jc w:val="left"/>
        <w:rPr>
          <w:rFonts w:cs="Arial"/>
          <w:b/>
        </w:rPr>
      </w:pPr>
    </w:p>
    <w:p w14:paraId="43434E2E" w14:textId="77777777" w:rsidR="005A54B3" w:rsidRDefault="00D76A88">
      <w:pPr>
        <w:jc w:val="left"/>
        <w:rPr>
          <w:rFonts w:asciiTheme="minorHAnsi" w:hAnsiTheme="minorHAnsi" w:cs="Arial"/>
          <w:b/>
          <w:sz w:val="24"/>
          <w:szCs w:val="24"/>
        </w:rPr>
      </w:pPr>
      <w:r>
        <w:rPr>
          <w:rFonts w:asciiTheme="minorHAnsi" w:hAnsiTheme="minorHAnsi" w:cs="Arial"/>
          <w:b/>
          <w:sz w:val="24"/>
          <w:szCs w:val="24"/>
        </w:rPr>
        <w:t>1. Overall description</w:t>
      </w:r>
    </w:p>
    <w:p w14:paraId="081B0A10"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 the legacy QoE management framework (defined for UTRA and E-UTRA), the QoE measurement configuration and the QoE measurement report are delivered from the network to the UE and from the UE to the network, respectively, inside containers (i.e., XML files) whose contents are not visible to the RAN. CT1 has, in the specification TS 27.007, defined the AT commands +CAPPLEVMC and +CAPPLEVMR for delivering the QoE configuration and report containers between the UE AS and the UE Application layer.</w:t>
      </w:r>
    </w:p>
    <w:p w14:paraId="105DC901"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In the Rel-17 RAN2/3 Work Item on “NR QoE management and optimizations for diverse services”, RAN3 agreed to support the concept </w:t>
      </w:r>
      <w:r>
        <w:rPr>
          <w:rFonts w:asciiTheme="minorHAnsi" w:hAnsiTheme="minorHAnsi" w:cs="Arial"/>
          <w:i/>
          <w:iCs/>
          <w:color w:val="000000"/>
          <w:sz w:val="22"/>
          <w:szCs w:val="22"/>
          <w:lang w:val="en-US"/>
        </w:rPr>
        <w:t>RAN visible QoE measurements</w:t>
      </w:r>
      <w:r>
        <w:rPr>
          <w:rFonts w:asciiTheme="minorHAnsi" w:hAnsiTheme="minorHAnsi" w:cs="Arial"/>
          <w:color w:val="000000"/>
          <w:sz w:val="22"/>
          <w:szCs w:val="22"/>
          <w:lang w:val="en-US"/>
        </w:rPr>
        <w:t>, where:</w:t>
      </w:r>
    </w:p>
    <w:p w14:paraId="78F4DFE3"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The RAN assembles a RAN visible QoE measurement configuration and delivers it to the UE AS, which then delivers it to the UE Application layer.</w:t>
      </w:r>
    </w:p>
    <w:p w14:paraId="653DEDF7"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UE Application layer delivers the RAN visible QoE measurement report to the UE AS, which </w:t>
      </w:r>
      <w:r>
        <w:rPr>
          <w:rFonts w:asciiTheme="minorHAnsi" w:eastAsia="SimSun" w:hAnsiTheme="minorHAnsi" w:cs="Arial" w:hint="eastAsia"/>
          <w:color w:val="000000"/>
          <w:sz w:val="22"/>
          <w:szCs w:val="22"/>
          <w:lang w:val="en-US"/>
        </w:rPr>
        <w:t xml:space="preserve">then </w:t>
      </w:r>
      <w:r>
        <w:rPr>
          <w:rFonts w:asciiTheme="minorHAnsi" w:hAnsiTheme="minorHAnsi" w:cs="Arial"/>
          <w:color w:val="000000"/>
          <w:sz w:val="22"/>
          <w:szCs w:val="22"/>
          <w:lang w:val="en-US"/>
        </w:rPr>
        <w:t xml:space="preserve">delivers </w:t>
      </w:r>
      <w:r>
        <w:rPr>
          <w:rFonts w:asciiTheme="minorHAnsi" w:eastAsia="SimSun" w:hAnsiTheme="minorHAnsi" w:cs="Arial" w:hint="eastAsia"/>
          <w:color w:val="000000"/>
          <w:sz w:val="22"/>
          <w:szCs w:val="22"/>
          <w:lang w:val="en-US"/>
        </w:rPr>
        <w:t>the report</w:t>
      </w:r>
      <w:r>
        <w:rPr>
          <w:rFonts w:asciiTheme="minorHAnsi" w:hAnsiTheme="minorHAnsi" w:cs="Arial"/>
          <w:color w:val="000000"/>
          <w:sz w:val="22"/>
          <w:szCs w:val="22"/>
          <w:lang w:val="en-US"/>
        </w:rPr>
        <w:t xml:space="preserve"> to the RAN. The RAN can use the corresponding reports for various types of optimizations. </w:t>
      </w:r>
    </w:p>
    <w:p w14:paraId="13DF0928" w14:textId="77777777" w:rsidR="005A54B3" w:rsidRDefault="00D76A88">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To enable RAN visible QoE measurements, the RAN visible QoE measurement configuration and RAN visible QoE report can be delivered between the UE AS and the UE Application layer separately from the XML files </w:t>
      </w:r>
      <w:r>
        <w:rPr>
          <w:rFonts w:asciiTheme="minorHAnsi" w:hAnsiTheme="minorHAnsi" w:cstheme="minorHAnsi"/>
          <w:color w:val="000000"/>
          <w:sz w:val="22"/>
          <w:szCs w:val="22"/>
          <w:lang w:val="en-US"/>
        </w:rPr>
        <w:t xml:space="preserve">containing the legacy QoE measurement configuration and legacy QoE measurement report. So, the RAN visible QoE configuration and report can be transferred without any corresponding legacy QoE configuration and report being included in the same AT command. </w:t>
      </w:r>
    </w:p>
    <w:p w14:paraId="6E6EF0A3" w14:textId="77777777" w:rsidR="005A54B3" w:rsidRDefault="00D76A88">
      <w:pPr>
        <w:ind w:left="50"/>
        <w:jc w:val="left"/>
        <w:rPr>
          <w:rFonts w:asciiTheme="minorHAnsi" w:hAnsiTheme="minorHAnsi" w:cs="Arial"/>
          <w:bCs/>
          <w:sz w:val="22"/>
          <w:szCs w:val="22"/>
          <w:lang w:val="en-US"/>
        </w:rPr>
      </w:pPr>
      <w:r>
        <w:rPr>
          <w:rFonts w:asciiTheme="minorHAnsi" w:hAnsiTheme="minorHAnsi" w:cs="Arial"/>
          <w:bCs/>
          <w:sz w:val="22"/>
          <w:szCs w:val="22"/>
          <w:lang w:val="en-US"/>
        </w:rPr>
        <w:t xml:space="preserve">In addition to the RAN visible QoE measurements, the ID of the PDU session </w:t>
      </w:r>
      <w:r w:rsidR="00EE4883">
        <w:rPr>
          <w:rFonts w:asciiTheme="minorHAnsi" w:hAnsiTheme="minorHAnsi" w:cs="Arial"/>
          <w:bCs/>
          <w:sz w:val="22"/>
          <w:szCs w:val="22"/>
          <w:lang w:val="en-US"/>
        </w:rPr>
        <w:t xml:space="preserve">used by the corresponding measured service </w:t>
      </w:r>
      <w:r>
        <w:rPr>
          <w:rFonts w:asciiTheme="minorHAnsi" w:hAnsiTheme="minorHAnsi" w:cs="Arial"/>
          <w:bCs/>
          <w:sz w:val="22"/>
          <w:szCs w:val="22"/>
          <w:lang w:val="en-US"/>
        </w:rPr>
        <w:t>also needs to be included in the RAN visible QoE report.</w:t>
      </w:r>
    </w:p>
    <w:p w14:paraId="31128464" w14:textId="26F71ACE" w:rsidR="005A54B3" w:rsidRDefault="00D76A88">
      <w:pPr>
        <w:ind w:left="50"/>
        <w:jc w:val="left"/>
        <w:rPr>
          <w:rFonts w:asciiTheme="minorHAnsi" w:hAnsiTheme="minorHAnsi" w:cs="Arial"/>
          <w:color w:val="000000"/>
          <w:sz w:val="22"/>
          <w:szCs w:val="22"/>
          <w:lang w:val="en-US"/>
        </w:rPr>
      </w:pPr>
      <w:r>
        <w:rPr>
          <w:rFonts w:asciiTheme="minorHAnsi" w:hAnsiTheme="minorHAnsi" w:cs="Arial"/>
          <w:bCs/>
          <w:sz w:val="22"/>
          <w:szCs w:val="22"/>
          <w:lang w:val="en-US"/>
        </w:rPr>
        <w:t>The above</w:t>
      </w:r>
      <w:r>
        <w:rPr>
          <w:rFonts w:asciiTheme="minorHAnsi" w:eastAsia="SimSun" w:hAnsiTheme="minorHAnsi" w:cs="Arial" w:hint="eastAsia"/>
          <w:bCs/>
          <w:sz w:val="22"/>
          <w:szCs w:val="22"/>
          <w:lang w:val="en-US"/>
        </w:rPr>
        <w:t xml:space="preserve"> </w:t>
      </w:r>
      <w:r>
        <w:rPr>
          <w:rFonts w:asciiTheme="minorHAnsi" w:hAnsiTheme="minorHAnsi" w:cs="Arial"/>
          <w:bCs/>
          <w:sz w:val="22"/>
          <w:szCs w:val="22"/>
          <w:lang w:val="en-US"/>
        </w:rPr>
        <w:t xml:space="preserve">requires to be supported in AT commands. </w:t>
      </w:r>
      <w:r>
        <w:rPr>
          <w:rFonts w:asciiTheme="minorHAnsi" w:hAnsiTheme="minorHAnsi" w:cs="Arial"/>
          <w:color w:val="000000"/>
          <w:sz w:val="22"/>
          <w:szCs w:val="22"/>
        </w:rPr>
        <w:t>RAN2 will provide the detailed content of the RAN visible QoE configuration and report, once they complete their work.</w:t>
      </w:r>
    </w:p>
    <w:p w14:paraId="2E6DCED0" w14:textId="77777777" w:rsidR="005A54B3" w:rsidRDefault="00D76A88">
      <w:pPr>
        <w:jc w:val="left"/>
        <w:rPr>
          <w:rFonts w:asciiTheme="minorHAnsi" w:hAnsiTheme="minorHAnsi" w:cs="Arial"/>
          <w:b/>
          <w:sz w:val="24"/>
          <w:szCs w:val="24"/>
        </w:rPr>
      </w:pPr>
      <w:r>
        <w:rPr>
          <w:rFonts w:asciiTheme="minorHAnsi" w:hAnsiTheme="minorHAnsi" w:cs="Arial"/>
          <w:b/>
          <w:sz w:val="24"/>
          <w:szCs w:val="24"/>
        </w:rPr>
        <w:lastRenderedPageBreak/>
        <w:t>2. Actions:</w:t>
      </w:r>
    </w:p>
    <w:p w14:paraId="45A3DD46" w14:textId="77777777" w:rsidR="005A54B3" w:rsidRDefault="00D76A88">
      <w:pPr>
        <w:ind w:left="1985" w:hanging="1985"/>
        <w:jc w:val="left"/>
        <w:rPr>
          <w:rFonts w:asciiTheme="minorHAnsi" w:hAnsiTheme="minorHAnsi" w:cs="Arial"/>
          <w:b/>
          <w:sz w:val="22"/>
          <w:szCs w:val="22"/>
        </w:rPr>
      </w:pPr>
      <w:r>
        <w:rPr>
          <w:rFonts w:asciiTheme="minorHAnsi" w:hAnsiTheme="minorHAnsi" w:cs="Arial"/>
          <w:b/>
          <w:sz w:val="22"/>
          <w:szCs w:val="22"/>
        </w:rPr>
        <w:t xml:space="preserve">To 3GPP CT1: </w:t>
      </w:r>
    </w:p>
    <w:p w14:paraId="3A6CACDB" w14:textId="62858C6A" w:rsidR="005A54B3" w:rsidRDefault="00D76A88">
      <w:pPr>
        <w:jc w:val="left"/>
        <w:rPr>
          <w:rFonts w:asciiTheme="minorHAnsi" w:hAnsiTheme="minorHAnsi" w:cs="Arial"/>
          <w:color w:val="000000"/>
          <w:sz w:val="22"/>
          <w:szCs w:val="22"/>
        </w:rPr>
      </w:pPr>
      <w:r>
        <w:rPr>
          <w:rFonts w:asciiTheme="minorHAnsi" w:hAnsiTheme="minorHAnsi" w:cs="Arial"/>
          <w:color w:val="000000"/>
          <w:sz w:val="22"/>
          <w:szCs w:val="22"/>
        </w:rPr>
        <w:t>Given that it is necessary to deliver the RAN visible QoE configuration</w:t>
      </w:r>
      <w:r>
        <w:rPr>
          <w:rFonts w:asciiTheme="minorHAnsi" w:eastAsia="SimSun" w:hAnsiTheme="minorHAnsi" w:cs="Arial"/>
          <w:color w:val="000000"/>
          <w:sz w:val="22"/>
          <w:szCs w:val="22"/>
          <w:lang w:val="en-US"/>
        </w:rPr>
        <w:t xml:space="preserve"> and</w:t>
      </w:r>
      <w:r>
        <w:rPr>
          <w:rFonts w:asciiTheme="minorHAnsi" w:eastAsia="SimSun" w:hAnsiTheme="minorHAnsi" w:cs="Arial" w:hint="eastAsia"/>
          <w:color w:val="000000"/>
          <w:sz w:val="22"/>
          <w:szCs w:val="22"/>
          <w:lang w:val="en-US"/>
        </w:rPr>
        <w:t xml:space="preserve"> RAN visible QoE </w:t>
      </w:r>
      <w:r>
        <w:rPr>
          <w:rFonts w:asciiTheme="minorHAnsi" w:hAnsiTheme="minorHAnsi" w:cs="Arial"/>
          <w:color w:val="000000"/>
          <w:sz w:val="22"/>
          <w:szCs w:val="22"/>
        </w:rPr>
        <w:t>report between the UE AS and the UE Application layer, RAN3 respectfully asks CT1 to specify the corresponding AT commands. RAN2 will provide the detailed content of the RAN visible QoE configuration and report, once they complete their work.</w:t>
      </w:r>
    </w:p>
    <w:p w14:paraId="76303302" w14:textId="77777777" w:rsidR="005A54B3" w:rsidRDefault="005A54B3">
      <w:pPr>
        <w:jc w:val="left"/>
        <w:rPr>
          <w:rFonts w:asciiTheme="minorHAnsi" w:hAnsiTheme="minorHAnsi" w:cstheme="minorHAnsi"/>
          <w:b/>
          <w:sz w:val="24"/>
          <w:szCs w:val="24"/>
        </w:rPr>
      </w:pPr>
    </w:p>
    <w:p w14:paraId="3221D1AF" w14:textId="77777777" w:rsidR="005A54B3" w:rsidRDefault="00D76A88">
      <w:pPr>
        <w:jc w:val="left"/>
        <w:rPr>
          <w:rFonts w:asciiTheme="minorHAnsi" w:hAnsiTheme="minorHAnsi" w:cstheme="minorHAnsi"/>
          <w:b/>
          <w:sz w:val="24"/>
          <w:szCs w:val="24"/>
        </w:rPr>
      </w:pPr>
      <w:r>
        <w:rPr>
          <w:rFonts w:asciiTheme="minorHAnsi" w:hAnsiTheme="minorHAnsi" w:cstheme="minorHAnsi"/>
          <w:b/>
          <w:sz w:val="24"/>
          <w:szCs w:val="24"/>
        </w:rPr>
        <w:t>3. Date of next TSG RAN WG3 meeting:</w:t>
      </w:r>
    </w:p>
    <w:p w14:paraId="5675E716" w14:textId="77777777" w:rsidR="005A54B3" w:rsidRDefault="00D76A88">
      <w:pPr>
        <w:pStyle w:val="Footer"/>
        <w:tabs>
          <w:tab w:val="left" w:pos="2410"/>
          <w:tab w:val="left" w:pos="5103"/>
          <w:tab w:val="left" w:pos="7371"/>
        </w:tabs>
        <w:jc w:val="left"/>
        <w:rPr>
          <w:rFonts w:asciiTheme="minorHAnsi" w:hAnsiTheme="minorHAnsi"/>
          <w:b w:val="0"/>
          <w:i w:val="0"/>
          <w:sz w:val="22"/>
          <w:szCs w:val="22"/>
        </w:rPr>
      </w:pPr>
      <w:r>
        <w:rPr>
          <w:rFonts w:asciiTheme="minorHAnsi" w:hAnsiTheme="minorHAnsi"/>
          <w:b w:val="0"/>
          <w:i w:val="0"/>
          <w:sz w:val="22"/>
          <w:szCs w:val="22"/>
        </w:rPr>
        <w:t>RAN3#115-e                         February 21</w:t>
      </w:r>
      <w:r>
        <w:rPr>
          <w:rFonts w:asciiTheme="minorHAnsi" w:hAnsiTheme="minorHAnsi"/>
          <w:b w:val="0"/>
          <w:i w:val="0"/>
          <w:sz w:val="22"/>
          <w:szCs w:val="22"/>
          <w:vertAlign w:val="superscript"/>
        </w:rPr>
        <w:t xml:space="preserve">st </w:t>
      </w:r>
      <w:r>
        <w:rPr>
          <w:rFonts w:asciiTheme="minorHAnsi" w:hAnsiTheme="minorHAnsi"/>
          <w:b w:val="0"/>
          <w:i w:val="0"/>
          <w:sz w:val="22"/>
          <w:szCs w:val="22"/>
        </w:rPr>
        <w:t>- March 3</w:t>
      </w:r>
      <w:r>
        <w:rPr>
          <w:rFonts w:asciiTheme="minorHAnsi" w:hAnsiTheme="minorHAnsi"/>
          <w:b w:val="0"/>
          <w:i w:val="0"/>
          <w:sz w:val="22"/>
          <w:szCs w:val="22"/>
          <w:vertAlign w:val="superscript"/>
        </w:rPr>
        <w:t>rd</w:t>
      </w:r>
      <w:r>
        <w:rPr>
          <w:rFonts w:asciiTheme="minorHAnsi" w:hAnsiTheme="minorHAnsi"/>
          <w:b w:val="0"/>
          <w:i w:val="0"/>
          <w:sz w:val="22"/>
          <w:szCs w:val="22"/>
        </w:rPr>
        <w:t xml:space="preserve"> 2022</w:t>
      </w:r>
      <w:r>
        <w:rPr>
          <w:rFonts w:asciiTheme="minorHAnsi" w:hAnsiTheme="minorHAnsi"/>
          <w:b w:val="0"/>
          <w:i w:val="0"/>
          <w:sz w:val="22"/>
          <w:szCs w:val="22"/>
        </w:rPr>
        <w:tab/>
      </w:r>
      <w:r>
        <w:rPr>
          <w:rFonts w:asciiTheme="minorHAnsi" w:hAnsiTheme="minorHAnsi"/>
          <w:b w:val="0"/>
          <w:i w:val="0"/>
          <w:sz w:val="22"/>
          <w:szCs w:val="22"/>
        </w:rPr>
        <w:tab/>
        <w:t>Online</w:t>
      </w:r>
    </w:p>
    <w:p w14:paraId="042F1FE5" w14:textId="77777777" w:rsidR="005A54B3" w:rsidRDefault="005A54B3">
      <w:pPr>
        <w:rPr>
          <w:lang w:val="en-US"/>
        </w:rPr>
      </w:pPr>
    </w:p>
    <w:sectPr w:rsidR="005A54B3">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6AE76" w14:textId="77777777" w:rsidR="00C23560" w:rsidRDefault="00C23560">
      <w:pPr>
        <w:spacing w:after="0" w:line="240" w:lineRule="auto"/>
      </w:pPr>
      <w:r>
        <w:separator/>
      </w:r>
    </w:p>
  </w:endnote>
  <w:endnote w:type="continuationSeparator" w:id="0">
    <w:p w14:paraId="147D4515" w14:textId="77777777" w:rsidR="00C23560" w:rsidRDefault="00C23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sdtPr>
    <w:sdtEndPr/>
    <w:sdtContent>
      <w:p w14:paraId="26D82A1D" w14:textId="77777777" w:rsidR="005A54B3" w:rsidRDefault="00D76A88">
        <w:pPr>
          <w:pStyle w:val="Footer"/>
        </w:pPr>
        <w:r>
          <w:fldChar w:fldCharType="begin"/>
        </w:r>
        <w:r>
          <w:instrText xml:space="preserve"> PAGE   \* MERGEFORMAT </w:instrText>
        </w:r>
        <w:r>
          <w:fldChar w:fldCharType="separate"/>
        </w:r>
        <w:r w:rsidR="00EE4883">
          <w:rPr>
            <w:noProof/>
          </w:rPr>
          <w:t>2</w:t>
        </w:r>
        <w:r>
          <w:fldChar w:fldCharType="end"/>
        </w:r>
      </w:p>
    </w:sdtContent>
  </w:sdt>
  <w:p w14:paraId="4DD44FA9" w14:textId="77777777" w:rsidR="005A54B3" w:rsidRDefault="005A54B3">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F0AE" w14:textId="77777777" w:rsidR="00C23560" w:rsidRDefault="00C23560">
      <w:pPr>
        <w:spacing w:after="0" w:line="240" w:lineRule="auto"/>
      </w:pPr>
      <w:r>
        <w:separator/>
      </w:r>
    </w:p>
  </w:footnote>
  <w:footnote w:type="continuationSeparator" w:id="0">
    <w:p w14:paraId="7334BE72" w14:textId="77777777" w:rsidR="00C23560" w:rsidRDefault="00C235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701C" w14:textId="77777777" w:rsidR="005A54B3" w:rsidRDefault="00D76A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62D3EDB"/>
    <w:multiLevelType w:val="multilevel"/>
    <w:tmpl w:val="262D3ED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6261"/>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7FF"/>
    <w:rsid w:val="00030BBF"/>
    <w:rsid w:val="00031799"/>
    <w:rsid w:val="000317C5"/>
    <w:rsid w:val="00031859"/>
    <w:rsid w:val="00032007"/>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03E7"/>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6BA"/>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85D"/>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2FA"/>
    <w:rsid w:val="0007378B"/>
    <w:rsid w:val="0007478F"/>
    <w:rsid w:val="000747FA"/>
    <w:rsid w:val="000754B4"/>
    <w:rsid w:val="000754FF"/>
    <w:rsid w:val="000757A7"/>
    <w:rsid w:val="00075D1E"/>
    <w:rsid w:val="00076199"/>
    <w:rsid w:val="0007689B"/>
    <w:rsid w:val="00076E29"/>
    <w:rsid w:val="00076EF0"/>
    <w:rsid w:val="00077E1A"/>
    <w:rsid w:val="00080C1E"/>
    <w:rsid w:val="000813A1"/>
    <w:rsid w:val="0008167C"/>
    <w:rsid w:val="00081803"/>
    <w:rsid w:val="00081D06"/>
    <w:rsid w:val="00081D9B"/>
    <w:rsid w:val="000825DE"/>
    <w:rsid w:val="0008290F"/>
    <w:rsid w:val="00082BC9"/>
    <w:rsid w:val="00082C71"/>
    <w:rsid w:val="00082F84"/>
    <w:rsid w:val="00083679"/>
    <w:rsid w:val="0008394C"/>
    <w:rsid w:val="00083A92"/>
    <w:rsid w:val="00083C41"/>
    <w:rsid w:val="00084A3B"/>
    <w:rsid w:val="00084A8E"/>
    <w:rsid w:val="00084AA2"/>
    <w:rsid w:val="00084C5D"/>
    <w:rsid w:val="000851B8"/>
    <w:rsid w:val="0008539D"/>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6EB"/>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5C8"/>
    <w:rsid w:val="000D58CE"/>
    <w:rsid w:val="000D5908"/>
    <w:rsid w:val="000D5CD9"/>
    <w:rsid w:val="000D61C8"/>
    <w:rsid w:val="000D6382"/>
    <w:rsid w:val="000D6A5C"/>
    <w:rsid w:val="000D6F9D"/>
    <w:rsid w:val="000D7206"/>
    <w:rsid w:val="000D7348"/>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E53"/>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E84"/>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1289"/>
    <w:rsid w:val="00241FEC"/>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0B8"/>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3A80"/>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27D6"/>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489E"/>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23F7"/>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52A"/>
    <w:rsid w:val="004139B5"/>
    <w:rsid w:val="004145A8"/>
    <w:rsid w:val="004146E3"/>
    <w:rsid w:val="00414B9D"/>
    <w:rsid w:val="00414C8B"/>
    <w:rsid w:val="00414E48"/>
    <w:rsid w:val="0041535F"/>
    <w:rsid w:val="004153F1"/>
    <w:rsid w:val="00415578"/>
    <w:rsid w:val="00415A53"/>
    <w:rsid w:val="0041684F"/>
    <w:rsid w:val="00416A80"/>
    <w:rsid w:val="00417615"/>
    <w:rsid w:val="00417E64"/>
    <w:rsid w:val="00420601"/>
    <w:rsid w:val="00420A85"/>
    <w:rsid w:val="00422F91"/>
    <w:rsid w:val="00423600"/>
    <w:rsid w:val="004237C6"/>
    <w:rsid w:val="00423852"/>
    <w:rsid w:val="00423A00"/>
    <w:rsid w:val="004248EC"/>
    <w:rsid w:val="00424C98"/>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500"/>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B7FEC"/>
    <w:rsid w:val="004C0B55"/>
    <w:rsid w:val="004C156E"/>
    <w:rsid w:val="004C192B"/>
    <w:rsid w:val="004C1997"/>
    <w:rsid w:val="004C1C70"/>
    <w:rsid w:val="004C1DC9"/>
    <w:rsid w:val="004C2B12"/>
    <w:rsid w:val="004C430D"/>
    <w:rsid w:val="004C4893"/>
    <w:rsid w:val="004C492C"/>
    <w:rsid w:val="004C51D3"/>
    <w:rsid w:val="004C60F6"/>
    <w:rsid w:val="004C61AE"/>
    <w:rsid w:val="004C68C5"/>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24"/>
    <w:rsid w:val="005006F3"/>
    <w:rsid w:val="005012AB"/>
    <w:rsid w:val="005018A2"/>
    <w:rsid w:val="00501A9B"/>
    <w:rsid w:val="00501C2A"/>
    <w:rsid w:val="00501CD8"/>
    <w:rsid w:val="00502A45"/>
    <w:rsid w:val="00502DCA"/>
    <w:rsid w:val="0050306A"/>
    <w:rsid w:val="005032BE"/>
    <w:rsid w:val="00503B3B"/>
    <w:rsid w:val="0050442E"/>
    <w:rsid w:val="00504FB7"/>
    <w:rsid w:val="005050D5"/>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77B"/>
    <w:rsid w:val="00525B5B"/>
    <w:rsid w:val="00525C4E"/>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2DFD"/>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33"/>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1EE"/>
    <w:rsid w:val="005A544E"/>
    <w:rsid w:val="005A54B3"/>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DB1"/>
    <w:rsid w:val="00632E22"/>
    <w:rsid w:val="00632FA9"/>
    <w:rsid w:val="00632FD5"/>
    <w:rsid w:val="0063305C"/>
    <w:rsid w:val="0063351C"/>
    <w:rsid w:val="00634A1B"/>
    <w:rsid w:val="00634E16"/>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0E7"/>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54DE"/>
    <w:rsid w:val="007055D4"/>
    <w:rsid w:val="00705659"/>
    <w:rsid w:val="007057D0"/>
    <w:rsid w:val="00705E6F"/>
    <w:rsid w:val="00705FFD"/>
    <w:rsid w:val="00706CA2"/>
    <w:rsid w:val="00706CA3"/>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2F63"/>
    <w:rsid w:val="00733AB5"/>
    <w:rsid w:val="00734288"/>
    <w:rsid w:val="00734B24"/>
    <w:rsid w:val="00734E3E"/>
    <w:rsid w:val="00734E80"/>
    <w:rsid w:val="007356E6"/>
    <w:rsid w:val="007356FD"/>
    <w:rsid w:val="00735AC8"/>
    <w:rsid w:val="00735B92"/>
    <w:rsid w:val="00735DD9"/>
    <w:rsid w:val="007362C8"/>
    <w:rsid w:val="00736508"/>
    <w:rsid w:val="00736614"/>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6FE"/>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6AA7"/>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720"/>
    <w:rsid w:val="0080091A"/>
    <w:rsid w:val="00800BC2"/>
    <w:rsid w:val="00800D50"/>
    <w:rsid w:val="008017BC"/>
    <w:rsid w:val="00801C9B"/>
    <w:rsid w:val="00801E0C"/>
    <w:rsid w:val="008039E9"/>
    <w:rsid w:val="008041C4"/>
    <w:rsid w:val="00804247"/>
    <w:rsid w:val="0080484C"/>
    <w:rsid w:val="008048E6"/>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29F"/>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4C3"/>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40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31E"/>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757"/>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666"/>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CAF"/>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C63"/>
    <w:rsid w:val="00A37DA0"/>
    <w:rsid w:val="00A4014E"/>
    <w:rsid w:val="00A4033D"/>
    <w:rsid w:val="00A405E5"/>
    <w:rsid w:val="00A40895"/>
    <w:rsid w:val="00A4141C"/>
    <w:rsid w:val="00A41D28"/>
    <w:rsid w:val="00A4208B"/>
    <w:rsid w:val="00A4231A"/>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5A4"/>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6C49"/>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482"/>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37C"/>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4DEF"/>
    <w:rsid w:val="00B14E69"/>
    <w:rsid w:val="00B15298"/>
    <w:rsid w:val="00B1600B"/>
    <w:rsid w:val="00B1634B"/>
    <w:rsid w:val="00B16A6E"/>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6DAA"/>
    <w:rsid w:val="00B46FD8"/>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5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1F36"/>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374"/>
    <w:rsid w:val="00BC1C52"/>
    <w:rsid w:val="00BC2BFA"/>
    <w:rsid w:val="00BC2E9C"/>
    <w:rsid w:val="00BC3857"/>
    <w:rsid w:val="00BC3B86"/>
    <w:rsid w:val="00BC3C25"/>
    <w:rsid w:val="00BC3E91"/>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5B3"/>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B2A"/>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560"/>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2AA"/>
    <w:rsid w:val="00C45806"/>
    <w:rsid w:val="00C45B07"/>
    <w:rsid w:val="00C45D90"/>
    <w:rsid w:val="00C45DBB"/>
    <w:rsid w:val="00C45DED"/>
    <w:rsid w:val="00C460DB"/>
    <w:rsid w:val="00C47638"/>
    <w:rsid w:val="00C476FA"/>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D3B"/>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360F"/>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6BF3"/>
    <w:rsid w:val="00CA7116"/>
    <w:rsid w:val="00CA75BC"/>
    <w:rsid w:val="00CA77E7"/>
    <w:rsid w:val="00CB01D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232D"/>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404"/>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5AEB"/>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27A"/>
    <w:rsid w:val="00D61402"/>
    <w:rsid w:val="00D61591"/>
    <w:rsid w:val="00D62682"/>
    <w:rsid w:val="00D62A78"/>
    <w:rsid w:val="00D62AC7"/>
    <w:rsid w:val="00D63588"/>
    <w:rsid w:val="00D6359E"/>
    <w:rsid w:val="00D637BD"/>
    <w:rsid w:val="00D637F2"/>
    <w:rsid w:val="00D63A6E"/>
    <w:rsid w:val="00D640F4"/>
    <w:rsid w:val="00D64314"/>
    <w:rsid w:val="00D643AC"/>
    <w:rsid w:val="00D6458F"/>
    <w:rsid w:val="00D647F8"/>
    <w:rsid w:val="00D64FEA"/>
    <w:rsid w:val="00D65199"/>
    <w:rsid w:val="00D65253"/>
    <w:rsid w:val="00D65BCD"/>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6A88"/>
    <w:rsid w:val="00D77B44"/>
    <w:rsid w:val="00D80359"/>
    <w:rsid w:val="00D8048F"/>
    <w:rsid w:val="00D808C2"/>
    <w:rsid w:val="00D80AF2"/>
    <w:rsid w:val="00D80D89"/>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338"/>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ED5"/>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77CD3"/>
    <w:rsid w:val="00E8003B"/>
    <w:rsid w:val="00E80171"/>
    <w:rsid w:val="00E806F3"/>
    <w:rsid w:val="00E80E6F"/>
    <w:rsid w:val="00E810AB"/>
    <w:rsid w:val="00E81253"/>
    <w:rsid w:val="00E813AB"/>
    <w:rsid w:val="00E81439"/>
    <w:rsid w:val="00E81D04"/>
    <w:rsid w:val="00E825C1"/>
    <w:rsid w:val="00E83006"/>
    <w:rsid w:val="00E8303D"/>
    <w:rsid w:val="00E83194"/>
    <w:rsid w:val="00E8320B"/>
    <w:rsid w:val="00E84058"/>
    <w:rsid w:val="00E8427E"/>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83"/>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3AA"/>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40A"/>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C9F"/>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21C"/>
    <w:rsid w:val="00FA454F"/>
    <w:rsid w:val="00FA518C"/>
    <w:rsid w:val="00FA5714"/>
    <w:rsid w:val="00FA5CD5"/>
    <w:rsid w:val="00FA5D0F"/>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1FF0"/>
    <w:rsid w:val="00FF2D2B"/>
    <w:rsid w:val="00FF2E29"/>
    <w:rsid w:val="00FF3EC2"/>
    <w:rsid w:val="00FF404A"/>
    <w:rsid w:val="00FF5005"/>
    <w:rsid w:val="00FF5B8A"/>
    <w:rsid w:val="00FF6926"/>
    <w:rsid w:val="00FF79D8"/>
    <w:rsid w:val="2386346F"/>
    <w:rsid w:val="70CB37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DB66A"/>
  <w15:docId w15:val="{59EEAB7C-DB9A-4506-AA70-BC2E7DA3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
    <w:name w:val="修订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ProposalChar">
    <w:name w:val="Proposal Char"/>
    <w:link w:val="Proposal"/>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5NUHHDQN7SK2-1476151046-511242</_dlc_DocId>
    <_dlc_DocIdUrl xmlns="f166a696-7b5b-4ccd-9f0c-ffde0cceec81">
      <Url>https://ericsson.sharepoint.com/sites/star/_layouts/15/DocIdRedir.aspx?ID=5NUHHDQN7SK2-1476151046-511242</Url>
      <Description>5NUHHDQN7SK2-1476151046-511242</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44B5E-80DD-43FF-B6D7-32F0C5C30B88}">
  <ds:schemaRefs>
    <ds:schemaRef ds:uri="http://schemas.openxmlformats.org/officeDocument/2006/bibliography"/>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7.xml><?xml version="1.0" encoding="utf-8"?>
<ds:datastoreItem xmlns:ds="http://schemas.openxmlformats.org/officeDocument/2006/customXml" ds:itemID="{FB6DDB7C-9959-4AEC-AA49-498A6EC772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24.501_CR3849_(Rel-17)_eNPN</cp:lastModifiedBy>
  <cp:revision>2</cp:revision>
  <dcterms:created xsi:type="dcterms:W3CDTF">2022-02-10T09:09:00Z</dcterms:created>
  <dcterms:modified xsi:type="dcterms:W3CDTF">2022-02-10T09:09:00Z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2a332af4-8308-4103-8fb7-f48cae066ae1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