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9"/>
        <w:tabs>
          <w:tab w:val="right" w:pos="9639"/>
        </w:tabs>
        <w:spacing w:after="0"/>
        <w:rPr>
          <w:rFonts w:hint="default" w:eastAsiaTheme="minorEastAsia"/>
          <w:b/>
          <w:i/>
          <w:sz w:val="28"/>
          <w:lang w:val="en-US" w:eastAsia="zh-CN"/>
        </w:rPr>
      </w:pPr>
      <w:r>
        <w:rPr>
          <w:b/>
          <w:sz w:val="24"/>
        </w:rPr>
        <w:t>3GPP TSG-CT WG1 Meeting #13</w:t>
      </w:r>
      <w:r>
        <w:rPr>
          <w:rFonts w:hint="eastAsia"/>
          <w:b/>
          <w:sz w:val="24"/>
          <w:lang w:val="en-US" w:eastAsia="zh-CN"/>
        </w:rPr>
        <w:t>3</w:t>
      </w:r>
      <w:bookmarkStart w:id="7" w:name="_GoBack"/>
      <w:bookmarkEnd w:id="7"/>
      <w:r>
        <w:rPr>
          <w:rFonts w:hint="eastAsia"/>
          <w:b/>
          <w:sz w:val="24"/>
          <w:lang w:val="en-US" w:eastAsia="zh-CN"/>
        </w:rPr>
        <w:t>-e</w:t>
      </w:r>
      <w:r>
        <w:rPr>
          <w:b/>
          <w:i/>
          <w:sz w:val="28"/>
        </w:rPr>
        <w:tab/>
      </w:r>
      <w:r>
        <w:rPr>
          <w:b/>
          <w:sz w:val="24"/>
        </w:rPr>
        <w:t>C1-21</w:t>
      </w:r>
      <w:r>
        <w:rPr>
          <w:rFonts w:hint="eastAsia"/>
          <w:b/>
          <w:sz w:val="24"/>
          <w:lang w:val="en-US" w:eastAsia="zh-CN"/>
        </w:rPr>
        <w:t>6697</w:t>
      </w:r>
    </w:p>
    <w:p>
      <w:pPr>
        <w:pStyle w:val="289"/>
        <w:outlineLvl w:val="0"/>
        <w:rPr>
          <w:b/>
          <w:sz w:val="24"/>
        </w:rPr>
      </w:pPr>
      <w:r>
        <w:rPr>
          <w:b/>
          <w:sz w:val="24"/>
        </w:rPr>
        <w:t>E-meeting, 11-1</w:t>
      </w:r>
      <w:r>
        <w:rPr>
          <w:rFonts w:hint="eastAsia"/>
          <w:b/>
          <w:sz w:val="24"/>
          <w:lang w:val="en-US" w:eastAsia="zh-CN"/>
        </w:rPr>
        <w:t>9</w:t>
      </w:r>
      <w:r>
        <w:rPr>
          <w:b/>
          <w:sz w:val="24"/>
        </w:rPr>
        <w:t xml:space="preserve"> </w:t>
      </w:r>
      <w:r>
        <w:rPr>
          <w:rFonts w:hint="eastAsia"/>
          <w:b/>
          <w:sz w:val="24"/>
          <w:lang w:val="en-US" w:eastAsia="zh-CN"/>
        </w:rPr>
        <w:t>November</w:t>
      </w:r>
      <w:r>
        <w:rPr>
          <w:b/>
          <w:sz w:val="24"/>
        </w:rPr>
        <w:t xml:space="preserve"> 2021</w:t>
      </w:r>
    </w:p>
    <w:p>
      <w:pPr>
        <w:rPr>
          <w:rFonts w:cs="Arial"/>
          <w:b/>
          <w:bCs/>
        </w:rPr>
      </w:pPr>
    </w:p>
    <w:p>
      <w:pPr>
        <w:overflowPunct w:val="0"/>
        <w:autoSpaceDE w:val="0"/>
        <w:autoSpaceDN w:val="0"/>
        <w:adjustRightInd w:val="0"/>
        <w:snapToGrid w:val="0"/>
        <w:jc w:val="left"/>
        <w:textAlignment w:val="baseline"/>
        <w:rPr>
          <w:rFonts w:ascii="Arial" w:hAnsi="Arial" w:cs="Arial"/>
          <w:b/>
          <w:bCs/>
          <w:snapToGrid w:val="0"/>
          <w:kern w:val="0"/>
          <w:sz w:val="24"/>
          <w:szCs w:val="24"/>
        </w:rPr>
      </w:pPr>
      <w:r>
        <w:rPr>
          <w:rFonts w:ascii="Arial" w:hAnsi="Arial" w:cs="Arial"/>
          <w:b/>
          <w:bCs/>
          <w:snapToGrid w:val="0"/>
          <w:kern w:val="0"/>
          <w:sz w:val="24"/>
          <w:szCs w:val="24"/>
        </w:rPr>
        <w:t>Source:</w:t>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ascii="Arial" w:hAnsi="Arial" w:cs="Arial"/>
          <w:b/>
          <w:bCs/>
          <w:snapToGrid w:val="0"/>
          <w:kern w:val="0"/>
          <w:sz w:val="24"/>
          <w:szCs w:val="24"/>
        </w:rPr>
        <w:t>ZTE</w:t>
      </w:r>
    </w:p>
    <w:p>
      <w:pPr>
        <w:overflowPunct w:val="0"/>
        <w:autoSpaceDE w:val="0"/>
        <w:autoSpaceDN w:val="0"/>
        <w:adjustRightInd w:val="0"/>
        <w:snapToGrid w:val="0"/>
        <w:ind w:left="2100" w:hanging="2100"/>
        <w:jc w:val="left"/>
        <w:textAlignment w:val="baseline"/>
        <w:rPr>
          <w:rFonts w:hint="default" w:cs="Arial" w:eastAsiaTheme="minorEastAsia"/>
          <w:b/>
          <w:bCs/>
          <w:snapToGrid w:val="0"/>
          <w:kern w:val="0"/>
          <w:sz w:val="24"/>
          <w:szCs w:val="24"/>
          <w:lang w:val="en-US" w:eastAsia="zh-CN"/>
        </w:rPr>
      </w:pPr>
      <w:r>
        <w:rPr>
          <w:rFonts w:cs="Arial"/>
          <w:b/>
          <w:bCs/>
          <w:snapToGrid w:val="0"/>
          <w:kern w:val="0"/>
          <w:sz w:val="24"/>
          <w:szCs w:val="24"/>
        </w:rPr>
        <w:t xml:space="preserve">Title: </w:t>
      </w:r>
      <w:r>
        <w:rPr>
          <w:rFonts w:cs="Arial"/>
          <w:b/>
          <w:bCs/>
          <w:snapToGrid w:val="0"/>
          <w:kern w:val="0"/>
          <w:sz w:val="24"/>
          <w:szCs w:val="24"/>
        </w:rPr>
        <w:tab/>
      </w:r>
      <w:r>
        <w:rPr>
          <w:rFonts w:hint="eastAsia" w:cs="Arial"/>
          <w:b/>
          <w:bCs/>
          <w:snapToGrid w:val="0"/>
          <w:kern w:val="0"/>
          <w:sz w:val="24"/>
          <w:szCs w:val="24"/>
          <w:lang w:val="en-US" w:eastAsia="zh-CN"/>
        </w:rPr>
        <w:t>Protocol Selection for MSGin5G Service</w:t>
      </w:r>
    </w:p>
    <w:p>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Agenda item:</w:t>
      </w:r>
      <w:r>
        <w:rPr>
          <w:rFonts w:cs="Arial"/>
          <w:b/>
          <w:bCs/>
          <w:snapToGrid w:val="0"/>
          <w:kern w:val="0"/>
          <w:sz w:val="24"/>
          <w:szCs w:val="24"/>
        </w:rPr>
        <w:tab/>
      </w:r>
      <w:r>
        <w:rPr>
          <w:rFonts w:cs="Arial"/>
          <w:b/>
          <w:bCs/>
          <w:snapToGrid w:val="0"/>
          <w:kern w:val="0"/>
          <w:sz w:val="24"/>
          <w:szCs w:val="24"/>
        </w:rPr>
        <w:tab/>
      </w:r>
      <w:r>
        <w:rPr>
          <w:rFonts w:hint="eastAsia" w:cs="Arial"/>
          <w:b/>
          <w:bCs/>
          <w:snapToGrid w:val="0"/>
          <w:kern w:val="0"/>
          <w:sz w:val="24"/>
          <w:szCs w:val="24"/>
        </w:rPr>
        <w:t>5GMARCH</w:t>
      </w:r>
    </w:p>
    <w:p>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r>
        <w:rPr>
          <w:rFonts w:hint="eastAsia" w:cs="Arial"/>
          <w:b/>
          <w:bCs/>
          <w:snapToGrid w:val="0"/>
          <w:kern w:val="0"/>
          <w:sz w:val="24"/>
          <w:szCs w:val="24"/>
        </w:rPr>
        <w:t xml:space="preserve"> </w:t>
      </w:r>
      <w:r>
        <w:rPr>
          <w:rFonts w:cs="Arial"/>
          <w:b/>
          <w:bCs/>
          <w:snapToGrid w:val="0"/>
          <w:kern w:val="0"/>
          <w:sz w:val="24"/>
          <w:szCs w:val="24"/>
        </w:rPr>
        <w:tab/>
      </w:r>
      <w:r>
        <w:rPr>
          <w:rFonts w:cs="Arial"/>
          <w:b/>
          <w:bCs/>
          <w:snapToGrid w:val="0"/>
          <w:kern w:val="0"/>
          <w:sz w:val="24"/>
          <w:szCs w:val="24"/>
        </w:rPr>
        <w:t>Discussion</w:t>
      </w:r>
      <w:r>
        <w:rPr>
          <w:rFonts w:hint="eastAsia" w:cs="Arial"/>
          <w:b/>
          <w:bCs/>
          <w:snapToGrid w:val="0"/>
          <w:kern w:val="0"/>
          <w:sz w:val="24"/>
          <w:szCs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cs="Arial"/>
          <w:b w:val="0"/>
          <w:bCs w:val="0"/>
          <w:kern w:val="0"/>
          <w:sz w:val="32"/>
          <w:szCs w:val="36"/>
        </w:rPr>
      </w:pPr>
      <w:bookmarkStart w:id="0" w:name="_Toc18413600"/>
      <w:bookmarkStart w:id="1" w:name="_Toc18403966"/>
      <w:bookmarkStart w:id="2" w:name="_Toc18404533"/>
      <w:r>
        <w:rPr>
          <w:rFonts w:cs="Arial"/>
          <w:b w:val="0"/>
          <w:bCs w:val="0"/>
          <w:kern w:val="0"/>
          <w:sz w:val="32"/>
          <w:szCs w:val="36"/>
        </w:rPr>
        <w:t>Introduction</w:t>
      </w:r>
      <w:bookmarkEnd w:id="0"/>
      <w:bookmarkEnd w:id="1"/>
      <w:bookmarkEnd w:id="2"/>
    </w:p>
    <w:p>
      <w:pPr>
        <w:pStyle w:val="54"/>
        <w:spacing w:before="75" w:beforeAutospacing="0" w:after="75" w:afterAutospacing="0" w:line="315" w:lineRule="atLeast"/>
        <w:rPr>
          <w:rFonts w:hint="eastAsia" w:cs="Arial" w:eastAsiaTheme="minorEastAsia"/>
          <w:color w:val="000000"/>
          <w:sz w:val="21"/>
          <w:lang w:val="en-US" w:eastAsia="zh-CN"/>
        </w:rPr>
      </w:pPr>
      <w:r>
        <w:rPr>
          <w:rFonts w:hint="eastAsia" w:cs="Arial" w:eastAsiaTheme="minorEastAsia"/>
          <w:color w:val="000000"/>
          <w:sz w:val="21"/>
          <w:lang w:eastAsia="zh-CN"/>
        </w:rPr>
        <w:t>I</w:t>
      </w:r>
      <w:r>
        <w:rPr>
          <w:rFonts w:cs="Arial" w:eastAsiaTheme="minorEastAsia"/>
          <w:color w:val="000000"/>
          <w:sz w:val="21"/>
          <w:lang w:eastAsia="zh-CN"/>
        </w:rPr>
        <w:t xml:space="preserve">n </w:t>
      </w:r>
      <w:r>
        <w:rPr>
          <w:rFonts w:hint="eastAsia" w:cs="Arial" w:eastAsiaTheme="minorEastAsia"/>
          <w:color w:val="000000"/>
          <w:sz w:val="21"/>
          <w:lang w:val="en-US" w:eastAsia="zh-CN"/>
        </w:rPr>
        <w:t xml:space="preserve">CT1 #132e, C1-215869 has analyzed the alternative protocols for MSGin5G-1 interface. Based on analysis of the table in subclause 3 of C1-215869, both MQTT and CoAP can fulfill most requirements of MSGin5G Service defined in TS 22.262. </w:t>
      </w:r>
    </w:p>
    <w:p>
      <w:pPr>
        <w:pStyle w:val="54"/>
        <w:spacing w:before="75" w:beforeAutospacing="0" w:after="75" w:afterAutospacing="0" w:line="315" w:lineRule="atLeast"/>
        <w:rPr>
          <w:rFonts w:hint="eastAsia" w:cs="Arial" w:eastAsiaTheme="minorEastAsia"/>
          <w:color w:val="000000"/>
          <w:sz w:val="21"/>
          <w:lang w:val="en-US" w:eastAsia="zh-CN"/>
        </w:rPr>
      </w:pPr>
      <w:r>
        <w:rPr>
          <w:rFonts w:hint="eastAsia" w:cs="Arial" w:eastAsiaTheme="minorEastAsia"/>
          <w:color w:val="000000"/>
          <w:sz w:val="21"/>
          <w:lang w:val="en-US" w:eastAsia="zh-CN"/>
        </w:rPr>
        <w:t>This paper further discusses such two protocols and makes an conclusion preference.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cs="Arial"/>
          <w:b w:val="0"/>
          <w:bCs w:val="0"/>
          <w:kern w:val="0"/>
          <w:sz w:val="32"/>
          <w:szCs w:val="36"/>
        </w:rPr>
      </w:pPr>
      <w:r>
        <w:rPr>
          <w:rFonts w:hint="eastAsia" w:cs="Arial"/>
          <w:b w:val="0"/>
          <w:bCs w:val="0"/>
          <w:kern w:val="0"/>
          <w:sz w:val="32"/>
          <w:szCs w:val="36"/>
          <w:lang w:val="en-US" w:eastAsia="zh-CN"/>
        </w:rPr>
        <w:t>Difference between MQTT and CoAP</w:t>
      </w:r>
    </w:p>
    <w:p>
      <w:pPr>
        <w:rPr>
          <w:rFonts w:hint="eastAsia" w:cs="Arial"/>
          <w:color w:val="000000"/>
          <w:sz w:val="21"/>
          <w:lang w:val="en-US" w:eastAsia="zh-CN"/>
        </w:rPr>
      </w:pPr>
      <w:r>
        <w:rPr>
          <w:rFonts w:hint="eastAsia"/>
          <w:lang w:val="en-US" w:eastAsia="zh-CN"/>
        </w:rPr>
        <w:t>MQTT was designed as an extremely lightweight publish/</w:t>
      </w:r>
      <w:r>
        <w:rPr>
          <w:rFonts w:hint="eastAsia" w:cs="Arial" w:eastAsiaTheme="minorEastAsia"/>
          <w:color w:val="000000"/>
          <w:sz w:val="21"/>
          <w:lang w:val="en-US" w:eastAsia="zh-CN"/>
        </w:rPr>
        <w:t>subscribe messaging transport</w:t>
      </w:r>
      <w:r>
        <w:rPr>
          <w:rFonts w:hint="eastAsia" w:cs="Arial"/>
          <w:color w:val="000000"/>
          <w:sz w:val="21"/>
          <w:lang w:val="en-US" w:eastAsia="zh-CN"/>
        </w:rPr>
        <w:t xml:space="preserve"> protocol for IoT communications such as </w:t>
      </w:r>
      <w:r>
        <w:rPr>
          <w:rFonts w:hint="eastAsia" w:cs="Arial" w:eastAsiaTheme="minorEastAsia"/>
          <w:color w:val="000000"/>
          <w:sz w:val="21"/>
          <w:lang w:val="en-US" w:eastAsia="zh-CN"/>
        </w:rPr>
        <w:t>sensors communicat</w:t>
      </w:r>
      <w:r>
        <w:rPr>
          <w:rFonts w:hint="eastAsia" w:cs="Arial"/>
          <w:color w:val="000000"/>
          <w:sz w:val="21"/>
          <w:lang w:val="en-US" w:eastAsia="zh-CN"/>
        </w:rPr>
        <w:t xml:space="preserve">ion, </w:t>
      </w:r>
      <w:r>
        <w:rPr>
          <w:rFonts w:hint="eastAsia" w:cs="Arial" w:eastAsiaTheme="minorEastAsia"/>
          <w:color w:val="000000"/>
          <w:sz w:val="21"/>
          <w:lang w:val="en-US" w:eastAsia="zh-CN"/>
        </w:rPr>
        <w:t xml:space="preserve">over occasional dial-up connections with </w:t>
      </w:r>
      <w:r>
        <w:rPr>
          <w:rFonts w:hint="eastAsia" w:cs="Arial"/>
          <w:color w:val="000000"/>
          <w:sz w:val="21"/>
          <w:lang w:val="en-US" w:eastAsia="zh-CN"/>
        </w:rPr>
        <w:t>health-care</w:t>
      </w:r>
      <w:r>
        <w:rPr>
          <w:rFonts w:hint="eastAsia" w:cs="Arial" w:eastAsiaTheme="minorEastAsia"/>
          <w:color w:val="000000"/>
          <w:sz w:val="21"/>
          <w:lang w:val="en-US" w:eastAsia="zh-CN"/>
        </w:rPr>
        <w:t xml:space="preserve"> providers</w:t>
      </w:r>
      <w:r>
        <w:rPr>
          <w:rFonts w:hint="eastAsia" w:cs="Arial"/>
          <w:color w:val="000000"/>
          <w:sz w:val="21"/>
          <w:lang w:val="en-US" w:eastAsia="zh-CN"/>
        </w:rPr>
        <w:t>, home network and etc. The typical communication of MQTT is:</w:t>
      </w:r>
    </w:p>
    <w:p>
      <w:pPr>
        <w:jc w:val="center"/>
        <w:rPr>
          <w:rFonts w:hint="eastAsia" w:cs="Arial"/>
          <w:color w:val="000000"/>
          <w:sz w:val="21"/>
          <w:lang w:val="en-US" w:eastAsia="zh-CN"/>
        </w:rPr>
      </w:pPr>
      <w:r>
        <w:rPr>
          <w:rFonts w:hint="eastAsia" w:cs="Arial"/>
          <w:color w:val="000000"/>
          <w:sz w:val="21"/>
          <w:lang w:val="en-US" w:eastAsia="zh-CN"/>
        </w:rPr>
        <w:object>
          <v:shape id="_x0000_i1025" o:spt="75" type="#_x0000_t75" style="height:187.5pt;width:343.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default" w:cs="Arial"/>
          <w:color w:val="000000"/>
          <w:sz w:val="21"/>
          <w:lang w:val="en-US" w:eastAsia="zh-CN"/>
        </w:rPr>
      </w:pPr>
      <w:r>
        <w:rPr>
          <w:rFonts w:hint="eastAsia" w:cs="Arial"/>
          <w:color w:val="000000"/>
          <w:sz w:val="21"/>
          <w:lang w:val="en-US" w:eastAsia="zh-CN"/>
        </w:rPr>
        <w:t xml:space="preserve">Fig. 1  MQTT </w:t>
      </w:r>
      <w:r>
        <w:rPr>
          <w:rFonts w:hint="eastAsia"/>
          <w:lang w:val="en-US" w:eastAsia="zh-CN"/>
        </w:rPr>
        <w:t>publish/</w:t>
      </w:r>
      <w:r>
        <w:rPr>
          <w:rFonts w:hint="eastAsia" w:cs="Arial" w:eastAsiaTheme="minorEastAsia"/>
          <w:color w:val="000000"/>
          <w:sz w:val="21"/>
          <w:lang w:val="en-US" w:eastAsia="zh-CN"/>
        </w:rPr>
        <w:t>subscribe</w:t>
      </w:r>
    </w:p>
    <w:p>
      <w:pPr>
        <w:rPr>
          <w:rFonts w:hint="default"/>
          <w:lang w:val="en-US" w:eastAsia="zh-CN"/>
        </w:rPr>
      </w:pPr>
      <w:r>
        <w:rPr>
          <w:rFonts w:hint="eastAsia"/>
          <w:lang w:val="en-US" w:eastAsia="zh-CN"/>
        </w:rPr>
        <w:t xml:space="preserve">With such communication mechanism, the client has to know the exact topic. If topics are updated, some configuration procedure may be invoked. For point to point message, it is unnecessary to define any topic. The group message can be achieved by setting a proper topic(e.g. the client, publisher, Service ID). </w:t>
      </w:r>
    </w:p>
    <w:p>
      <w:pPr>
        <w:rPr>
          <w:rFonts w:hint="eastAsia" w:cs="Arial"/>
          <w:color w:val="000000"/>
          <w:sz w:val="21"/>
          <w:lang w:val="en-US" w:eastAsia="zh-CN"/>
        </w:rPr>
      </w:pPr>
      <w:r>
        <w:rPr>
          <w:rFonts w:hint="eastAsia"/>
          <w:lang w:val="en-US" w:eastAsia="zh-CN"/>
        </w:rPr>
        <w:t>CoAP was also designed as an extremely lightweight client/server</w:t>
      </w:r>
      <w:r>
        <w:rPr>
          <w:rFonts w:hint="eastAsia" w:cs="Arial" w:eastAsiaTheme="minorEastAsia"/>
          <w:color w:val="000000"/>
          <w:sz w:val="21"/>
          <w:lang w:val="en-US" w:eastAsia="zh-CN"/>
        </w:rPr>
        <w:t xml:space="preserve"> messaging transport</w:t>
      </w:r>
      <w:r>
        <w:rPr>
          <w:rFonts w:hint="eastAsia" w:cs="Arial"/>
          <w:color w:val="000000"/>
          <w:sz w:val="21"/>
          <w:lang w:val="en-US" w:eastAsia="zh-CN"/>
        </w:rPr>
        <w:t xml:space="preserve"> protocol for IoT communications.The typical communication of CoAP is:</w:t>
      </w:r>
    </w:p>
    <w:p>
      <w:pPr>
        <w:jc w:val="center"/>
        <w:rPr>
          <w:rFonts w:hint="eastAsia" w:cs="Arial"/>
          <w:color w:val="000000"/>
          <w:sz w:val="21"/>
          <w:lang w:val="en-US" w:eastAsia="zh-CN"/>
        </w:rPr>
      </w:pPr>
      <w:r>
        <w:rPr>
          <w:rFonts w:hint="eastAsia" w:cs="Arial"/>
          <w:color w:val="000000"/>
          <w:sz w:val="21"/>
          <w:lang w:val="en-US" w:eastAsia="zh-CN"/>
        </w:rPr>
        <w:object>
          <v:shape id="_x0000_i1026" o:spt="75" type="#_x0000_t75" style="height:123.75pt;width:201.75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jc w:val="center"/>
        <w:rPr>
          <w:rFonts w:hint="default" w:cs="Arial"/>
          <w:color w:val="000000"/>
          <w:sz w:val="21"/>
          <w:lang w:val="en-US" w:eastAsia="zh-CN"/>
        </w:rPr>
      </w:pPr>
      <w:r>
        <w:rPr>
          <w:rFonts w:hint="eastAsia" w:cs="Arial"/>
          <w:color w:val="000000"/>
          <w:sz w:val="21"/>
          <w:lang w:val="en-US" w:eastAsia="zh-CN"/>
        </w:rPr>
        <w:t>Fig. 2  CoAP client/server</w:t>
      </w:r>
    </w:p>
    <w:p>
      <w:pPr>
        <w:rPr>
          <w:rFonts w:hint="default" w:cs="Arial"/>
          <w:color w:val="000000"/>
          <w:sz w:val="21"/>
          <w:lang w:val="en-US" w:eastAsia="zh-CN"/>
        </w:rPr>
      </w:pPr>
      <w:r>
        <w:rPr>
          <w:rFonts w:hint="eastAsia" w:cs="Arial"/>
          <w:color w:val="000000"/>
          <w:sz w:val="21"/>
          <w:lang w:val="en-US" w:eastAsia="zh-CN"/>
        </w:rPr>
        <w:t>The communication mechanism of CoAP is simpler than that of MQTT for one-one message delivery. For group message delivery, the mechanism of observing resources in CoAP is introduced in RFC7641.</w:t>
      </w:r>
    </w:p>
    <w:p>
      <w:pPr>
        <w:rPr>
          <w:rFonts w:hint="default" w:cs="Arial"/>
          <w:b/>
          <w:bCs/>
          <w:color w:val="000000"/>
          <w:sz w:val="21"/>
          <w:lang w:val="en-US" w:eastAsia="zh-CN"/>
        </w:rPr>
      </w:pPr>
      <w:r>
        <w:rPr>
          <w:rFonts w:hint="eastAsia" w:cs="Arial" w:eastAsiaTheme="minorEastAsia"/>
          <w:b/>
          <w:bCs/>
          <w:color w:val="000000"/>
          <w:sz w:val="21"/>
          <w:lang w:val="en-US" w:eastAsia="zh-CN"/>
        </w:rPr>
        <w:t>Observation</w:t>
      </w:r>
      <w:r>
        <w:rPr>
          <w:rFonts w:hint="eastAsia" w:cs="Arial"/>
          <w:b/>
          <w:bCs/>
          <w:color w:val="000000"/>
          <w:sz w:val="21"/>
          <w:lang w:val="en-US" w:eastAsia="zh-CN"/>
        </w:rPr>
        <w:t xml:space="preserve">1: The communication mechanism of CoAP(client/server) is simpler for message delivery procedure. </w:t>
      </w:r>
    </w:p>
    <w:p>
      <w:pPr>
        <w:rPr>
          <w:rFonts w:hint="eastAsia" w:cs="Arial"/>
          <w:color w:val="000000"/>
          <w:sz w:val="21"/>
          <w:lang w:val="en-US" w:eastAsia="zh-CN"/>
        </w:rPr>
      </w:pPr>
    </w:p>
    <w:p>
      <w:pPr>
        <w:rPr>
          <w:rFonts w:hint="eastAsia" w:cs="Arial"/>
          <w:color w:val="000000"/>
          <w:sz w:val="21"/>
          <w:lang w:val="en-US" w:eastAsia="zh-CN"/>
        </w:rPr>
      </w:pPr>
      <w:r>
        <w:rPr>
          <w:rFonts w:hint="eastAsia" w:cs="Arial"/>
          <w:color w:val="000000"/>
          <w:sz w:val="21"/>
          <w:lang w:val="en-US" w:eastAsia="zh-CN"/>
        </w:rPr>
        <w:t xml:space="preserve">MQTT is based on TCP/IP protocol. To keep the link alive, MQTT is based on mechanism of TCP  persistent connection. If a TCP connection is established for the MQTT transaction, the connection is always maintained </w:t>
      </w:r>
      <w:r>
        <w:rPr>
          <w:rFonts w:hint="default" w:cs="Arial"/>
          <w:color w:val="000000"/>
          <w:sz w:val="21"/>
          <w:lang w:val="en-US" w:eastAsia="zh-CN"/>
        </w:rPr>
        <w:t>regardless of whether data is currently sent or received</w:t>
      </w:r>
      <w:r>
        <w:rPr>
          <w:rFonts w:hint="eastAsia" w:cs="Arial"/>
          <w:color w:val="000000"/>
          <w:sz w:val="21"/>
          <w:lang w:val="en-US" w:eastAsia="zh-CN"/>
        </w:rPr>
        <w:t>. It may bring security issue and resource(e.g. network resource and device power) waste.</w:t>
      </w:r>
    </w:p>
    <w:p>
      <w:pPr>
        <w:rPr>
          <w:rFonts w:hint="eastAsia" w:cs="Arial"/>
          <w:color w:val="000000"/>
          <w:sz w:val="21"/>
          <w:lang w:val="en-US" w:eastAsia="zh-CN"/>
        </w:rPr>
      </w:pPr>
      <w:r>
        <w:rPr>
          <w:rFonts w:hint="eastAsia" w:cs="Arial"/>
          <w:color w:val="000000"/>
          <w:sz w:val="21"/>
          <w:lang w:val="en-US" w:eastAsia="zh-CN"/>
        </w:rPr>
        <w:t xml:space="preserve">CoAP is based on UDP protocol which consume less power. The transmission reliability of the </w:t>
      </w:r>
      <w:r>
        <w:rPr>
          <w:rFonts w:hint="eastAsia" w:cs="Arial" w:eastAsiaTheme="minorEastAsia"/>
          <w:color w:val="000000"/>
          <w:sz w:val="21"/>
          <w:lang w:val="en-US" w:eastAsia="zh-CN"/>
        </w:rPr>
        <w:t>MSGin5G</w:t>
      </w:r>
      <w:r>
        <w:rPr>
          <w:rFonts w:hint="eastAsia" w:cs="Arial"/>
          <w:color w:val="000000"/>
          <w:sz w:val="21"/>
          <w:lang w:val="en-US" w:eastAsia="zh-CN"/>
        </w:rPr>
        <w:t xml:space="preserve"> service can be guaranteed by operator network.</w:t>
      </w:r>
    </w:p>
    <w:p>
      <w:pPr>
        <w:rPr>
          <w:rFonts w:hint="default" w:cs="Arial"/>
          <w:b/>
          <w:bCs/>
          <w:color w:val="000000"/>
          <w:sz w:val="21"/>
          <w:lang w:val="en-US" w:eastAsia="zh-CN"/>
        </w:rPr>
      </w:pPr>
      <w:r>
        <w:rPr>
          <w:rFonts w:hint="eastAsia" w:cs="Arial" w:eastAsiaTheme="minorEastAsia"/>
          <w:b/>
          <w:bCs/>
          <w:color w:val="000000"/>
          <w:sz w:val="21"/>
          <w:lang w:val="en-US" w:eastAsia="zh-CN"/>
        </w:rPr>
        <w:t>Observation</w:t>
      </w:r>
      <w:r>
        <w:rPr>
          <w:rFonts w:hint="eastAsia" w:cs="Arial"/>
          <w:b/>
          <w:bCs/>
          <w:color w:val="000000"/>
          <w:sz w:val="21"/>
          <w:lang w:val="en-US" w:eastAsia="zh-CN"/>
        </w:rPr>
        <w:t xml:space="preserve">2: MQTT based on TCP/IP protocol is more complicated and the persistent connection waste more resource. </w:t>
      </w:r>
    </w:p>
    <w:p>
      <w:pPr>
        <w:rPr>
          <w:rFonts w:hint="eastAsia" w:cs="Arial"/>
          <w:color w:val="000000"/>
          <w:sz w:val="21"/>
          <w:lang w:val="en-US" w:eastAsia="zh-CN"/>
        </w:rPr>
      </w:pPr>
    </w:p>
    <w:p>
      <w:pPr>
        <w:rPr>
          <w:rFonts w:hint="eastAsia" w:cs="Arial"/>
          <w:color w:val="000000"/>
          <w:sz w:val="21"/>
          <w:lang w:val="en-US" w:eastAsia="zh-CN"/>
        </w:rPr>
      </w:pPr>
      <w:r>
        <w:rPr>
          <w:rFonts w:hint="eastAsia" w:cs="Arial"/>
          <w:color w:val="000000"/>
          <w:sz w:val="21"/>
          <w:lang w:val="en-US" w:eastAsia="zh-CN"/>
        </w:rPr>
        <w:t xml:space="preserve">The use of web services (web APIs) on the Internet has become ubiquitous in most applications and depends on the fundamental Representational State Transfer [REST] architecture of the Web. The goal of CoAP is to realize a subset of REST common with HTTP but optimized for IoT devices. As CoAP was designed according to the REST architecture, thus exhibits functionality similar to that of the HTTP protocol, it is quite straightforward to map from CoAP to HTTP </w:t>
      </w:r>
      <w:r>
        <w:t>and vice versa</w:t>
      </w:r>
      <w:r>
        <w:rPr>
          <w:rFonts w:hint="eastAsia" w:cs="Arial"/>
          <w:color w:val="000000"/>
          <w:sz w:val="21"/>
          <w:lang w:val="en-US" w:eastAsia="zh-CN"/>
        </w:rPr>
        <w:t xml:space="preserve">. CoAP is more common for internet service and easier to understand. Further according to the RESTful architecture, CoAP is more flexible to be extended. IETF has defined the general definition of CoAP in RFC 7252. The Block-Wise transfers in CoAP is defined in RFC 7959 and observing resources in CoAP is defined in TFC 7641.  </w:t>
      </w:r>
    </w:p>
    <w:p>
      <w:pPr>
        <w:rPr>
          <w:rFonts w:hint="default" w:cs="Arial"/>
          <w:color w:val="000000"/>
          <w:sz w:val="21"/>
          <w:lang w:val="en-US" w:eastAsia="zh-CN"/>
        </w:rPr>
      </w:pPr>
      <w:r>
        <w:rPr>
          <w:rFonts w:hint="eastAsia" w:cs="Arial" w:eastAsiaTheme="minorEastAsia"/>
          <w:b/>
          <w:bCs/>
          <w:color w:val="000000"/>
          <w:sz w:val="21"/>
          <w:lang w:val="en-US" w:eastAsia="zh-CN"/>
        </w:rPr>
        <w:t>Observation</w:t>
      </w:r>
      <w:r>
        <w:rPr>
          <w:rFonts w:hint="eastAsia" w:cs="Arial"/>
          <w:b/>
          <w:bCs/>
          <w:color w:val="000000"/>
          <w:sz w:val="21"/>
          <w:lang w:val="en-US" w:eastAsia="zh-CN"/>
        </w:rPr>
        <w:t>3: As CoAP was designed according to REST architecture, its more common for internet service and easier to understand.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cs="Arial"/>
          <w:b w:val="0"/>
          <w:bCs w:val="0"/>
          <w:kern w:val="0"/>
          <w:sz w:val="32"/>
          <w:szCs w:val="36"/>
        </w:rPr>
      </w:pPr>
      <w:bookmarkStart w:id="3" w:name="_Toc18413612"/>
      <w:bookmarkStart w:id="4" w:name="_Toc18403976"/>
      <w:bookmarkStart w:id="5" w:name="_Toc18404543"/>
      <w:r>
        <w:rPr>
          <w:rFonts w:hint="eastAsia" w:cs="Arial"/>
          <w:color w:val="000000"/>
          <w:sz w:val="21"/>
          <w:lang w:val="en-US" w:eastAsia="zh-CN"/>
        </w:rPr>
        <w:t xml:space="preserve">  </w:t>
      </w:r>
      <w:r>
        <w:rPr>
          <w:rFonts w:hint="eastAsia" w:cs="Arial"/>
          <w:b w:val="0"/>
          <w:bCs w:val="0"/>
          <w:kern w:val="0"/>
          <w:sz w:val="32"/>
          <w:szCs w:val="36"/>
          <w:lang w:val="en-US" w:eastAsia="zh-CN"/>
        </w:rPr>
        <w:t>Conclusion</w:t>
      </w:r>
    </w:p>
    <w:p>
      <w:pPr>
        <w:rPr>
          <w:rFonts w:hint="default" w:cs="Arial"/>
          <w:color w:val="000000"/>
          <w:sz w:val="21"/>
          <w:lang w:val="en-US" w:eastAsia="zh-CN"/>
        </w:rPr>
      </w:pPr>
      <w:r>
        <w:rPr>
          <w:rFonts w:hint="eastAsia" w:cs="Arial"/>
          <w:color w:val="000000"/>
          <w:sz w:val="21"/>
          <w:lang w:val="en-US" w:eastAsia="zh-CN"/>
        </w:rPr>
        <w:t xml:space="preserve">Based on observations in subclause2, CoAP is preferred for </w:t>
      </w:r>
      <w:r>
        <w:rPr>
          <w:rFonts w:hint="eastAsia" w:cs="Arial" w:eastAsiaTheme="minorEastAsia"/>
          <w:color w:val="000000"/>
          <w:sz w:val="21"/>
          <w:lang w:val="en-US" w:eastAsia="zh-CN"/>
        </w:rPr>
        <w:t>MSGin5G-1 interface</w:t>
      </w:r>
      <w:r>
        <w:rPr>
          <w:rFonts w:hint="eastAsia" w:cs="Arial"/>
          <w:color w:val="000000"/>
          <w:sz w:val="21"/>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cs="Arial"/>
          <w:b w:val="0"/>
          <w:bCs w:val="0"/>
          <w:kern w:val="0"/>
          <w:sz w:val="32"/>
          <w:szCs w:val="36"/>
        </w:rPr>
      </w:pPr>
      <w:r>
        <w:rPr>
          <w:rFonts w:cs="Arial"/>
          <w:b w:val="0"/>
          <w:bCs w:val="0"/>
          <w:kern w:val="0"/>
          <w:sz w:val="32"/>
          <w:szCs w:val="36"/>
        </w:rPr>
        <w:t>References</w:t>
      </w:r>
      <w:bookmarkEnd w:id="3"/>
      <w:bookmarkEnd w:id="4"/>
      <w:bookmarkEnd w:id="5"/>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bookmarkStart w:id="6" w:name="_Ref45709611"/>
      <w:r>
        <w:rPr>
          <w:rFonts w:hint="eastAsia" w:eastAsia="宋体" w:cs="Arial"/>
          <w:color w:val="000000"/>
          <w:sz w:val="21"/>
          <w:lang w:val="en-US" w:eastAsia="zh-CN"/>
        </w:rPr>
        <w:t>3GPP TS 22.262, Message Service within the 5G System; Stage 1</w:t>
      </w:r>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C1-215869, MSGin5G-1 Protocol selection consideration</w:t>
      </w:r>
      <w:r>
        <w:rPr>
          <w:rFonts w:hint="eastAsia" w:eastAsia="宋体" w:cs="Arial"/>
          <w:color w:val="000000"/>
          <w:sz w:val="21"/>
          <w:lang w:val="en-US" w:eastAsia="zh-CN"/>
        </w:rPr>
        <w:tab/>
      </w:r>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3GPP TS 24.538,</w:t>
      </w:r>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r>
        <w:rPr>
          <w:lang w:eastAsia="zh-CN"/>
        </w:rPr>
        <w:t>ISO/IEC PRF</w:t>
      </w:r>
      <w:r>
        <w:rPr>
          <w:lang w:val="en-US"/>
        </w:rPr>
        <w:t> </w:t>
      </w:r>
      <w:r>
        <w:rPr>
          <w:lang w:eastAsia="zh-CN"/>
        </w:rPr>
        <w:t>20922</w:t>
      </w:r>
      <w:r>
        <w:rPr>
          <w:rFonts w:hint="eastAsia"/>
          <w:lang w:eastAsia="zh-CN"/>
        </w:rPr>
        <w:t xml:space="preserve">: </w:t>
      </w:r>
      <w:r>
        <w:rPr>
          <w:lang w:val="en-US"/>
        </w:rPr>
        <w:t>"Information technology — Message Queuing Telemetry Transport (MQTT) v3.1.1"</w:t>
      </w:r>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r>
        <w:t>IETF </w:t>
      </w:r>
      <w:r>
        <w:rPr>
          <w:rFonts w:hint="eastAsia"/>
        </w:rPr>
        <w:t>RFC</w:t>
      </w:r>
      <w:r>
        <w:rPr>
          <w:rFonts w:hint="eastAsia" w:eastAsia="宋体"/>
          <w:lang w:val="en-US" w:eastAsia="zh-CN"/>
        </w:rPr>
        <w:t xml:space="preserve"> </w:t>
      </w:r>
      <w:r>
        <w:rPr>
          <w:rFonts w:hint="eastAsia"/>
        </w:rPr>
        <w:t>7252</w:t>
      </w:r>
      <w:r>
        <w:t>: "</w:t>
      </w:r>
      <w:r>
        <w:rPr>
          <w:rFonts w:hint="eastAsia"/>
        </w:rPr>
        <w:t>The Constrained Application Protocol (CoAP)</w:t>
      </w:r>
      <w:r>
        <w:rPr>
          <w:lang w:val="en-US" w:eastAsia="zh-CN"/>
        </w:rPr>
        <w:t>”</w:t>
      </w:r>
    </w:p>
    <w:p>
      <w:pPr>
        <w:pStyle w:val="54"/>
        <w:numPr>
          <w:ilvl w:val="0"/>
          <w:numId w:val="6"/>
        </w:numPr>
        <w:spacing w:before="75" w:beforeAutospacing="0" w:after="75" w:afterAutospacing="0" w:line="315" w:lineRule="atLeast"/>
        <w:rPr>
          <w:rFonts w:hint="eastAsia" w:eastAsia="宋体" w:cs="Arial"/>
          <w:color w:val="000000"/>
          <w:sz w:val="21"/>
          <w:lang w:val="en-US" w:eastAsia="zh-CN"/>
        </w:rPr>
      </w:pPr>
      <w:r>
        <w:rPr>
          <w:rFonts w:hint="eastAsia"/>
          <w:lang w:val="en-US" w:eastAsia="zh-CN"/>
        </w:rPr>
        <w:t xml:space="preserve">IETF RFC 7641: </w:t>
      </w:r>
      <w:r>
        <w:t>"</w:t>
      </w:r>
      <w:r>
        <w:rPr>
          <w:rFonts w:hint="default"/>
          <w:lang w:val="en-US" w:eastAsia="zh-CN"/>
        </w:rPr>
        <w:t>Observing Resources in the Constrained Application Protocol (CoAP)</w:t>
      </w:r>
      <w:r>
        <w:t>"</w:t>
      </w:r>
    </w:p>
    <w:bookmarkEnd w:id="6"/>
    <w:p>
      <w:pPr>
        <w:pStyle w:val="54"/>
        <w:spacing w:before="75" w:beforeAutospacing="0" w:after="75" w:afterAutospacing="0" w:line="315" w:lineRule="atLeast"/>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798B3D"/>
    <w:multiLevelType w:val="multilevel"/>
    <w:tmpl w:val="C3798B3D"/>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ascii="Arial Unicode MS" w:hAnsi="Arial Unicode MS" w:eastAsia="宋体" w:cs="宋体"/>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C5F5685"/>
    <w:multiLevelType w:val="multilevel"/>
    <w:tmpl w:val="6C5F568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599B"/>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3DC"/>
    <w:rsid w:val="000D18C5"/>
    <w:rsid w:val="000D2BF9"/>
    <w:rsid w:val="000D46DC"/>
    <w:rsid w:val="000E085F"/>
    <w:rsid w:val="000E1125"/>
    <w:rsid w:val="000E12B4"/>
    <w:rsid w:val="000E1993"/>
    <w:rsid w:val="000E1EF3"/>
    <w:rsid w:val="000E38C6"/>
    <w:rsid w:val="000E3B8A"/>
    <w:rsid w:val="000F00A7"/>
    <w:rsid w:val="000F0A49"/>
    <w:rsid w:val="000F0A7B"/>
    <w:rsid w:val="000F0AC3"/>
    <w:rsid w:val="000F2AE2"/>
    <w:rsid w:val="000F4CFF"/>
    <w:rsid w:val="000F754F"/>
    <w:rsid w:val="000F78FD"/>
    <w:rsid w:val="00100030"/>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5E0D"/>
    <w:rsid w:val="00156C99"/>
    <w:rsid w:val="00160A40"/>
    <w:rsid w:val="00162611"/>
    <w:rsid w:val="001627D9"/>
    <w:rsid w:val="00170667"/>
    <w:rsid w:val="00170C6A"/>
    <w:rsid w:val="00171FF9"/>
    <w:rsid w:val="0017245C"/>
    <w:rsid w:val="00175677"/>
    <w:rsid w:val="00175874"/>
    <w:rsid w:val="00175B74"/>
    <w:rsid w:val="001761E3"/>
    <w:rsid w:val="001767E6"/>
    <w:rsid w:val="00176AC2"/>
    <w:rsid w:val="001778DE"/>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171E"/>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09B"/>
    <w:rsid w:val="00264137"/>
    <w:rsid w:val="002648B6"/>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24F"/>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6CD6"/>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8B"/>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5B7B"/>
    <w:rsid w:val="003E6BF7"/>
    <w:rsid w:val="003E7C95"/>
    <w:rsid w:val="003E7D68"/>
    <w:rsid w:val="003F1437"/>
    <w:rsid w:val="003F3365"/>
    <w:rsid w:val="003F39E3"/>
    <w:rsid w:val="003F4487"/>
    <w:rsid w:val="003F448B"/>
    <w:rsid w:val="003F58F6"/>
    <w:rsid w:val="003F6316"/>
    <w:rsid w:val="003F70CB"/>
    <w:rsid w:val="003F75E0"/>
    <w:rsid w:val="004006A5"/>
    <w:rsid w:val="00401149"/>
    <w:rsid w:val="00401BF9"/>
    <w:rsid w:val="00402720"/>
    <w:rsid w:val="00402985"/>
    <w:rsid w:val="0040444F"/>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75"/>
    <w:rsid w:val="00462A87"/>
    <w:rsid w:val="00462F02"/>
    <w:rsid w:val="0046385A"/>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616"/>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4F6CCB"/>
    <w:rsid w:val="00501570"/>
    <w:rsid w:val="005017DA"/>
    <w:rsid w:val="00501E2B"/>
    <w:rsid w:val="00502A6C"/>
    <w:rsid w:val="0050411A"/>
    <w:rsid w:val="005059C3"/>
    <w:rsid w:val="0050619E"/>
    <w:rsid w:val="005069E2"/>
    <w:rsid w:val="00506B0D"/>
    <w:rsid w:val="00506BCB"/>
    <w:rsid w:val="00506D31"/>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58DF"/>
    <w:rsid w:val="0055689F"/>
    <w:rsid w:val="005601E8"/>
    <w:rsid w:val="00561349"/>
    <w:rsid w:val="00561E2F"/>
    <w:rsid w:val="00561EC5"/>
    <w:rsid w:val="00563B02"/>
    <w:rsid w:val="005657FC"/>
    <w:rsid w:val="00565A48"/>
    <w:rsid w:val="00566030"/>
    <w:rsid w:val="00567054"/>
    <w:rsid w:val="00567A9A"/>
    <w:rsid w:val="005701E9"/>
    <w:rsid w:val="005703E8"/>
    <w:rsid w:val="0057047D"/>
    <w:rsid w:val="00570FEC"/>
    <w:rsid w:val="00571A8C"/>
    <w:rsid w:val="0057377D"/>
    <w:rsid w:val="00576682"/>
    <w:rsid w:val="00581104"/>
    <w:rsid w:val="00581A98"/>
    <w:rsid w:val="00585E04"/>
    <w:rsid w:val="0058687D"/>
    <w:rsid w:val="00586D2A"/>
    <w:rsid w:val="005910DD"/>
    <w:rsid w:val="005940C1"/>
    <w:rsid w:val="0059566C"/>
    <w:rsid w:val="0059585E"/>
    <w:rsid w:val="00597D15"/>
    <w:rsid w:val="005A2BC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FC"/>
    <w:rsid w:val="006503F8"/>
    <w:rsid w:val="00650D0F"/>
    <w:rsid w:val="00651856"/>
    <w:rsid w:val="006521E7"/>
    <w:rsid w:val="0065579F"/>
    <w:rsid w:val="0066001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0A3C"/>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6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5E4B"/>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0C4"/>
    <w:rsid w:val="007D2587"/>
    <w:rsid w:val="007D25F6"/>
    <w:rsid w:val="007D36F2"/>
    <w:rsid w:val="007D3F5E"/>
    <w:rsid w:val="007D5A25"/>
    <w:rsid w:val="007D5A65"/>
    <w:rsid w:val="007D79D8"/>
    <w:rsid w:val="007D7FB1"/>
    <w:rsid w:val="007E0F24"/>
    <w:rsid w:val="007E17B1"/>
    <w:rsid w:val="007E1C73"/>
    <w:rsid w:val="007E1E78"/>
    <w:rsid w:val="007E27C0"/>
    <w:rsid w:val="007E414D"/>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2093"/>
    <w:rsid w:val="00812E27"/>
    <w:rsid w:val="00814945"/>
    <w:rsid w:val="00814985"/>
    <w:rsid w:val="0081500E"/>
    <w:rsid w:val="008160BF"/>
    <w:rsid w:val="00816F96"/>
    <w:rsid w:val="008170EC"/>
    <w:rsid w:val="008175D4"/>
    <w:rsid w:val="008219AF"/>
    <w:rsid w:val="00823AF8"/>
    <w:rsid w:val="008267CB"/>
    <w:rsid w:val="00826C84"/>
    <w:rsid w:val="00827512"/>
    <w:rsid w:val="00835356"/>
    <w:rsid w:val="008355E2"/>
    <w:rsid w:val="00836D5A"/>
    <w:rsid w:val="00837770"/>
    <w:rsid w:val="0083795A"/>
    <w:rsid w:val="00837C9F"/>
    <w:rsid w:val="00841883"/>
    <w:rsid w:val="00841B23"/>
    <w:rsid w:val="00842068"/>
    <w:rsid w:val="00842230"/>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5C7B"/>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C02"/>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0C5F"/>
    <w:rsid w:val="009D159F"/>
    <w:rsid w:val="009D2A16"/>
    <w:rsid w:val="009D34A9"/>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709E"/>
    <w:rsid w:val="00A612B9"/>
    <w:rsid w:val="00A648A1"/>
    <w:rsid w:val="00A6510A"/>
    <w:rsid w:val="00A66B14"/>
    <w:rsid w:val="00A66CF8"/>
    <w:rsid w:val="00A727DA"/>
    <w:rsid w:val="00A72A62"/>
    <w:rsid w:val="00A7440B"/>
    <w:rsid w:val="00A74F48"/>
    <w:rsid w:val="00A756EC"/>
    <w:rsid w:val="00A80598"/>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4276"/>
    <w:rsid w:val="00AC464D"/>
    <w:rsid w:val="00AC4E78"/>
    <w:rsid w:val="00AC51E8"/>
    <w:rsid w:val="00AC6FA1"/>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1F1"/>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2F9F"/>
    <w:rsid w:val="00B43371"/>
    <w:rsid w:val="00B44B9E"/>
    <w:rsid w:val="00B44CA2"/>
    <w:rsid w:val="00B454AE"/>
    <w:rsid w:val="00B45626"/>
    <w:rsid w:val="00B5008D"/>
    <w:rsid w:val="00B50D18"/>
    <w:rsid w:val="00B52464"/>
    <w:rsid w:val="00B5269E"/>
    <w:rsid w:val="00B52A05"/>
    <w:rsid w:val="00B53EAE"/>
    <w:rsid w:val="00B55CF3"/>
    <w:rsid w:val="00B56652"/>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8F7"/>
    <w:rsid w:val="00C00E47"/>
    <w:rsid w:val="00C010AA"/>
    <w:rsid w:val="00C013EF"/>
    <w:rsid w:val="00C02D2A"/>
    <w:rsid w:val="00C0358E"/>
    <w:rsid w:val="00C057BD"/>
    <w:rsid w:val="00C11D21"/>
    <w:rsid w:val="00C11EFC"/>
    <w:rsid w:val="00C1675F"/>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4C0"/>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7B"/>
    <w:rsid w:val="00D25E8B"/>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47FBE"/>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179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3896"/>
    <w:rsid w:val="00E943EE"/>
    <w:rsid w:val="00E94456"/>
    <w:rsid w:val="00E94FE2"/>
    <w:rsid w:val="00E95E39"/>
    <w:rsid w:val="00E9752F"/>
    <w:rsid w:val="00EA0385"/>
    <w:rsid w:val="00EA1795"/>
    <w:rsid w:val="00EA2914"/>
    <w:rsid w:val="00EA3791"/>
    <w:rsid w:val="00EA4D0C"/>
    <w:rsid w:val="00EA4E53"/>
    <w:rsid w:val="00EA6259"/>
    <w:rsid w:val="00EA63A0"/>
    <w:rsid w:val="00EA6F94"/>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198"/>
    <w:rsid w:val="00F2525A"/>
    <w:rsid w:val="00F25BEF"/>
    <w:rsid w:val="00F270BA"/>
    <w:rsid w:val="00F27CEF"/>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27D"/>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B7721E3"/>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4D5097"/>
    <w:rsid w:val="2AA14025"/>
    <w:rsid w:val="2B2348E2"/>
    <w:rsid w:val="2C7F2EA6"/>
    <w:rsid w:val="2D1E05D5"/>
    <w:rsid w:val="2E3973C7"/>
    <w:rsid w:val="3003631E"/>
    <w:rsid w:val="3078124A"/>
    <w:rsid w:val="3090209F"/>
    <w:rsid w:val="33626001"/>
    <w:rsid w:val="339F7746"/>
    <w:rsid w:val="34FA137C"/>
    <w:rsid w:val="38FA0996"/>
    <w:rsid w:val="396E02FE"/>
    <w:rsid w:val="3AA26C9B"/>
    <w:rsid w:val="3ADC5E36"/>
    <w:rsid w:val="3C3F7E0E"/>
    <w:rsid w:val="3E7A082F"/>
    <w:rsid w:val="437906BF"/>
    <w:rsid w:val="44751275"/>
    <w:rsid w:val="44C70D28"/>
    <w:rsid w:val="4625557D"/>
    <w:rsid w:val="465173C0"/>
    <w:rsid w:val="49613924"/>
    <w:rsid w:val="4A6B616F"/>
    <w:rsid w:val="4B3040AF"/>
    <w:rsid w:val="50F36CD9"/>
    <w:rsid w:val="55352203"/>
    <w:rsid w:val="55834BAF"/>
    <w:rsid w:val="55E15918"/>
    <w:rsid w:val="56BF0EA2"/>
    <w:rsid w:val="5BDF3319"/>
    <w:rsid w:val="5EA87B0A"/>
    <w:rsid w:val="5EB119EE"/>
    <w:rsid w:val="61E249AF"/>
    <w:rsid w:val="62B8321C"/>
    <w:rsid w:val="63766DF5"/>
    <w:rsid w:val="63A965A7"/>
    <w:rsid w:val="63E41E32"/>
    <w:rsid w:val="6761194F"/>
    <w:rsid w:val="67A01566"/>
    <w:rsid w:val="67A84465"/>
    <w:rsid w:val="69797C2C"/>
    <w:rsid w:val="6D935AB0"/>
    <w:rsid w:val="6E087119"/>
    <w:rsid w:val="760A43BF"/>
    <w:rsid w:val="7BE208A5"/>
    <w:rsid w:val="7D2A73BF"/>
    <w:rsid w:val="7D87285F"/>
    <w:rsid w:val="7DDB5450"/>
    <w:rsid w:val="7E5940F2"/>
    <w:rsid w:val="7F92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annotation subject"/>
    <w:basedOn w:val="24"/>
    <w:next w:val="24"/>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3"/>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32"/>
      <w:szCs w:val="32"/>
      <w:lang w:val="en-GB"/>
    </w:rPr>
  </w:style>
  <w:style w:type="character" w:customStyle="1" w:styleId="72">
    <w:name w:val="标题 3 Char"/>
    <w:basedOn w:val="59"/>
    <w:link w:val="4"/>
    <w:qFormat/>
    <w:uiPriority w:val="0"/>
    <w:rPr>
      <w:b/>
      <w:bCs/>
      <w:kern w:val="2"/>
      <w:sz w:val="32"/>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5"/>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6"/>
    <w:qFormat/>
    <w:uiPriority w:val="0"/>
  </w:style>
  <w:style w:type="paragraph" w:customStyle="1" w:styleId="216">
    <w:name w:val="其他发布日期"/>
    <w:basedOn w:val="166"/>
    <w:qFormat/>
    <w:uiPriority w:val="0"/>
  </w:style>
  <w:style w:type="paragraph" w:customStyle="1" w:styleId="217">
    <w:name w:val="B4"/>
    <w:basedOn w:val="47"/>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link w:val="29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8"/>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Revision"/>
    <w:hidden/>
    <w:semiHidden/>
    <w:qFormat/>
    <w:uiPriority w:val="99"/>
    <w:rPr>
      <w:rFonts w:ascii="Arial" w:hAnsi="Arial" w:cs="Times New Roman" w:eastAsiaTheme="minorEastAsia"/>
      <w:kern w:val="2"/>
      <w:sz w:val="21"/>
      <w:szCs w:val="21"/>
      <w:lang w:val="en-GB" w:eastAsia="en-GB" w:bidi="ar-SA"/>
    </w:rPr>
  </w:style>
  <w:style w:type="character" w:customStyle="1" w:styleId="287">
    <w:name w:val="Unresolved Mention1"/>
    <w:basedOn w:val="59"/>
    <w:semiHidden/>
    <w:unhideWhenUsed/>
    <w:qFormat/>
    <w:uiPriority w:val="99"/>
    <w:rPr>
      <w:color w:val="605E5C"/>
      <w:shd w:val="clear" w:color="auto" w:fill="E1DFDD"/>
    </w:rPr>
  </w:style>
  <w:style w:type="character" w:customStyle="1" w:styleId="288">
    <w:name w:val="NO Char"/>
    <w:qFormat/>
    <w:uiPriority w:val="0"/>
    <w:rPr>
      <w:rFonts w:ascii="Times New Roman" w:hAnsi="Times New Roman" w:eastAsia="Times New Roman"/>
    </w:rPr>
  </w:style>
  <w:style w:type="paragraph" w:customStyle="1" w:styleId="289">
    <w:name w:val="CR Cover Page"/>
    <w:qFormat/>
    <w:uiPriority w:val="0"/>
    <w:pPr>
      <w:spacing w:after="120"/>
    </w:pPr>
    <w:rPr>
      <w:rFonts w:ascii="Arial" w:hAnsi="Arial" w:cs="Times New Roman" w:eastAsiaTheme="minorEastAsia"/>
      <w:lang w:val="en-GB" w:eastAsia="en-US" w:bidi="ar-SA"/>
    </w:rPr>
  </w:style>
  <w:style w:type="character" w:customStyle="1" w:styleId="290">
    <w:name w:val="Editor's Note Char"/>
    <w:link w:val="239"/>
    <w:qFormat/>
    <w:locked/>
    <w:uiPriority w:val="0"/>
    <w:rPr>
      <w:rFonts w:eastAsia="MS Mincho"/>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46689-48DB-4795-A991-F3CC80722C4B}">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520</Words>
  <Characters>2967</Characters>
  <Lines>24</Lines>
  <Paragraphs>6</Paragraphs>
  <TotalTime>52</TotalTime>
  <ScaleCrop>false</ScaleCrop>
  <LinksUpToDate>false</LinksUpToDate>
  <CharactersWithSpaces>3481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2021-08-12T10:03:00Z</dcterms:created>
  <dc:creator>10033860</dc:creator>
  <cp:lastModifiedBy>00060169</cp:lastModifiedBy>
  <cp:lastPrinted>2113-01-01T00:00:00Z</cp:lastPrinted>
  <dcterms:modified xsi:type="dcterms:W3CDTF">2021-11-04T09:31:29Z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