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3E7CB" w14:textId="25F809F9" w:rsidR="00510B75" w:rsidRDefault="00510B75" w:rsidP="00510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510B75">
        <w:rPr>
          <w:b/>
          <w:noProof/>
          <w:sz w:val="24"/>
        </w:rPr>
        <w:t>C1-220081</w:t>
      </w:r>
    </w:p>
    <w:p w14:paraId="6A303E98" w14:textId="77777777" w:rsidR="00510B75" w:rsidRDefault="00510B75" w:rsidP="00510B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56BE86D" w14:textId="322B9109" w:rsidR="005E3C11" w:rsidRDefault="005E3C11" w:rsidP="005E3C1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="00AA461C" w:rsidRPr="00AA461C">
        <w:rPr>
          <w:rFonts w:ascii="Arial" w:hAnsi="Arial" w:cs="Arial"/>
          <w:b/>
          <w:bCs/>
          <w:sz w:val="24"/>
        </w:rPr>
        <w:t>R3-216140</w:t>
      </w:r>
    </w:p>
    <w:p w14:paraId="67C04F46" w14:textId="77777777" w:rsidR="005E3C11" w:rsidRDefault="005E3C11" w:rsidP="005E3C1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6A6B5F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to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57D572D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</w:t>
      </w:r>
      <w:r w:rsidR="001611BF" w:rsidRPr="001611BF">
        <w:rPr>
          <w:rFonts w:ascii="Arial" w:hAnsi="Arial" w:cs="Arial"/>
          <w:b/>
        </w:rPr>
        <w:t>S2-2108171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R3-215801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1C99E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611BF">
        <w:rPr>
          <w:color w:val="000000" w:themeColor="text1"/>
        </w:rPr>
        <w:t>RAN3</w:t>
      </w:r>
    </w:p>
    <w:p w14:paraId="2CB1D378" w14:textId="47617F28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1611BF" w:rsidRPr="00172984">
        <w:rPr>
          <w:lang w:val="it-IT"/>
        </w:rPr>
        <w:t>SA2</w:t>
      </w:r>
    </w:p>
    <w:p w14:paraId="68EB792B" w14:textId="62633FDC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>, CT4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15B1439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1611BF" w:rsidRPr="001611BF">
        <w:rPr>
          <w:color w:val="000000" w:themeColor="text1"/>
          <w:lang w:val="it-IT"/>
        </w:rPr>
        <w:t>Angelo Centonza</w:t>
      </w:r>
    </w:p>
    <w:p w14:paraId="634D86F9" w14:textId="4C361CB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1611BF" w:rsidRPr="001611BF">
        <w:rPr>
          <w:bCs/>
          <w:color w:val="0000FF"/>
          <w:lang w:val="it-IT"/>
        </w:rPr>
        <w:t>angelo.centonza@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4896DD8F" w:rsidR="006A4974" w:rsidRDefault="001611BF" w:rsidP="00161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DE2466" w:rsidRPr="00676273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 xml:space="preserve">SA2 </w:t>
      </w:r>
      <w:r w:rsidR="00DE2466" w:rsidRPr="00676273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 xml:space="preserve">reply </w:t>
      </w:r>
      <w:r w:rsidR="00DE2466" w:rsidRPr="00676273">
        <w:rPr>
          <w:rFonts w:ascii="Arial" w:hAnsi="Arial" w:cs="Arial"/>
        </w:rPr>
        <w:t xml:space="preserve">LS on </w:t>
      </w:r>
      <w:r w:rsidR="00DE2466">
        <w:rPr>
          <w:rFonts w:ascii="Arial" w:hAnsi="Arial" w:cs="Arial"/>
        </w:rPr>
        <w:t>ACL support Indirect Data Forwarding</w:t>
      </w:r>
      <w:r w:rsidR="00DE2466" w:rsidRPr="00676273">
        <w:rPr>
          <w:rFonts w:ascii="Arial" w:hAnsi="Arial" w:cs="Arial"/>
        </w:rPr>
        <w:t>.</w:t>
      </w:r>
    </w:p>
    <w:p w14:paraId="5EBE80E7" w14:textId="77777777" w:rsidR="001611BF" w:rsidRDefault="001611BF" w:rsidP="001611BF">
      <w:pPr>
        <w:rPr>
          <w:rFonts w:ascii="Arial" w:hAnsi="Arial"/>
        </w:rPr>
      </w:pPr>
    </w:p>
    <w:p w14:paraId="5CDA3431" w14:textId="3AD9A74E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ask</w:t>
      </w:r>
      <w:r w:rsidR="001611BF">
        <w:rPr>
          <w:rFonts w:ascii="Arial" w:hAnsi="Arial"/>
        </w:rPr>
        <w:t>ed</w:t>
      </w:r>
      <w:r>
        <w:rPr>
          <w:rFonts w:ascii="Arial" w:hAnsi="Arial"/>
        </w:rPr>
        <w:t xml:space="preserve">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AF427EA" w14:textId="13AC07EA" w:rsidR="001611BF" w:rsidRDefault="001611BF" w:rsidP="00CA5DBD">
      <w:pPr>
        <w:pStyle w:val="Header"/>
        <w:rPr>
          <w:rFonts w:ascii="Arial" w:hAnsi="Arial"/>
        </w:rPr>
      </w:pPr>
    </w:p>
    <w:p w14:paraId="49B84F8F" w14:textId="332DB153" w:rsidR="001611BF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discussed this use case and agreed that the source address for a normal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 may be configured at the RAN. Hence this use case is considered of lower priority and a solution for it is not needed.</w:t>
      </w:r>
    </w:p>
    <w:p w14:paraId="7AF889A7" w14:textId="2BC5B6F8" w:rsidR="001611BF" w:rsidRDefault="001611BF" w:rsidP="00CA5DBD">
      <w:pPr>
        <w:pStyle w:val="Header"/>
        <w:rPr>
          <w:rFonts w:ascii="Arial" w:hAnsi="Arial"/>
        </w:rPr>
      </w:pPr>
    </w:p>
    <w:p w14:paraId="0C987955" w14:textId="77777777" w:rsidR="00172984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RAN3 would</w:t>
      </w:r>
      <w:r w:rsidR="00172984">
        <w:rPr>
          <w:rFonts w:ascii="Arial" w:hAnsi="Arial"/>
        </w:rPr>
        <w:t xml:space="preserve"> </w:t>
      </w:r>
      <w:r>
        <w:rPr>
          <w:rFonts w:ascii="Arial" w:hAnsi="Arial"/>
        </w:rPr>
        <w:t xml:space="preserve">like to point out that the case of indirect data forwarding is different because the UP GW responsible for data forwarding may be different from the UP GW serving the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</w:t>
      </w:r>
      <w:r w:rsidR="00172984">
        <w:rPr>
          <w:rFonts w:ascii="Arial" w:hAnsi="Arial"/>
        </w:rPr>
        <w:t xml:space="preserve">. </w:t>
      </w:r>
    </w:p>
    <w:p w14:paraId="5B08FFC4" w14:textId="7956A8D9" w:rsidR="001611BF" w:rsidRDefault="00172984" w:rsidP="00CA5DBD">
      <w:pPr>
        <w:pStyle w:val="Header"/>
        <w:rPr>
          <w:rFonts w:ascii="Arial" w:hAnsi="Arial"/>
        </w:rPr>
      </w:pPr>
      <w:r>
        <w:rPr>
          <w:rFonts w:ascii="Arial" w:hAnsi="Arial"/>
          <w:lang w:val="en-US" w:eastAsia="zh-CN"/>
        </w:rPr>
        <w:t>RAN3 would like to ask SA2 to confirm whether this understanding is correct and whether the UP GW selection for data forwarding is subject to any limitations.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67D43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11BF">
        <w:rPr>
          <w:rFonts w:ascii="Arial" w:hAnsi="Arial" w:cs="Arial"/>
          <w:b/>
        </w:rPr>
        <w:t>SA2</w:t>
      </w:r>
    </w:p>
    <w:p w14:paraId="342859A1" w14:textId="1924060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11BF" w:rsidRPr="001611BF">
        <w:rPr>
          <w:rFonts w:ascii="Arial" w:hAnsi="Arial" w:cs="Arial"/>
          <w:bCs/>
        </w:rPr>
        <w:t xml:space="preserve">RAN3 </w:t>
      </w:r>
      <w:r w:rsidR="001611BF">
        <w:rPr>
          <w:rFonts w:ascii="Arial" w:hAnsi="Arial" w:cs="Arial"/>
        </w:rPr>
        <w:t>kindly asks SA2 to take the above into 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CF9364" w14:textId="77777777" w:rsidR="001611BF" w:rsidRPr="001611BF" w:rsidRDefault="001611BF" w:rsidP="001611BF">
      <w:pPr>
        <w:spacing w:after="120"/>
        <w:rPr>
          <w:rFonts w:ascii="Arial" w:hAnsi="Arial" w:cs="Arial"/>
          <w:b/>
        </w:rPr>
      </w:pPr>
      <w:r w:rsidRPr="001611BF">
        <w:rPr>
          <w:rFonts w:ascii="Arial" w:hAnsi="Arial" w:cs="Arial"/>
          <w:b/>
        </w:rPr>
        <w:t>3. Dates of next TSG RAN3 meetings</w:t>
      </w:r>
    </w:p>
    <w:p w14:paraId="3B563D2B" w14:textId="4412C176" w:rsidR="001611BF" w:rsidRPr="002F1940" w:rsidRDefault="001611BF" w:rsidP="001611BF">
      <w:r>
        <w:t xml:space="preserve">The upcoming RAN3 meetings can be found in the </w:t>
      </w:r>
      <w:hyperlink r:id="rId11" w:anchor="/" w:history="1">
        <w:r>
          <w:rPr>
            <w:rStyle w:val="Hyperlink"/>
          </w:rPr>
          <w:t>RAN3 Meetings calendar</w:t>
        </w:r>
      </w:hyperlink>
      <w:r>
        <w:t xml:space="preserve"> 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E9F3E" w14:textId="77777777" w:rsidR="00807D1E" w:rsidRDefault="00807D1E">
      <w:r>
        <w:separator/>
      </w:r>
    </w:p>
  </w:endnote>
  <w:endnote w:type="continuationSeparator" w:id="0">
    <w:p w14:paraId="45F845CE" w14:textId="77777777" w:rsidR="00807D1E" w:rsidRDefault="0080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0D35D" w14:textId="77777777" w:rsidR="00807D1E" w:rsidRDefault="00807D1E">
      <w:r>
        <w:separator/>
      </w:r>
    </w:p>
  </w:footnote>
  <w:footnote w:type="continuationSeparator" w:id="0">
    <w:p w14:paraId="51CBAE7E" w14:textId="77777777" w:rsidR="00807D1E" w:rsidRDefault="00807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0B75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07D1E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3</cp:revision>
  <cp:lastPrinted>2002-04-23T07:10:00Z</cp:lastPrinted>
  <dcterms:created xsi:type="dcterms:W3CDTF">2021-11-11T10:42:00Z</dcterms:created>
  <dcterms:modified xsi:type="dcterms:W3CDTF">2022-01-07T17:07:00Z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