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i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>
            <w:rPr>
              <w:rFonts w:ascii="Arial" w:eastAsia="DengXian" w:hAnsi="Arial"/>
              <w:b/>
              <w:noProof/>
              <w:sz w:val="24"/>
              <w:lang w:eastAsia="en-US"/>
            </w:rPr>
            <w:t>TSG CT</w:t>
          </w:r>
        </w:smartTag>
      </w:smartTag>
      <w:r>
        <w:rPr>
          <w:rFonts w:ascii="Arial" w:eastAsia="DengXian" w:hAnsi="Arial"/>
          <w:b/>
          <w:noProof/>
          <w:sz w:val="24"/>
          <w:lang w:eastAsia="en-US"/>
        </w:rPr>
        <w:t xml:space="preserve"> WG1 Meeting #126-e</w:t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noProof/>
          <w:sz w:val="24"/>
          <w:lang w:eastAsia="en-US"/>
        </w:rPr>
        <w:t>C1-20649</w:t>
      </w:r>
      <w:r>
        <w:rPr>
          <w:rFonts w:ascii="Arial" w:eastAsia="DengXian" w:hAnsi="Arial"/>
          <w:b/>
          <w:noProof/>
          <w:sz w:val="24"/>
          <w:lang w:eastAsia="en-US"/>
        </w:rPr>
        <w:t>9</w:t>
      </w:r>
      <w:bookmarkStart w:id="0" w:name="_GoBack"/>
      <w:bookmarkEnd w:id="0"/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Electronic meeting, 15-26 October 2020</w:t>
      </w:r>
    </w:p>
    <w:p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/>
        </w:rPr>
      </w:pPr>
      <w:r>
        <w:rPr>
          <w:rFonts w:eastAsia="Arial Unicode MS" w:cs="Arial"/>
          <w:bCs/>
          <w:sz w:val="24"/>
          <w:lang w:val="en-US"/>
        </w:rPr>
        <w:t>3GPP TSG-SA WG2 Meeting #141E</w:t>
      </w:r>
      <w:r>
        <w:rPr>
          <w:rFonts w:eastAsia="Arial Unicode MS" w:cs="Arial"/>
          <w:bCs/>
          <w:sz w:val="24"/>
          <w:lang w:val="en-US"/>
        </w:rPr>
        <w:tab/>
        <w:t>S2-200</w:t>
      </w:r>
      <w:r>
        <w:rPr>
          <w:rFonts w:eastAsia="Arial Unicode MS" w:cs="Arial" w:hint="eastAsia"/>
          <w:bCs/>
          <w:sz w:val="24"/>
          <w:lang w:val="en-US"/>
        </w:rPr>
        <w:t>8238</w:t>
      </w:r>
    </w:p>
    <w:p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2</w:t>
      </w:r>
      <w:r>
        <w:rPr>
          <w:rFonts w:eastAsia="Arial Unicode MS" w:cs="Arial"/>
          <w:b/>
          <w:bCs/>
          <w:sz w:val="24"/>
          <w:lang w:eastAsia="zh-CN"/>
        </w:rPr>
        <w:t xml:space="preserve"> - 2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October</w:t>
      </w:r>
      <w:r>
        <w:rPr>
          <w:rFonts w:eastAsia="Arial Unicode MS" w:cs="Arial"/>
          <w:b/>
          <w:bCs/>
          <w:sz w:val="24"/>
          <w:lang w:eastAsia="zh-CN"/>
        </w:rPr>
        <w:t>, 2020, Electronic</w:t>
      </w:r>
      <w:r>
        <w:rPr>
          <w:rFonts w:cs="Arial"/>
          <w:b/>
          <w:noProof/>
          <w:color w:val="0000FF"/>
        </w:rPr>
        <w:tab/>
      </w: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</w:rPr>
      </w:pP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</w:rPr>
        <w:t xml:space="preserve">Reply LS on </w:t>
      </w:r>
      <w:r>
        <w:rPr>
          <w:rFonts w:ascii="Arial" w:eastAsiaTheme="minorEastAsia" w:hAnsi="Arial" w:cs="Arial"/>
        </w:rPr>
        <w:t>Counter of UEs Registering Network Slice</w:t>
      </w: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</w:rPr>
      </w:pPr>
      <w:r>
        <w:rPr>
          <w:rFonts w:ascii="Arial" w:hAnsi="Arial" w:cs="Arial"/>
        </w:rPr>
        <w:t>Release:</w:t>
      </w:r>
      <w:r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</w:rPr>
        <w:t>6</w:t>
      </w: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Work Item:</w:t>
      </w:r>
      <w:r>
        <w:rPr>
          <w:rFonts w:ascii="Arial" w:hAnsi="Arial" w:cs="Arial"/>
        </w:rPr>
        <w:tab/>
        <w:t>SBIProtoc16</w:t>
      </w: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Source:</w:t>
      </w:r>
      <w:r>
        <w:rPr>
          <w:rFonts w:ascii="Arial" w:hAnsi="Arial" w:cs="Arial"/>
          <w:lang w:val="fr-FR"/>
        </w:rPr>
        <w:tab/>
        <w:t>SA2</w:t>
      </w: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/>
        </w:rPr>
      </w:pPr>
      <w:r>
        <w:rPr>
          <w:rFonts w:ascii="Arial" w:hAnsi="Arial" w:cs="Arial"/>
          <w:lang w:val="fr-FR"/>
        </w:rPr>
        <w:t>To:</w:t>
      </w:r>
      <w:r>
        <w:rPr>
          <w:rFonts w:ascii="Arial" w:hAnsi="Arial" w:cs="Arial"/>
          <w:lang w:val="fr-FR"/>
        </w:rPr>
        <w:tab/>
      </w:r>
      <w:r>
        <w:rPr>
          <w:rFonts w:ascii="Arial" w:eastAsiaTheme="minorEastAsia" w:hAnsi="Arial" w:cs="Arial" w:hint="eastAsia"/>
          <w:lang w:val="fr-FR"/>
        </w:rPr>
        <w:t xml:space="preserve">CT4, </w:t>
      </w:r>
      <w:r>
        <w:rPr>
          <w:rFonts w:ascii="Arial" w:hAnsi="Arial" w:cs="Arial"/>
          <w:lang w:val="fr-FR"/>
        </w:rPr>
        <w:t>SA</w:t>
      </w:r>
      <w:r>
        <w:rPr>
          <w:rFonts w:ascii="Arial" w:eastAsiaTheme="minorEastAsia" w:hAnsi="Arial" w:cs="Arial" w:hint="eastAsia"/>
          <w:lang w:val="fr-FR"/>
        </w:rPr>
        <w:t>5</w:t>
      </w:r>
    </w:p>
    <w:p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/>
        </w:rPr>
      </w:pPr>
      <w:r>
        <w:rPr>
          <w:rFonts w:ascii="Arial" w:eastAsiaTheme="minorEastAsia" w:hAnsi="Arial" w:cs="Arial" w:hint="eastAsia"/>
          <w:lang w:val="fr-FR"/>
        </w:rPr>
        <w:t>Cc</w:t>
      </w:r>
      <w:r>
        <w:rPr>
          <w:rFonts w:ascii="Arial" w:eastAsiaTheme="minorEastAsia" w:hAnsi="Arial" w:cs="Arial" w:hint="eastAsia"/>
          <w:lang w:val="fr-FR"/>
        </w:rPr>
        <w:t>：</w:t>
      </w:r>
      <w:r>
        <w:rPr>
          <w:rFonts w:ascii="Arial" w:eastAsiaTheme="minorEastAsia" w:hAnsi="Arial" w:cs="Arial" w:hint="eastAsia"/>
          <w:lang w:val="fr-FR"/>
        </w:rPr>
        <w:t xml:space="preserve">                            CT1</w:t>
      </w:r>
    </w:p>
    <w:p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>
        <w:rPr>
          <w:rFonts w:ascii="Arial" w:hAnsi="Arial" w:cs="Arial"/>
          <w:b/>
          <w:sz w:val="21"/>
          <w:szCs w:val="22"/>
        </w:rPr>
        <w:t>Contact person:</w:t>
      </w:r>
      <w:r>
        <w:rPr>
          <w:rFonts w:ascii="Arial" w:hAnsi="Arial" w:cs="Arial"/>
          <w:b/>
          <w:bCs/>
          <w:sz w:val="21"/>
          <w:szCs w:val="22"/>
        </w:rPr>
        <w:tab/>
        <w:t>Name:</w:t>
      </w:r>
      <w:r>
        <w:rPr>
          <w:rFonts w:ascii="Arial" w:hAnsi="Arial" w:cs="Arial"/>
          <w:b/>
          <w:bCs/>
          <w:sz w:val="21"/>
          <w:szCs w:val="22"/>
        </w:rPr>
        <w:tab/>
        <w:t>Dan Wang</w:t>
      </w:r>
    </w:p>
    <w:p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</w:rPr>
      </w:pPr>
      <w:r>
        <w:rPr>
          <w:rFonts w:ascii="Arial" w:hAnsi="Arial" w:cs="Arial"/>
          <w:b/>
          <w:bCs/>
          <w:sz w:val="21"/>
          <w:szCs w:val="22"/>
        </w:rPr>
        <w:t>E-mail Address:</w:t>
      </w:r>
      <w:r>
        <w:rPr>
          <w:rFonts w:ascii="Arial" w:hAnsi="Arial" w:cs="Arial"/>
          <w:b/>
          <w:bCs/>
          <w:sz w:val="21"/>
          <w:szCs w:val="22"/>
        </w:rPr>
        <w:tab/>
        <w:t>wangdanyjy</w:t>
      </w:r>
      <w:r>
        <w:rPr>
          <w:rFonts w:ascii="Arial" w:eastAsiaTheme="minorEastAsia" w:hAnsi="Arial" w:cs="Arial"/>
          <w:b/>
          <w:bCs/>
          <w:sz w:val="21"/>
          <w:szCs w:val="22"/>
        </w:rPr>
        <w:t xml:space="preserve"> AT </w:t>
      </w:r>
      <w:r>
        <w:rPr>
          <w:rFonts w:ascii="Arial" w:hAnsi="Arial" w:cs="Arial"/>
          <w:b/>
          <w:bCs/>
          <w:sz w:val="21"/>
          <w:szCs w:val="22"/>
        </w:rPr>
        <w:t>chinamobile</w:t>
      </w:r>
      <w:r>
        <w:rPr>
          <w:rFonts w:ascii="Arial" w:eastAsiaTheme="minorEastAsia" w:hAnsi="Arial" w:cs="Arial"/>
          <w:b/>
          <w:bCs/>
          <w:sz w:val="21"/>
          <w:szCs w:val="22"/>
        </w:rPr>
        <w:t xml:space="preserve"> DOT </w:t>
      </w:r>
      <w:r>
        <w:rPr>
          <w:rFonts w:ascii="Arial" w:hAnsi="Arial" w:cs="Arial"/>
          <w:b/>
          <w:bCs/>
          <w:sz w:val="21"/>
          <w:szCs w:val="22"/>
        </w:rPr>
        <w:t>com</w:t>
      </w:r>
    </w:p>
    <w:p>
      <w:pPr>
        <w:rPr>
          <w:rFonts w:ascii="Arial" w:eastAsiaTheme="minorEastAsia" w:hAnsi="Arial" w:cs="Arial"/>
          <w:b/>
          <w:bCs/>
          <w:sz w:val="21"/>
          <w:szCs w:val="22"/>
        </w:rPr>
      </w:pPr>
      <w:r>
        <w:rPr>
          <w:rFonts w:ascii="Arial" w:hAnsi="Arial" w:cs="Arial"/>
          <w:b/>
          <w:bCs/>
          <w:sz w:val="21"/>
          <w:szCs w:val="22"/>
        </w:rPr>
        <w:t>Send any reply LS to:</w:t>
      </w:r>
      <w:r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>
        <w:rPr>
          <w:rFonts w:ascii="Arial" w:eastAsiaTheme="minorEastAsia" w:hAnsi="Arial" w:cs="Arial" w:hint="eastAsia"/>
          <w:b/>
          <w:bCs/>
          <w:sz w:val="21"/>
          <w:szCs w:val="22"/>
        </w:rPr>
        <w:t xml:space="preserve">  </w:t>
      </w:r>
    </w:p>
    <w:p>
      <w:pPr>
        <w:pStyle w:val="CRCoverPage"/>
        <w:tabs>
          <w:tab w:val="right" w:pos="9638"/>
        </w:tabs>
        <w:spacing w:after="0"/>
        <w:outlineLvl w:val="0"/>
      </w:pPr>
      <w:r>
        <w:rPr>
          <w:rFonts w:eastAsia="Times New Roman" w:cs="Arial"/>
          <w:b/>
          <w:color w:val="000000"/>
          <w:lang w:eastAsia="ja-JP"/>
        </w:rPr>
        <w:t>Attachments:</w:t>
      </w:r>
      <w:r>
        <w:rPr>
          <w:rFonts w:cs="Arial" w:hint="eastAsia"/>
          <w:b/>
          <w:color w:val="000000"/>
          <w:lang w:eastAsia="zh-CN"/>
        </w:rPr>
        <w:t xml:space="preserve">             </w:t>
      </w:r>
      <w:r>
        <w:rPr>
          <w:rFonts w:eastAsia="Times New Roman" w:cs="Arial"/>
          <w:bCs/>
          <w:color w:val="000000"/>
          <w:lang w:eastAsia="ja-JP"/>
        </w:rPr>
        <w:tab/>
      </w: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rFonts w:ascii="Arial" w:eastAsia="SimSun" w:hAnsi="Arial" w:cs="Arial"/>
          <w:sz w:val="18"/>
          <w:szCs w:val="18"/>
        </w:rPr>
      </w:pPr>
      <w:r>
        <w:rPr>
          <w:rFonts w:ascii="Arial" w:eastAsia="SimSun" w:hAnsi="Arial" w:cs="Arial"/>
          <w:sz w:val="18"/>
          <w:szCs w:val="18"/>
        </w:rPr>
        <w:t xml:space="preserve">SA2 thanks CT4 for the LS on Counter of UEs Registering Network Slice. </w:t>
      </w:r>
    </w:p>
    <w:p>
      <w:pPr>
        <w:pStyle w:val="Header"/>
        <w:rPr>
          <w:rFonts w:cs="Arial"/>
          <w:b w:val="0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 xml:space="preserve">Question1: </w:t>
      </w:r>
      <w:r>
        <w:rPr>
          <w:rFonts w:cs="Arial"/>
          <w:b w:val="0"/>
          <w:color w:val="000000" w:themeColor="text1"/>
          <w:lang w:val="en-US"/>
        </w:rPr>
        <w:t>For a given UE, which S-NSSAIs are considered as being registered to and thus be signalled by AMF to UDM, E.g. the S-NSSAIs contained in the “Allowed NSSAI” most recently sent to the UE?</w:t>
      </w:r>
    </w:p>
    <w:p>
      <w:pPr>
        <w:pStyle w:val="Header"/>
        <w:rPr>
          <w:rFonts w:eastAsiaTheme="minorEastAsia" w:cs="Arial"/>
          <w:color w:val="000000" w:themeColor="text1"/>
          <w:lang w:val="en-US"/>
        </w:rPr>
      </w:pPr>
    </w:p>
    <w:p>
      <w:pPr>
        <w:pStyle w:val="Header"/>
        <w:rPr>
          <w:rFonts w:eastAsiaTheme="minorEastAsia" w:cs="Arial"/>
          <w:b w:val="0"/>
          <w:color w:val="000000" w:themeColor="text1"/>
          <w:lang w:val="en-US"/>
        </w:rPr>
      </w:pPr>
      <w:r>
        <w:rPr>
          <w:rFonts w:eastAsiaTheme="minorEastAsia" w:cs="Arial"/>
          <w:b w:val="0"/>
          <w:color w:val="000000" w:themeColor="text1"/>
          <w:lang w:val="en-US"/>
        </w:rPr>
        <w:t xml:space="preserve">Answer from SA2: SA2 </w:t>
      </w:r>
      <w:r>
        <w:rPr>
          <w:rFonts w:eastAsia="SimSun"/>
          <w:b w:val="0"/>
          <w:lang w:val="en-US"/>
        </w:rPr>
        <w:t>does not support the AMF updating the registration in the UDM for reporting Allowed NSSAI per UE in Release 16. Please note that SA2 studies a functionality about counting the number of UEs registered with a Network Slice within the Rel-17 SID "eNS_ph2" documented in the TR 23.700-40 in the KI#1. SA2 has not yet reached a conclusion for this functionality. SA2 proposes to wait with progressing any changes to normative specifications until the study in SA2 has been concluded.</w:t>
      </w:r>
    </w:p>
    <w:p>
      <w:pPr>
        <w:pStyle w:val="Header"/>
        <w:rPr>
          <w:rFonts w:cs="Arial"/>
          <w:color w:val="000000" w:themeColor="text1"/>
          <w:lang w:val="en-US"/>
        </w:rPr>
      </w:pPr>
    </w:p>
    <w:p>
      <w:pPr>
        <w:pStyle w:val="Header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 xml:space="preserve">Question2: </w:t>
      </w:r>
      <w:r>
        <w:rPr>
          <w:rFonts w:cs="Arial"/>
          <w:b w:val="0"/>
          <w:color w:val="000000" w:themeColor="text1"/>
          <w:lang w:val="en-US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>
      <w:pPr>
        <w:pStyle w:val="Header"/>
        <w:rPr>
          <w:rFonts w:eastAsiaTheme="minorEastAsia" w:cs="Arial"/>
          <w:color w:val="000000" w:themeColor="text1"/>
          <w:lang w:val="en-US"/>
        </w:rPr>
      </w:pPr>
    </w:p>
    <w:p>
      <w:pPr>
        <w:pStyle w:val="Header"/>
        <w:rPr>
          <w:rFonts w:eastAsiaTheme="minorEastAsia" w:cs="Arial"/>
          <w:b w:val="0"/>
          <w:color w:val="000000" w:themeColor="text1"/>
          <w:lang w:val="en-US"/>
        </w:rPr>
      </w:pPr>
      <w:r>
        <w:rPr>
          <w:rFonts w:eastAsiaTheme="minorEastAsia" w:cs="Arial"/>
          <w:b w:val="0"/>
          <w:color w:val="000000" w:themeColor="text1"/>
          <w:lang w:val="en-US"/>
        </w:rPr>
        <w:t>Answer from SA2: See the answer above.</w:t>
      </w:r>
    </w:p>
    <w:p>
      <w:pPr>
        <w:pStyle w:val="Header"/>
        <w:rPr>
          <w:rFonts w:cs="Arial"/>
          <w:color w:val="000000" w:themeColor="text1"/>
          <w:lang w:val="en-US"/>
        </w:rPr>
      </w:pPr>
    </w:p>
    <w:p>
      <w:r>
        <w:rPr>
          <w:rFonts w:ascii="Arial" w:hAnsi="Arial" w:cs="Arial" w:hint="eastAsia"/>
          <w:b/>
          <w:noProof/>
          <w:color w:val="000000" w:themeColor="text1"/>
          <w:sz w:val="18"/>
        </w:rPr>
        <w:t xml:space="preserve">Question3: </w:t>
      </w:r>
      <w:r>
        <w:rPr>
          <w:rFonts w:ascii="Arial" w:hAnsi="Arial" w:cs="Arial" w:hint="eastAsia"/>
          <w:noProof/>
          <w:color w:val="000000" w:themeColor="text1"/>
          <w:sz w:val="18"/>
        </w:rPr>
        <w:t>I</w:t>
      </w:r>
      <w:r>
        <w:rPr>
          <w:rFonts w:ascii="Arial" w:hAnsi="Arial" w:cs="Arial"/>
          <w:noProof/>
          <w:color w:val="000000" w:themeColor="text1"/>
          <w:sz w:val="18"/>
        </w:rPr>
        <w:t>f the UE newly registers via 3GPP while it is already registered via non-3GPP access (or vice versa) shall  the UE be counted once or twice?</w:t>
      </w:r>
    </w:p>
    <w:p>
      <w:pPr>
        <w:rPr>
          <w:rFonts w:eastAsia="SimSun"/>
          <w:lang w:eastAsia="en-US"/>
        </w:rPr>
      </w:pPr>
      <w:r>
        <w:rPr>
          <w:rFonts w:ascii="Arial" w:eastAsiaTheme="minorEastAsia" w:hAnsi="Arial" w:cs="Arial"/>
          <w:noProof/>
          <w:color w:val="000000" w:themeColor="text1"/>
          <w:sz w:val="18"/>
        </w:rPr>
        <w:t>Answer from SA2: See the answer above.</w:t>
      </w:r>
    </w:p>
    <w:p>
      <w:pPr>
        <w:pStyle w:val="Heading1"/>
      </w:pPr>
      <w:r>
        <w:t>2</w:t>
      </w:r>
      <w:r>
        <w:tab/>
        <w:t>Actions</w:t>
      </w:r>
    </w:p>
    <w:p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>
        <w:rPr>
          <w:rFonts w:ascii="Arial" w:eastAsiaTheme="minorEastAsia" w:hAnsi="Arial" w:cs="Arial"/>
          <w:b/>
          <w:color w:val="000000" w:themeColor="text1"/>
          <w:lang w:eastAsia="en-US"/>
        </w:rPr>
        <w:t>To CT</w:t>
      </w:r>
      <w:r>
        <w:rPr>
          <w:rFonts w:ascii="Arial" w:eastAsiaTheme="minorEastAsia" w:hAnsi="Arial" w:cs="Arial" w:hint="eastAsia"/>
          <w:b/>
          <w:color w:val="000000" w:themeColor="text1"/>
        </w:rPr>
        <w:t xml:space="preserve"> WG</w:t>
      </w:r>
      <w:r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>
        <w:rPr>
          <w:rFonts w:ascii="Arial" w:eastAsiaTheme="minorEastAsia" w:hAnsi="Arial" w:cs="Arial" w:hint="eastAsia"/>
          <w:b/>
          <w:color w:val="000000" w:themeColor="text1"/>
        </w:rPr>
        <w:t xml:space="preserve"> WG</w:t>
      </w:r>
      <w:r>
        <w:rPr>
          <w:rFonts w:ascii="Arial" w:eastAsiaTheme="minorEastAsia" w:hAnsi="Arial" w:cs="Arial" w:hint="eastAsia"/>
          <w:b/>
          <w:color w:val="000000" w:themeColor="text1"/>
          <w:lang w:eastAsia="en-US"/>
        </w:rPr>
        <w:t>5 group</w:t>
      </w:r>
    </w:p>
    <w:p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>
        <w:rPr>
          <w:rFonts w:ascii="Arial" w:eastAsiaTheme="minorEastAsia" w:hAnsi="Arial" w:cs="Arial"/>
          <w:color w:val="000000" w:themeColor="text1"/>
          <w:lang w:eastAsia="en-US"/>
        </w:rPr>
        <w:t xml:space="preserve">asks CT4 </w:t>
      </w:r>
      <w:r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take </w:t>
      </w:r>
      <w:r>
        <w:rPr>
          <w:rFonts w:ascii="Arial" w:eastAsiaTheme="minorEastAsia" w:hAnsi="Arial" w:cs="Arial" w:hint="eastAsia"/>
          <w:color w:val="000000" w:themeColor="text1"/>
        </w:rPr>
        <w:t xml:space="preserve">the </w:t>
      </w:r>
      <w:r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>
        <w:rPr>
          <w:rFonts w:ascii="Arial" w:eastAsiaTheme="minorEastAsia" w:hAnsi="Arial" w:cs="Arial"/>
          <w:bCs/>
          <w:lang w:eastAsia="en-US"/>
        </w:rPr>
        <w:t>TSG-SA2 Meeting#14</w:t>
      </w:r>
      <w:r>
        <w:rPr>
          <w:rFonts w:ascii="Arial" w:eastAsiaTheme="minorEastAsia" w:hAnsi="Arial" w:cs="Arial" w:hint="eastAsia"/>
          <w:bCs/>
          <w:lang w:eastAsia="en-US"/>
        </w:rPr>
        <w:t>2</w:t>
      </w:r>
      <w:r>
        <w:rPr>
          <w:rFonts w:ascii="Arial" w:eastAsiaTheme="minorEastAsia" w:hAnsi="Arial" w:cs="Arial" w:hint="eastAsia"/>
          <w:bCs/>
        </w:rPr>
        <w:t>e</w:t>
      </w:r>
      <w:r>
        <w:rPr>
          <w:rFonts w:ascii="Arial" w:eastAsiaTheme="minorEastAsia" w:hAnsi="Arial" w:cs="Arial" w:hint="eastAsia"/>
          <w:bCs/>
        </w:rPr>
        <w:tab/>
      </w:r>
      <w:r>
        <w:rPr>
          <w:rFonts w:ascii="Arial" w:eastAsiaTheme="minorEastAsia" w:hAnsi="Arial" w:cs="Arial" w:hint="eastAsia"/>
          <w:bCs/>
        </w:rPr>
        <w:tab/>
      </w:r>
      <w:r>
        <w:rPr>
          <w:rFonts w:ascii="Arial" w:eastAsiaTheme="minorEastAsia" w:hAnsi="Arial" w:cs="Arial"/>
          <w:bCs/>
        </w:rPr>
        <w:t>November 16 – 20 2020</w:t>
      </w:r>
      <w:r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</w:rPr>
        <w:tab/>
      </w:r>
      <w:r>
        <w:rPr>
          <w:rFonts w:ascii="Arial" w:eastAsiaTheme="minorEastAsia" w:hAnsi="Arial" w:cs="Arial"/>
          <w:bCs/>
          <w:lang w:eastAsia="en-US"/>
        </w:rPr>
        <w:t>E-Meeting</w:t>
      </w:r>
    </w:p>
    <w:p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>
        <w:rPr>
          <w:rFonts w:ascii="Arial" w:eastAsiaTheme="minorEastAsia" w:hAnsi="Arial" w:cs="Arial"/>
          <w:bCs/>
          <w:lang w:eastAsia="en-US"/>
        </w:rPr>
        <w:t>TSG-SA2 Meeting#14</w:t>
      </w:r>
      <w:r>
        <w:rPr>
          <w:rFonts w:ascii="Arial" w:eastAsiaTheme="minorEastAsia" w:hAnsi="Arial" w:cs="Arial" w:hint="eastAsia"/>
          <w:bCs/>
        </w:rPr>
        <w:t>3</w:t>
      </w:r>
      <w:r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/>
          <w:bCs/>
          <w:lang w:eastAsia="en-US"/>
        </w:rPr>
        <w:t>March 01 – 05</w:t>
      </w:r>
      <w:r>
        <w:rPr>
          <w:rFonts w:ascii="Arial" w:eastAsiaTheme="minorEastAsia" w:hAnsi="Arial" w:cs="Arial" w:hint="eastAsia"/>
          <w:bCs/>
        </w:rPr>
        <w:t xml:space="preserve"> 2021</w:t>
      </w:r>
      <w:r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</w:rPr>
        <w:t xml:space="preserve">   </w:t>
      </w:r>
      <w:r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</w:rPr>
        <w:t xml:space="preserve">             TBD</w:t>
      </w:r>
    </w:p>
    <w:p>
      <w:pPr>
        <w:rPr>
          <w:vertAlign w:val="subscript"/>
        </w:rPr>
      </w:pPr>
      <w:r>
        <w:lastRenderedPageBreak/>
        <w:t xml:space="preserve"> </w:t>
      </w:r>
    </w:p>
    <w:p>
      <w:pPr>
        <w:rPr>
          <w:vertAlign w:val="subscript"/>
        </w:rPr>
      </w:pPr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5:docId w15:val="{25D09ED5-C5C4-4397-B3D4-7F488DFC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zh-CN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val="en-GB" w:eastAsia="zh-CN"/>
    </w:rPr>
  </w:style>
  <w:style w:type="character" w:customStyle="1" w:styleId="B1Char1">
    <w:name w:val="B1 Char1"/>
    <w:link w:val="B1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D9ED4A-CD16-4B89-8B6D-3B3021E9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C3-204283</cp:lastModifiedBy>
  <cp:revision>6</cp:revision>
  <cp:lastPrinted>2002-04-23T08:10:00Z</cp:lastPrinted>
  <dcterms:created xsi:type="dcterms:W3CDTF">2020-10-19T08:56:00Z</dcterms:created>
  <dcterms:modified xsi:type="dcterms:W3CDTF">2020-10-20T08:44:00Z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