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C94BAED" w14:textId="5D6CFCA6" w:rsidR="000F7ECB" w:rsidRPr="00F65D14" w:rsidRDefault="000F7ECB" w:rsidP="000F7ECB">
      <w:pPr>
        <w:pStyle w:val="a4"/>
        <w:tabs>
          <w:tab w:val="right" w:pos="9498"/>
        </w:tabs>
        <w:rPr>
          <w:rFonts w:cs="Arial"/>
          <w:bCs/>
          <w:sz w:val="22"/>
        </w:rPr>
      </w:pPr>
      <w:r w:rsidRPr="00F65D14">
        <w:rPr>
          <w:rFonts w:cs="Arial"/>
          <w:bCs/>
          <w:sz w:val="22"/>
        </w:rPr>
        <w:t>3GPP TSG-</w:t>
      </w:r>
      <w:r w:rsidR="00F65D14" w:rsidRPr="00F65D14">
        <w:rPr>
          <w:rFonts w:cs="Arial"/>
          <w:bCs/>
          <w:sz w:val="22"/>
        </w:rPr>
        <w:t>CT</w:t>
      </w:r>
      <w:r w:rsidRPr="00F65D14">
        <w:rPr>
          <w:rFonts w:cs="Arial"/>
          <w:bCs/>
          <w:sz w:val="22"/>
        </w:rPr>
        <w:t xml:space="preserve"> Meeting #</w:t>
      </w:r>
      <w:r w:rsidR="00F65D14" w:rsidRPr="00F65D14">
        <w:rPr>
          <w:rFonts w:cs="Arial"/>
          <w:bCs/>
          <w:sz w:val="22"/>
        </w:rPr>
        <w:t>94e</w:t>
      </w:r>
      <w:r w:rsidRPr="00F65D14">
        <w:rPr>
          <w:rFonts w:cs="Arial"/>
          <w:bCs/>
          <w:sz w:val="22"/>
        </w:rPr>
        <w:tab/>
        <w:t xml:space="preserve">Tdoc </w:t>
      </w:r>
      <w:r w:rsidR="00F65D14" w:rsidRPr="00F65D14">
        <w:rPr>
          <w:rFonts w:cs="Arial"/>
          <w:bCs/>
          <w:sz w:val="22"/>
        </w:rPr>
        <w:t>CP-21</w:t>
      </w:r>
      <w:r w:rsidR="006F4865">
        <w:rPr>
          <w:rFonts w:cs="Arial"/>
          <w:bCs/>
          <w:sz w:val="22"/>
        </w:rPr>
        <w:t>306</w:t>
      </w:r>
      <w:r w:rsidR="0056554C">
        <w:rPr>
          <w:rFonts w:cs="Arial"/>
          <w:bCs/>
          <w:sz w:val="22"/>
        </w:rPr>
        <w:t>5</w:t>
      </w:r>
    </w:p>
    <w:p w14:paraId="70D42129" w14:textId="369C58E7" w:rsidR="000F7ECB" w:rsidRPr="00F65D14" w:rsidRDefault="00F65D14" w:rsidP="000F7ECB">
      <w:pPr>
        <w:pStyle w:val="a4"/>
        <w:tabs>
          <w:tab w:val="right" w:pos="9639"/>
        </w:tabs>
        <w:rPr>
          <w:rFonts w:cs="Arial"/>
          <w:bCs/>
          <w:sz w:val="22"/>
        </w:rPr>
      </w:pPr>
      <w:r w:rsidRPr="00F65D14">
        <w:rPr>
          <w:rFonts w:cs="Arial"/>
          <w:bCs/>
          <w:sz w:val="22"/>
        </w:rPr>
        <w:t>E-meeting</w:t>
      </w:r>
      <w:r w:rsidR="000F7ECB" w:rsidRPr="00F65D14">
        <w:rPr>
          <w:rFonts w:cs="Arial"/>
          <w:bCs/>
          <w:sz w:val="22"/>
        </w:rPr>
        <w:t xml:space="preserve">, </w:t>
      </w:r>
      <w:r w:rsidRPr="00F65D14">
        <w:rPr>
          <w:rFonts w:cs="Arial"/>
          <w:bCs/>
          <w:sz w:val="22"/>
        </w:rPr>
        <w:t>13</w:t>
      </w:r>
      <w:r w:rsidRPr="00F65D14">
        <w:rPr>
          <w:rFonts w:cs="Arial"/>
          <w:bCs/>
          <w:sz w:val="22"/>
          <w:vertAlign w:val="superscript"/>
        </w:rPr>
        <w:t>th</w:t>
      </w:r>
      <w:r w:rsidRPr="00F65D14">
        <w:rPr>
          <w:rFonts w:cs="Arial"/>
          <w:bCs/>
          <w:sz w:val="22"/>
        </w:rPr>
        <w:t xml:space="preserve"> - 15</w:t>
      </w:r>
      <w:r w:rsidRPr="00F65D14">
        <w:rPr>
          <w:rFonts w:cs="Arial"/>
          <w:bCs/>
          <w:sz w:val="22"/>
          <w:vertAlign w:val="superscript"/>
        </w:rPr>
        <w:t>th</w:t>
      </w:r>
      <w:r w:rsidRPr="00F65D14">
        <w:rPr>
          <w:rFonts w:cs="Arial"/>
          <w:bCs/>
          <w:sz w:val="22"/>
        </w:rPr>
        <w:t xml:space="preserve"> December 2021</w:t>
      </w:r>
      <w:r w:rsidR="000F7ECB" w:rsidRPr="00F65D14">
        <w:rPr>
          <w:rFonts w:cs="Arial"/>
          <w:bCs/>
          <w:sz w:val="22"/>
        </w:rPr>
        <w:br/>
      </w:r>
      <w:r w:rsidR="000F7ECB" w:rsidRPr="00F65D14">
        <w:rPr>
          <w:rFonts w:cs="Arial"/>
          <w:bCs/>
          <w:sz w:val="22"/>
        </w:rPr>
        <w:br/>
      </w:r>
    </w:p>
    <w:p w14:paraId="150926E5" w14:textId="3F6333C8" w:rsidR="000F7ECB" w:rsidRPr="00F65D14" w:rsidRDefault="000F7ECB" w:rsidP="000F7ECB">
      <w:pPr>
        <w:spacing w:after="60"/>
        <w:ind w:left="1985" w:hanging="1985"/>
        <w:rPr>
          <w:rFonts w:ascii="Arial" w:hAnsi="Arial" w:cs="Arial"/>
          <w:b/>
        </w:rPr>
      </w:pPr>
      <w:r w:rsidRPr="00F65D14">
        <w:rPr>
          <w:rFonts w:ascii="Arial" w:hAnsi="Arial" w:cs="Arial"/>
          <w:b/>
        </w:rPr>
        <w:t>Title:</w:t>
      </w:r>
      <w:r w:rsidRPr="00F65D14">
        <w:rPr>
          <w:rFonts w:ascii="Arial" w:hAnsi="Arial" w:cs="Arial"/>
          <w:b/>
        </w:rPr>
        <w:tab/>
        <w:t xml:space="preserve">Presentation of </w:t>
      </w:r>
      <w:r w:rsidR="00222D66" w:rsidRPr="00F65D14">
        <w:rPr>
          <w:rFonts w:ascii="Arial" w:hAnsi="Arial" w:cs="Arial"/>
          <w:b/>
        </w:rPr>
        <w:t>Report to TSG:</w:t>
      </w:r>
      <w:r w:rsidR="00222D66" w:rsidRPr="00F65D14">
        <w:rPr>
          <w:rFonts w:ascii="Arial" w:hAnsi="Arial" w:cs="Arial"/>
          <w:b/>
        </w:rPr>
        <w:br/>
        <w:t>T</w:t>
      </w:r>
      <w:r w:rsidR="00F967C5">
        <w:rPr>
          <w:rFonts w:ascii="Arial" w:hAnsi="Arial" w:cs="Arial"/>
          <w:b/>
        </w:rPr>
        <w:t>S</w:t>
      </w:r>
      <w:r w:rsidR="00F65D14" w:rsidRPr="00F65D14">
        <w:rPr>
          <w:rFonts w:ascii="Arial" w:hAnsi="Arial" w:cs="Arial"/>
          <w:b/>
        </w:rPr>
        <w:t xml:space="preserve"> </w:t>
      </w:r>
      <w:r w:rsidR="0088542F">
        <w:rPr>
          <w:rFonts w:ascii="Arial" w:hAnsi="Arial" w:cs="Arial"/>
          <w:b/>
        </w:rPr>
        <w:t>24.</w:t>
      </w:r>
      <w:r w:rsidR="0056554C">
        <w:rPr>
          <w:rFonts w:ascii="Arial" w:hAnsi="Arial" w:cs="Arial"/>
          <w:b/>
        </w:rPr>
        <w:t>554</w:t>
      </w:r>
      <w:r w:rsidR="00222D66" w:rsidRPr="00F65D14">
        <w:rPr>
          <w:rFonts w:ascii="Arial" w:hAnsi="Arial" w:cs="Arial"/>
          <w:b/>
        </w:rPr>
        <w:t xml:space="preserve">, Version </w:t>
      </w:r>
      <w:r w:rsidR="008E104F">
        <w:rPr>
          <w:rFonts w:ascii="Arial" w:hAnsi="Arial" w:cs="Arial"/>
          <w:b/>
        </w:rPr>
        <w:t>1</w:t>
      </w:r>
      <w:r w:rsidR="00F65D14" w:rsidRPr="00F65D14">
        <w:rPr>
          <w:rFonts w:ascii="Arial" w:hAnsi="Arial" w:cs="Arial"/>
          <w:b/>
        </w:rPr>
        <w:t>.0.0</w:t>
      </w:r>
      <w:r w:rsidR="00222D66" w:rsidRPr="00F65D14">
        <w:rPr>
          <w:rFonts w:ascii="Arial" w:hAnsi="Arial" w:cs="Arial"/>
          <w:b/>
        </w:rPr>
        <w:br/>
      </w:r>
    </w:p>
    <w:p w14:paraId="1B25E28E" w14:textId="2B01F921" w:rsidR="002B09A1" w:rsidRPr="00F65D14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 w:rsidRPr="00F65D14">
        <w:rPr>
          <w:rFonts w:ascii="Arial" w:hAnsi="Arial" w:cs="Arial"/>
          <w:b/>
        </w:rPr>
        <w:t>Source:</w:t>
      </w:r>
      <w:r w:rsidRPr="00F65D14">
        <w:rPr>
          <w:rFonts w:ascii="Arial" w:hAnsi="Arial" w:cs="Arial"/>
          <w:b/>
        </w:rPr>
        <w:tab/>
      </w:r>
      <w:r w:rsidR="00F65D14" w:rsidRPr="00F65D14">
        <w:rPr>
          <w:rFonts w:ascii="Arial" w:hAnsi="Arial" w:cs="Arial"/>
          <w:b/>
        </w:rPr>
        <w:t>TSG CT WG</w:t>
      </w:r>
      <w:r w:rsidR="0088542F">
        <w:rPr>
          <w:rFonts w:ascii="Arial" w:hAnsi="Arial" w:cs="Arial"/>
          <w:b/>
        </w:rPr>
        <w:t>1</w:t>
      </w:r>
      <w:r w:rsidR="00201520" w:rsidRPr="00F65D14">
        <w:rPr>
          <w:rFonts w:ascii="Arial" w:hAnsi="Arial" w:cs="Arial"/>
          <w:b/>
        </w:rPr>
        <w:br/>
      </w:r>
    </w:p>
    <w:p w14:paraId="17712061" w14:textId="2F4A2080" w:rsidR="00222D66" w:rsidRPr="00F65D14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 w:rsidRPr="00F65D14">
        <w:rPr>
          <w:rFonts w:ascii="Arial" w:hAnsi="Arial" w:cs="Arial"/>
          <w:b/>
        </w:rPr>
        <w:t>Document for:</w:t>
      </w:r>
      <w:r w:rsidRPr="00F65D14">
        <w:rPr>
          <w:rFonts w:ascii="Arial" w:hAnsi="Arial" w:cs="Arial"/>
          <w:b/>
        </w:rPr>
        <w:tab/>
      </w:r>
      <w:r w:rsidR="008E104F">
        <w:rPr>
          <w:rFonts w:ascii="Arial" w:hAnsi="Arial" w:cs="Arial"/>
          <w:b/>
        </w:rPr>
        <w:t>Information</w:t>
      </w:r>
    </w:p>
    <w:p w14:paraId="4CA35BED" w14:textId="77777777" w:rsidR="0045428D" w:rsidRPr="00222D66" w:rsidRDefault="0045428D">
      <w:pPr>
        <w:tabs>
          <w:tab w:val="left" w:pos="3119"/>
        </w:tabs>
        <w:rPr>
          <w:b/>
          <w:sz w:val="24"/>
        </w:rPr>
      </w:pPr>
    </w:p>
    <w:p w14:paraId="320A7388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2817B962" w14:textId="00F7987D" w:rsidR="003557C3" w:rsidRDefault="003557C3" w:rsidP="003557C3">
      <w:pPr>
        <w:spacing w:after="120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 xml:space="preserve">The specification </w:t>
      </w:r>
      <w:r w:rsidRPr="008D5770">
        <w:rPr>
          <w:sz w:val="24"/>
          <w:szCs w:val="24"/>
          <w:lang w:val="en-US"/>
        </w:rPr>
        <w:t>specifies the protocols for Proximity-based Services (ProSe)</w:t>
      </w:r>
      <w:bookmarkStart w:id="0" w:name="_GoBack"/>
      <w:bookmarkEnd w:id="0"/>
      <w:r w:rsidRPr="008D5770">
        <w:rPr>
          <w:sz w:val="24"/>
          <w:szCs w:val="24"/>
          <w:lang w:val="en-US"/>
        </w:rPr>
        <w:t xml:space="preserve"> in 5G system as speci</w:t>
      </w:r>
      <w:r w:rsidR="00E06DE5">
        <w:rPr>
          <w:sz w:val="24"/>
          <w:szCs w:val="24"/>
          <w:lang w:val="en-US"/>
        </w:rPr>
        <w:t>fied in TS </w:t>
      </w:r>
      <w:r>
        <w:rPr>
          <w:sz w:val="24"/>
          <w:szCs w:val="24"/>
          <w:lang w:val="en-US"/>
        </w:rPr>
        <w:t xml:space="preserve">23.304 for 5G ProSe direct discovery, </w:t>
      </w:r>
      <w:r w:rsidRPr="008D5770">
        <w:rPr>
          <w:sz w:val="24"/>
          <w:szCs w:val="24"/>
          <w:lang w:val="en-US"/>
        </w:rPr>
        <w:t>5G ProSe communicat</w:t>
      </w:r>
      <w:r>
        <w:rPr>
          <w:sz w:val="24"/>
          <w:szCs w:val="24"/>
          <w:lang w:val="en-US"/>
        </w:rPr>
        <w:t xml:space="preserve">ion over the PC5 interface and </w:t>
      </w:r>
      <w:r w:rsidRPr="008D5770">
        <w:rPr>
          <w:sz w:val="24"/>
          <w:szCs w:val="24"/>
          <w:lang w:val="en-US"/>
        </w:rPr>
        <w:t>5G ProSe-enabled UE-to-network relay.</w:t>
      </w:r>
    </w:p>
    <w:p w14:paraId="312FA950" w14:textId="7CC14E98" w:rsidR="003557C3" w:rsidRPr="0094690D" w:rsidRDefault="003557C3" w:rsidP="003557C3">
      <w:pPr>
        <w:spacing w:after="120"/>
        <w:rPr>
          <w:rFonts w:eastAsia="Malgun Gothic"/>
          <w:sz w:val="24"/>
          <w:szCs w:val="24"/>
        </w:rPr>
      </w:pPr>
      <w:r>
        <w:rPr>
          <w:rFonts w:eastAsia="Malgun Gothic"/>
          <w:sz w:val="24"/>
          <w:szCs w:val="24"/>
        </w:rPr>
        <w:t>The specification</w:t>
      </w:r>
      <w:r w:rsidRPr="0094690D">
        <w:rPr>
          <w:rFonts w:eastAsia="Malgun Gothic"/>
          <w:sz w:val="24"/>
          <w:szCs w:val="24"/>
        </w:rPr>
        <w:t xml:space="preserve"> defines the associated procedures for 5G ProSe service authorisation, 5G ProSe direct discovery (e.g. the procedures between 5G ProSe-enabled UE and 5G Direct Discovery </w:t>
      </w:r>
      <w:r w:rsidR="00E4595A">
        <w:rPr>
          <w:rFonts w:eastAsia="Malgun Gothic"/>
          <w:sz w:val="24"/>
          <w:szCs w:val="24"/>
        </w:rPr>
        <w:t>Name Management Function</w:t>
      </w:r>
      <w:r w:rsidRPr="0094690D">
        <w:rPr>
          <w:rFonts w:eastAsia="Malgun Gothic"/>
          <w:sz w:val="24"/>
          <w:szCs w:val="24"/>
        </w:rPr>
        <w:t xml:space="preserve"> over the PC3a interface, the procedures over the PC5 interface), 5G ProSe UE-to-network relay discovery, and 5G ProSe direct communication.</w:t>
      </w:r>
    </w:p>
    <w:p w14:paraId="0C7F2B32" w14:textId="77777777" w:rsidR="003557C3" w:rsidRPr="0094690D" w:rsidRDefault="003557C3" w:rsidP="003557C3">
      <w:pPr>
        <w:spacing w:after="120"/>
        <w:rPr>
          <w:rFonts w:eastAsia="Malgun Gothic"/>
          <w:sz w:val="24"/>
          <w:szCs w:val="24"/>
        </w:rPr>
      </w:pPr>
      <w:r w:rsidRPr="0094690D">
        <w:rPr>
          <w:rFonts w:eastAsia="Malgun Gothic"/>
          <w:sz w:val="24"/>
          <w:szCs w:val="24"/>
        </w:rPr>
        <w:t xml:space="preserve">The </w:t>
      </w:r>
      <w:r>
        <w:rPr>
          <w:rFonts w:eastAsia="Malgun Gothic"/>
          <w:sz w:val="24"/>
          <w:szCs w:val="24"/>
        </w:rPr>
        <w:t>specification</w:t>
      </w:r>
      <w:r w:rsidRPr="0094690D">
        <w:rPr>
          <w:rFonts w:eastAsia="Malgun Gothic"/>
          <w:sz w:val="24"/>
          <w:szCs w:val="24"/>
        </w:rPr>
        <w:t xml:space="preserve"> also defines the message format, message contents, error handling and system parameters applied by the protocols for ProSe in 5GS.</w:t>
      </w:r>
    </w:p>
    <w:p w14:paraId="31B5ABB1" w14:textId="550E2A4A" w:rsidR="0045428D" w:rsidRPr="001D0721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Changes since last</w:t>
      </w:r>
      <w:r w:rsidRPr="001D0721">
        <w:rPr>
          <w:b/>
          <w:sz w:val="24"/>
        </w:rPr>
        <w:t xml:space="preserve"> presentation to </w:t>
      </w:r>
      <w:r w:rsidR="001D0721" w:rsidRPr="001D0721">
        <w:rPr>
          <w:b/>
          <w:sz w:val="24"/>
        </w:rPr>
        <w:t>TSG</w:t>
      </w:r>
      <w:r w:rsidRPr="001D0721">
        <w:rPr>
          <w:b/>
          <w:sz w:val="24"/>
        </w:rPr>
        <w:t xml:space="preserve"> Meeting:</w:t>
      </w:r>
    </w:p>
    <w:p w14:paraId="21886E22" w14:textId="607030D2" w:rsidR="0045428D" w:rsidRPr="00CB25C6" w:rsidRDefault="00CB25C6" w:rsidP="00CB25C6">
      <w:pPr>
        <w:rPr>
          <w:sz w:val="24"/>
          <w:szCs w:val="24"/>
        </w:rPr>
      </w:pPr>
      <w:r w:rsidRPr="00CB25C6">
        <w:rPr>
          <w:sz w:val="24"/>
          <w:szCs w:val="24"/>
        </w:rPr>
        <w:t>This is the first presentation of TS </w:t>
      </w:r>
      <w:r w:rsidR="0088542F" w:rsidRPr="0088542F">
        <w:rPr>
          <w:sz w:val="24"/>
          <w:szCs w:val="24"/>
        </w:rPr>
        <w:t>24.</w:t>
      </w:r>
      <w:r w:rsidR="00F145FD">
        <w:rPr>
          <w:sz w:val="24"/>
          <w:szCs w:val="24"/>
        </w:rPr>
        <w:t>55</w:t>
      </w:r>
      <w:r w:rsidR="0056554C">
        <w:rPr>
          <w:sz w:val="24"/>
          <w:szCs w:val="24"/>
        </w:rPr>
        <w:t>4</w:t>
      </w:r>
      <w:r w:rsidRPr="00CB25C6">
        <w:rPr>
          <w:sz w:val="24"/>
          <w:szCs w:val="24"/>
        </w:rPr>
        <w:t xml:space="preserve"> to TSG CT Plenary.</w:t>
      </w:r>
    </w:p>
    <w:p w14:paraId="09F5D71C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57928C00" w14:textId="77777777" w:rsidR="003557C3" w:rsidRPr="004A76AE" w:rsidRDefault="003557C3" w:rsidP="003557C3">
      <w:pPr>
        <w:tabs>
          <w:tab w:val="left" w:pos="3119"/>
        </w:tabs>
        <w:rPr>
          <w:sz w:val="24"/>
          <w:szCs w:val="24"/>
        </w:rPr>
      </w:pPr>
      <w:r>
        <w:rPr>
          <w:sz w:val="24"/>
          <w:szCs w:val="24"/>
        </w:rPr>
        <w:t>CT1 sent the</w:t>
      </w:r>
      <w:r w:rsidRPr="004A76AE">
        <w:rPr>
          <w:sz w:val="24"/>
          <w:szCs w:val="24"/>
        </w:rPr>
        <w:t xml:space="preserve"> LS to SA2 in </w:t>
      </w:r>
      <w:r w:rsidRPr="00B64E41">
        <w:rPr>
          <w:sz w:val="24"/>
          <w:szCs w:val="24"/>
        </w:rPr>
        <w:t>C1-216298</w:t>
      </w:r>
      <w:r>
        <w:rPr>
          <w:sz w:val="24"/>
          <w:szCs w:val="24"/>
        </w:rPr>
        <w:t xml:space="preserve"> and </w:t>
      </w:r>
      <w:r w:rsidRPr="004A76AE">
        <w:rPr>
          <w:sz w:val="24"/>
          <w:szCs w:val="24"/>
        </w:rPr>
        <w:t>C1-217452</w:t>
      </w:r>
      <w:r>
        <w:rPr>
          <w:sz w:val="24"/>
          <w:szCs w:val="24"/>
        </w:rPr>
        <w:t xml:space="preserve"> and waits for the reply from SA2</w:t>
      </w:r>
      <w:r w:rsidRPr="004A76AE">
        <w:rPr>
          <w:sz w:val="24"/>
          <w:szCs w:val="24"/>
        </w:rPr>
        <w:t>.</w:t>
      </w:r>
    </w:p>
    <w:p w14:paraId="2C11C5BA" w14:textId="77777777" w:rsidR="003557C3" w:rsidRDefault="003557C3" w:rsidP="003557C3">
      <w:pPr>
        <w:tabs>
          <w:tab w:val="left" w:pos="3119"/>
        </w:tabs>
        <w:rPr>
          <w:sz w:val="24"/>
          <w:szCs w:val="24"/>
        </w:rPr>
      </w:pPr>
      <w:r>
        <w:rPr>
          <w:sz w:val="24"/>
          <w:szCs w:val="24"/>
        </w:rPr>
        <w:t xml:space="preserve">The </w:t>
      </w:r>
      <w:r w:rsidRPr="004A76AE">
        <w:rPr>
          <w:sz w:val="24"/>
          <w:szCs w:val="24"/>
        </w:rPr>
        <w:t>stage-2 requirements for security and charging</w:t>
      </w:r>
      <w:r>
        <w:rPr>
          <w:sz w:val="24"/>
          <w:szCs w:val="24"/>
        </w:rPr>
        <w:t xml:space="preserve"> are needed to be implemented</w:t>
      </w:r>
      <w:r w:rsidRPr="004A76AE">
        <w:rPr>
          <w:sz w:val="24"/>
          <w:szCs w:val="24"/>
        </w:rPr>
        <w:t>.</w:t>
      </w:r>
    </w:p>
    <w:p w14:paraId="40DB2F5C" w14:textId="77777777" w:rsidR="003557C3" w:rsidRPr="00E321EC" w:rsidRDefault="003557C3" w:rsidP="003557C3">
      <w:pPr>
        <w:tabs>
          <w:tab w:val="left" w:pos="3119"/>
        </w:tabs>
        <w:rPr>
          <w:sz w:val="24"/>
          <w:szCs w:val="24"/>
        </w:rPr>
      </w:pPr>
      <w:r>
        <w:rPr>
          <w:rFonts w:hint="eastAsia"/>
          <w:sz w:val="24"/>
          <w:szCs w:val="24"/>
          <w:lang w:eastAsia="zh-CN"/>
        </w:rPr>
        <w:t>A</w:t>
      </w:r>
      <w:r>
        <w:rPr>
          <w:sz w:val="24"/>
          <w:szCs w:val="24"/>
        </w:rPr>
        <w:t xml:space="preserve"> </w:t>
      </w:r>
      <w:r w:rsidRPr="00E321EC">
        <w:rPr>
          <w:sz w:val="24"/>
          <w:szCs w:val="24"/>
        </w:rPr>
        <w:t>number of editor’s notes on different issues n</w:t>
      </w:r>
      <w:r>
        <w:rPr>
          <w:sz w:val="24"/>
          <w:szCs w:val="24"/>
        </w:rPr>
        <w:t>eed to be solved</w:t>
      </w:r>
      <w:r w:rsidRPr="00E321EC">
        <w:rPr>
          <w:sz w:val="24"/>
          <w:szCs w:val="24"/>
        </w:rPr>
        <w:t>.</w:t>
      </w:r>
    </w:p>
    <w:p w14:paraId="2F2CB947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61CC9E53" w14:textId="212441DC" w:rsidR="0045428D" w:rsidRPr="00CB25C6" w:rsidRDefault="00CB25C6" w:rsidP="00CB25C6">
      <w:pPr>
        <w:rPr>
          <w:sz w:val="24"/>
          <w:szCs w:val="24"/>
        </w:rPr>
      </w:pPr>
      <w:r w:rsidRPr="00CB25C6">
        <w:rPr>
          <w:sz w:val="24"/>
          <w:szCs w:val="24"/>
        </w:rPr>
        <w:t>None</w:t>
      </w:r>
      <w:r w:rsidR="00C77D17">
        <w:rPr>
          <w:sz w:val="24"/>
          <w:szCs w:val="24"/>
        </w:rPr>
        <w:t>.</w:t>
      </w:r>
    </w:p>
    <w:p w14:paraId="01E2C593" w14:textId="77777777" w:rsidR="0045428D" w:rsidRDefault="0045428D">
      <w:pPr>
        <w:tabs>
          <w:tab w:val="left" w:pos="3119"/>
        </w:tabs>
        <w:rPr>
          <w:b/>
          <w:sz w:val="24"/>
        </w:rPr>
      </w:pPr>
    </w:p>
    <w:p w14:paraId="73C24FB2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 w:rsidRPr="0045428D">
        <w:rPr>
          <w:sz w:val="16"/>
          <w:szCs w:val="16"/>
          <w:u w:val="single"/>
        </w:rPr>
        <w:t>Change history of this document:</w:t>
      </w:r>
    </w:p>
    <w:p w14:paraId="007861D2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1999-11-17: </w:t>
      </w:r>
      <w:r w:rsidRPr="0045428D">
        <w:rPr>
          <w:sz w:val="16"/>
          <w:szCs w:val="16"/>
        </w:rPr>
        <w:t>original issue</w:t>
      </w:r>
    </w:p>
    <w:p w14:paraId="254D6CF6" w14:textId="77777777" w:rsid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2007-09-06: </w:t>
      </w:r>
      <w:r w:rsidRPr="0045428D">
        <w:rPr>
          <w:sz w:val="16"/>
          <w:szCs w:val="16"/>
        </w:rPr>
        <w:t>removal of references to Working Groups; bring names of TSGs up to date; correction of typo</w:t>
      </w:r>
    </w:p>
    <w:p w14:paraId="2659F1A3" w14:textId="77777777" w:rsidR="000F7ECB" w:rsidRPr="0045428D" w:rsidRDefault="000F7ECB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2015-01-06: adds tdoc header &amp; removes redundant information below</w:t>
      </w:r>
    </w:p>
    <w:sectPr w:rsidR="000F7ECB" w:rsidRPr="0045428D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2515777" w14:textId="77777777" w:rsidR="00C041B8" w:rsidRDefault="00C041B8" w:rsidP="00CB25C6">
      <w:pPr>
        <w:spacing w:after="0"/>
      </w:pPr>
      <w:r>
        <w:separator/>
      </w:r>
    </w:p>
  </w:endnote>
  <w:endnote w:type="continuationSeparator" w:id="0">
    <w:p w14:paraId="0CD9D41C" w14:textId="77777777" w:rsidR="00C041B8" w:rsidRDefault="00C041B8" w:rsidP="00CB25C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6ECD9E7" w14:textId="77777777" w:rsidR="00C041B8" w:rsidRDefault="00C041B8" w:rsidP="00CB25C6">
      <w:pPr>
        <w:spacing w:after="0"/>
      </w:pPr>
      <w:r>
        <w:separator/>
      </w:r>
    </w:p>
  </w:footnote>
  <w:footnote w:type="continuationSeparator" w:id="0">
    <w:p w14:paraId="3005DDB2" w14:textId="77777777" w:rsidR="00C041B8" w:rsidRDefault="00C041B8" w:rsidP="00CB25C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5"/>
  </w:num>
  <w:num w:numId="5">
    <w:abstractNumId w:val="6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428D"/>
    <w:rsid w:val="000F7ECB"/>
    <w:rsid w:val="001D0721"/>
    <w:rsid w:val="00201520"/>
    <w:rsid w:val="00222D66"/>
    <w:rsid w:val="002B09A1"/>
    <w:rsid w:val="002E71FB"/>
    <w:rsid w:val="003557C3"/>
    <w:rsid w:val="0045428D"/>
    <w:rsid w:val="0056554C"/>
    <w:rsid w:val="006D560C"/>
    <w:rsid w:val="006F4865"/>
    <w:rsid w:val="00752672"/>
    <w:rsid w:val="0088542F"/>
    <w:rsid w:val="008E104F"/>
    <w:rsid w:val="00921038"/>
    <w:rsid w:val="009828FE"/>
    <w:rsid w:val="00A844BF"/>
    <w:rsid w:val="00A946BA"/>
    <w:rsid w:val="00AD354B"/>
    <w:rsid w:val="00C041B8"/>
    <w:rsid w:val="00C15E4A"/>
    <w:rsid w:val="00C2149A"/>
    <w:rsid w:val="00C77D17"/>
    <w:rsid w:val="00CB25C6"/>
    <w:rsid w:val="00CC358C"/>
    <w:rsid w:val="00DC278D"/>
    <w:rsid w:val="00E06DE5"/>
    <w:rsid w:val="00E4595A"/>
    <w:rsid w:val="00E70EDC"/>
    <w:rsid w:val="00F145FD"/>
    <w:rsid w:val="00F322A2"/>
    <w:rsid w:val="00F65D14"/>
    <w:rsid w:val="00F967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E802EEE"/>
  <w15:chartTrackingRefBased/>
  <w15:docId w15:val="{73A5B95C-0A8C-4CDC-930E-77AA499B7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val="en-GB" w:eastAsia="ko-KR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autoRedefine/>
    <w:semiHidden/>
    <w:pPr>
      <w:spacing w:before="180"/>
      <w:ind w:left="2693" w:hanging="2693"/>
    </w:pPr>
    <w:rPr>
      <w:b/>
    </w:rPr>
  </w:style>
  <w:style w:type="paragraph" w:styleId="10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50">
    <w:name w:val="toc 5"/>
    <w:basedOn w:val="40"/>
    <w:autoRedefine/>
    <w:semiHidden/>
    <w:pPr>
      <w:ind w:left="1701" w:hanging="1701"/>
    </w:pPr>
  </w:style>
  <w:style w:type="paragraph" w:styleId="40">
    <w:name w:val="toc 4"/>
    <w:basedOn w:val="30"/>
    <w:autoRedefine/>
    <w:semiHidden/>
    <w:pPr>
      <w:ind w:left="1418" w:hanging="1418"/>
    </w:pPr>
  </w:style>
  <w:style w:type="paragraph" w:styleId="30">
    <w:name w:val="toc 3"/>
    <w:basedOn w:val="20"/>
    <w:autoRedefine/>
    <w:semiHidden/>
    <w:pPr>
      <w:ind w:left="1134" w:hanging="1134"/>
    </w:pPr>
  </w:style>
  <w:style w:type="paragraph" w:styleId="20">
    <w:name w:val="toc 2"/>
    <w:basedOn w:val="10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autoRedefine/>
    <w:semiHidden/>
    <w:pPr>
      <w:ind w:left="284"/>
    </w:pPr>
  </w:style>
  <w:style w:type="paragraph" w:styleId="11">
    <w:name w:val="index 1"/>
    <w:basedOn w:val="a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val="en-GB" w:eastAsia="ko-KR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autoRedefine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autoRedefine/>
    <w:semiHidden/>
    <w:pPr>
      <w:ind w:left="1985" w:hanging="1985"/>
    </w:pPr>
  </w:style>
  <w:style w:type="paragraph" w:styleId="70">
    <w:name w:val="toc 7"/>
    <w:basedOn w:val="60"/>
    <w:next w:val="a"/>
    <w:autoRedefine/>
    <w:semiHidden/>
    <w:pPr>
      <w:ind w:left="2268" w:hanging="2268"/>
    </w:pPr>
  </w:style>
  <w:style w:type="paragraph" w:styleId="23">
    <w:name w:val="List Bullet 2"/>
    <w:basedOn w:val="a8"/>
    <w:autoRedefine/>
    <w:pPr>
      <w:ind w:left="851"/>
    </w:pPr>
  </w:style>
  <w:style w:type="paragraph" w:styleId="31">
    <w:name w:val="List Bullet 3"/>
    <w:basedOn w:val="23"/>
    <w:autoRedefine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  <w:autoRedefine/>
  </w:style>
  <w:style w:type="paragraph" w:styleId="42">
    <w:name w:val="List Bullet 4"/>
    <w:basedOn w:val="31"/>
    <w:autoRedefine/>
    <w:pPr>
      <w:ind w:left="1418"/>
    </w:pPr>
  </w:style>
  <w:style w:type="paragraph" w:styleId="52">
    <w:name w:val="List Bullet 5"/>
    <w:basedOn w:val="42"/>
    <w:autoRedefine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a5">
    <w:name w:val="页眉 字符"/>
    <w:link w:val="a4"/>
    <w:rsid w:val="000F7ECB"/>
    <w:rPr>
      <w:rFonts w:ascii="Arial" w:hAnsi="Arial"/>
      <w:b/>
      <w:noProof/>
      <w:sz w:val="18"/>
      <w:lang w:eastAsia="ko-KR"/>
    </w:rPr>
  </w:style>
  <w:style w:type="paragraph" w:styleId="ab">
    <w:name w:val="annotation text"/>
    <w:basedOn w:val="a"/>
    <w:link w:val="ac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ac">
    <w:name w:val="批注文字 字符"/>
    <w:link w:val="ab"/>
    <w:rsid w:val="000F7ECB"/>
    <w:rPr>
      <w:rFonts w:ascii="Arial" w:hAnsi="Arial"/>
      <w:lang w:eastAsia="en-US"/>
    </w:rPr>
  </w:style>
  <w:style w:type="character" w:styleId="ad">
    <w:name w:val="annotation reference"/>
    <w:rsid w:val="000F7ECB"/>
    <w:rPr>
      <w:sz w:val="16"/>
    </w:rPr>
  </w:style>
  <w:style w:type="paragraph" w:styleId="ae">
    <w:name w:val="Balloon Text"/>
    <w:basedOn w:val="a"/>
    <w:link w:val="af"/>
    <w:rsid w:val="000F7EC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f">
    <w:name w:val="批注框文本 字符"/>
    <w:link w:val="ae"/>
    <w:rsid w:val="000F7ECB"/>
    <w:rPr>
      <w:rFonts w:ascii="Segoe UI" w:hAnsi="Segoe UI" w:cs="Segoe UI"/>
      <w:sz w:val="18"/>
      <w:szCs w:val="18"/>
      <w:lang w:eastAsia="ko-KR"/>
    </w:rPr>
  </w:style>
  <w:style w:type="character" w:customStyle="1" w:styleId="B1Char">
    <w:name w:val="B1 Char"/>
    <w:link w:val="B1"/>
    <w:qFormat/>
    <w:locked/>
    <w:rsid w:val="001D0721"/>
    <w:rPr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DC7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1</Pages>
  <Words>234</Words>
  <Characters>1336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1567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OPPO-Haorui</cp:lastModifiedBy>
  <cp:revision>10</cp:revision>
  <dcterms:created xsi:type="dcterms:W3CDTF">2021-11-26T07:49:00Z</dcterms:created>
  <dcterms:modified xsi:type="dcterms:W3CDTF">2021-11-29T08:56:00Z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(2)oib106X1JqS/pyIUaASsBJWpIexKkW48cqyp3KG93jPJ3gBW9E/3JWcfROf5onGehieXi4/+
V2H4Ah5XCrIWiwSNn0wjCLdRuruAPzhj5+FSeNZZJfSL656u6QxMBYCXQrv4sL0JsKyCPLuG
U8tgtGyGwHm3ROSrefv4Oxw+jPO6ky87dcl4CwmkixRxF/1Pzm4Z7t3hsRsuncTZghNdbk5S
ONEmDnh90KiKFSDNm3</vt:lpwstr>
  </property>
  <property fmtid="{D5CDD505-2E9C-101B-9397-08002B2CF9AE}" pid="3" name="_2015_ms_pID_7253431">
    <vt:lpwstr>Dzz+7/VpbeAwQGFsDc4PwEktPatCwZHisZhFkq7ndMJi+dyGsEkNMD
XC8WUHBsBYkYuTni8eV531ZHubgTc5l00W6zwDCLT4EiBfYQwcTEAArsqR/Uh6COvXe2BBoJ
T/Xkwa6qTFclZlhkXV1/YFsS300xNd2m9uC9b8g2w16JVLAJx30MHnODlYWdZS4Kpk8=</vt:lpwstr>
  </property>
</Properties>
</file>