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20D1A77" w14:textId="1A8392FF" w:rsidR="00F615E0" w:rsidRDefault="00F615E0" w:rsidP="00F615E0">
      <w:pPr>
        <w:pStyle w:val="CRCoverPage"/>
        <w:tabs>
          <w:tab w:val="right" w:pos="9639"/>
        </w:tabs>
        <w:spacing w:after="0"/>
        <w:rPr>
          <w:b/>
          <w:i/>
          <w:noProof/>
          <w:sz w:val="28"/>
        </w:rPr>
      </w:pPr>
      <w:r>
        <w:rPr>
          <w:b/>
          <w:noProof/>
          <w:sz w:val="24"/>
        </w:rPr>
        <w:t>3GPP TSG-CT Meeting #9</w:t>
      </w:r>
      <w:r w:rsidR="0015461C">
        <w:rPr>
          <w:b/>
          <w:noProof/>
          <w:sz w:val="24"/>
        </w:rPr>
        <w:t>2</w:t>
      </w:r>
      <w:r>
        <w:rPr>
          <w:b/>
          <w:noProof/>
          <w:sz w:val="24"/>
        </w:rPr>
        <w:t>e</w:t>
      </w:r>
      <w:r>
        <w:rPr>
          <w:b/>
          <w:i/>
          <w:noProof/>
          <w:sz w:val="28"/>
        </w:rPr>
        <w:tab/>
      </w:r>
      <w:r>
        <w:rPr>
          <w:b/>
          <w:noProof/>
          <w:sz w:val="24"/>
        </w:rPr>
        <w:t>CP-21</w:t>
      </w:r>
      <w:r w:rsidR="0015461C">
        <w:rPr>
          <w:b/>
          <w:noProof/>
          <w:sz w:val="24"/>
        </w:rPr>
        <w:t>1</w:t>
      </w:r>
      <w:r>
        <w:rPr>
          <w:b/>
          <w:noProof/>
          <w:sz w:val="24"/>
        </w:rPr>
        <w:t>0</w:t>
      </w:r>
      <w:r w:rsidR="0015461C">
        <w:rPr>
          <w:b/>
          <w:noProof/>
          <w:sz w:val="24"/>
        </w:rPr>
        <w:t>8</w:t>
      </w:r>
      <w:r w:rsidR="00EA11FC">
        <w:rPr>
          <w:b/>
          <w:noProof/>
          <w:sz w:val="24"/>
        </w:rPr>
        <w:t>6</w:t>
      </w:r>
    </w:p>
    <w:p w14:paraId="7BBD3D3D" w14:textId="77777777" w:rsidR="00F615E0" w:rsidRDefault="00F615E0" w:rsidP="00F615E0">
      <w:pPr>
        <w:pStyle w:val="CRCoverPage"/>
        <w:outlineLvl w:val="0"/>
        <w:rPr>
          <w:b/>
          <w:noProof/>
          <w:sz w:val="24"/>
        </w:rPr>
      </w:pPr>
      <w:r>
        <w:rPr>
          <w:b/>
          <w:noProof/>
          <w:sz w:val="24"/>
        </w:rPr>
        <w:t>E-Meeting, 18</w:t>
      </w:r>
      <w:r>
        <w:rPr>
          <w:b/>
          <w:noProof/>
          <w:sz w:val="24"/>
          <w:vertAlign w:val="superscript"/>
        </w:rPr>
        <w:t>th</w:t>
      </w:r>
      <w:r>
        <w:rPr>
          <w:b/>
          <w:noProof/>
          <w:sz w:val="24"/>
        </w:rPr>
        <w:t xml:space="preserve"> – 24</w:t>
      </w:r>
      <w:r>
        <w:rPr>
          <w:b/>
          <w:noProof/>
          <w:sz w:val="24"/>
          <w:vertAlign w:val="superscript"/>
        </w:rPr>
        <w:t>th</w:t>
      </w:r>
      <w:r>
        <w:rPr>
          <w:b/>
          <w:noProof/>
          <w:sz w:val="24"/>
        </w:rPr>
        <w:t xml:space="preserve"> March 2021</w:t>
      </w:r>
    </w:p>
    <w:p w14:paraId="25E350A9" w14:textId="77777777" w:rsidR="000F7ECB" w:rsidRPr="00DC278D" w:rsidRDefault="000F7ECB" w:rsidP="000F7ECB">
      <w:pPr>
        <w:pStyle w:val="Header"/>
        <w:tabs>
          <w:tab w:val="right" w:pos="9639"/>
        </w:tabs>
        <w:rPr>
          <w:rFonts w:cs="Arial"/>
          <w:bCs/>
          <w:color w:val="4472C4"/>
          <w:sz w:val="22"/>
        </w:rPr>
      </w:pPr>
      <w:r w:rsidRPr="00DC278D">
        <w:rPr>
          <w:rFonts w:cs="Arial"/>
          <w:bCs/>
          <w:color w:val="4472C4"/>
          <w:sz w:val="22"/>
        </w:rPr>
        <w:br/>
      </w:r>
    </w:p>
    <w:p w14:paraId="1C9A34D8" w14:textId="46842536" w:rsidR="000F7ECB" w:rsidRPr="00F615E0" w:rsidRDefault="000F7ECB" w:rsidP="000F7ECB">
      <w:pPr>
        <w:spacing w:after="60"/>
        <w:ind w:left="1985" w:hanging="1985"/>
        <w:rPr>
          <w:rFonts w:ascii="Arial" w:hAnsi="Arial" w:cs="Arial"/>
          <w:b/>
        </w:rPr>
      </w:pPr>
      <w:r>
        <w:rPr>
          <w:rFonts w:ascii="Arial" w:hAnsi="Arial" w:cs="Arial"/>
          <w:b/>
        </w:rPr>
        <w:t>Title:</w:t>
      </w:r>
      <w:r>
        <w:rPr>
          <w:rFonts w:ascii="Arial" w:hAnsi="Arial" w:cs="Arial"/>
          <w:b/>
        </w:rPr>
        <w:tab/>
      </w:r>
      <w:r w:rsidRPr="00222D66">
        <w:rPr>
          <w:rFonts w:ascii="Arial" w:hAnsi="Arial" w:cs="Arial"/>
          <w:b/>
        </w:rPr>
        <w:t xml:space="preserve">Presentation of </w:t>
      </w:r>
      <w:r w:rsidR="000243FB">
        <w:rPr>
          <w:rFonts w:ascii="Arial" w:hAnsi="Arial" w:cs="Arial"/>
          <w:b/>
        </w:rPr>
        <w:t>Technical Report</w:t>
      </w:r>
      <w:r w:rsidR="00222D66" w:rsidRPr="00222D66">
        <w:rPr>
          <w:rFonts w:ascii="Arial" w:hAnsi="Arial" w:cs="Arial"/>
          <w:b/>
        </w:rPr>
        <w:t xml:space="preserve"> to TSG</w:t>
      </w:r>
      <w:r w:rsidR="00222D66">
        <w:rPr>
          <w:rFonts w:ascii="Arial" w:hAnsi="Arial" w:cs="Arial"/>
          <w:b/>
        </w:rPr>
        <w:t>:</w:t>
      </w:r>
      <w:r w:rsidR="00222D66">
        <w:rPr>
          <w:rFonts w:ascii="Arial" w:hAnsi="Arial" w:cs="Arial"/>
          <w:b/>
        </w:rPr>
        <w:br/>
      </w:r>
      <w:r w:rsidR="00F615E0" w:rsidRPr="00F615E0">
        <w:rPr>
          <w:rFonts w:ascii="Arial" w:hAnsi="Arial" w:cs="Arial"/>
          <w:b/>
        </w:rPr>
        <w:t>29.</w:t>
      </w:r>
      <w:r w:rsidR="00EA11FC">
        <w:rPr>
          <w:rFonts w:ascii="Arial" w:hAnsi="Arial" w:cs="Arial"/>
          <w:b/>
        </w:rPr>
        <w:t>941</w:t>
      </w:r>
      <w:r w:rsidR="00222D66" w:rsidRPr="00222D66">
        <w:rPr>
          <w:rFonts w:ascii="Arial" w:hAnsi="Arial" w:cs="Arial"/>
          <w:b/>
        </w:rPr>
        <w:t>, Version</w:t>
      </w:r>
      <w:r w:rsidR="00222D66" w:rsidRPr="00F615E0">
        <w:rPr>
          <w:rFonts w:ascii="Arial" w:hAnsi="Arial" w:cs="Arial"/>
          <w:b/>
        </w:rPr>
        <w:t xml:space="preserve"> </w:t>
      </w:r>
      <w:r w:rsidR="00EA11FC">
        <w:rPr>
          <w:rFonts w:ascii="Arial" w:hAnsi="Arial" w:cs="Arial"/>
          <w:b/>
        </w:rPr>
        <w:t>1</w:t>
      </w:r>
      <w:r w:rsidR="00F615E0" w:rsidRPr="00F615E0">
        <w:rPr>
          <w:rFonts w:ascii="Arial" w:hAnsi="Arial" w:cs="Arial"/>
          <w:b/>
        </w:rPr>
        <w:t>.0.</w:t>
      </w:r>
      <w:r w:rsidR="000243FB">
        <w:rPr>
          <w:rFonts w:ascii="Arial" w:hAnsi="Arial" w:cs="Arial"/>
          <w:b/>
        </w:rPr>
        <w:t>1</w:t>
      </w:r>
      <w:r w:rsidR="00222D66" w:rsidRPr="00F615E0">
        <w:rPr>
          <w:rFonts w:ascii="Arial" w:hAnsi="Arial" w:cs="Arial"/>
          <w:b/>
        </w:rPr>
        <w:br/>
      </w:r>
      <w:r w:rsidR="00F615E0">
        <w:rPr>
          <w:rFonts w:ascii="Arial" w:hAnsi="Arial" w:cs="Arial"/>
          <w:b/>
        </w:rPr>
        <w:t xml:space="preserve">on </w:t>
      </w:r>
      <w:r w:rsidR="00F615E0" w:rsidRPr="00F615E0">
        <w:rPr>
          <w:rFonts w:ascii="Arial" w:hAnsi="Arial" w:cs="Arial"/>
          <w:b/>
        </w:rPr>
        <w:t>Port Allocation Alternatives for New 3GPP Interfaces</w:t>
      </w:r>
      <w:r w:rsidR="00F615E0">
        <w:rPr>
          <w:rFonts w:ascii="Arial" w:hAnsi="Arial" w:cs="Arial"/>
          <w:b/>
        </w:rPr>
        <w:br/>
      </w:r>
    </w:p>
    <w:p w14:paraId="62EA06F4" w14:textId="77777777" w:rsidR="002B09A1" w:rsidRDefault="002B09A1" w:rsidP="000F7ECB">
      <w:pPr>
        <w:spacing w:after="60"/>
        <w:ind w:left="1985" w:hanging="1985"/>
        <w:rPr>
          <w:rFonts w:ascii="Arial" w:hAnsi="Arial" w:cs="Arial"/>
          <w:b/>
        </w:rPr>
      </w:pPr>
      <w:r>
        <w:rPr>
          <w:rFonts w:ascii="Arial" w:hAnsi="Arial" w:cs="Arial"/>
          <w:b/>
        </w:rPr>
        <w:t>Source:</w:t>
      </w:r>
      <w:r>
        <w:rPr>
          <w:rFonts w:ascii="Arial" w:hAnsi="Arial" w:cs="Arial"/>
          <w:b/>
        </w:rPr>
        <w:tab/>
      </w:r>
      <w:r w:rsidR="00F615E0" w:rsidRPr="00F615E0">
        <w:rPr>
          <w:rFonts w:ascii="Arial" w:hAnsi="Arial" w:cs="Arial"/>
          <w:b/>
        </w:rPr>
        <w:t>3GPP TSG CT WG4</w:t>
      </w:r>
      <w:r w:rsidR="00201520" w:rsidRPr="00F615E0">
        <w:rPr>
          <w:rFonts w:ascii="Arial" w:hAnsi="Arial" w:cs="Arial"/>
          <w:b/>
        </w:rPr>
        <w:br/>
      </w:r>
    </w:p>
    <w:p w14:paraId="4719993B" w14:textId="44AAF756" w:rsidR="00222D66" w:rsidRPr="00222D66" w:rsidRDefault="00222D66" w:rsidP="000F7ECB">
      <w:pPr>
        <w:spacing w:after="60"/>
        <w:ind w:left="1985" w:hanging="1985"/>
        <w:rPr>
          <w:rFonts w:ascii="Arial" w:hAnsi="Arial" w:cs="Arial"/>
          <w:b/>
        </w:rPr>
      </w:pPr>
      <w:r>
        <w:rPr>
          <w:rFonts w:ascii="Arial" w:hAnsi="Arial" w:cs="Arial"/>
          <w:b/>
        </w:rPr>
        <w:t>Document for:</w:t>
      </w:r>
      <w:r>
        <w:rPr>
          <w:rFonts w:ascii="Arial" w:hAnsi="Arial" w:cs="Arial"/>
          <w:b/>
        </w:rPr>
        <w:tab/>
      </w:r>
      <w:r w:rsidR="00F615E0" w:rsidRPr="00F615E0">
        <w:rPr>
          <w:rFonts w:ascii="Arial" w:hAnsi="Arial" w:cs="Arial"/>
          <w:b/>
        </w:rPr>
        <w:t>Information</w:t>
      </w:r>
    </w:p>
    <w:p w14:paraId="3C183710" w14:textId="77777777" w:rsidR="00222D66" w:rsidRDefault="00222D66" w:rsidP="000F7ECB">
      <w:pPr>
        <w:spacing w:after="60"/>
        <w:ind w:left="1985" w:hanging="1985"/>
        <w:rPr>
          <w:rFonts w:ascii="Arial" w:hAnsi="Arial" w:cs="Arial"/>
          <w:bCs/>
        </w:rPr>
      </w:pPr>
    </w:p>
    <w:p w14:paraId="4B297008" w14:textId="43444303" w:rsidR="0045428D" w:rsidRPr="00795300" w:rsidRDefault="0045428D" w:rsidP="00795300">
      <w:pPr>
        <w:pBdr>
          <w:top w:val="single" w:sz="4" w:space="1" w:color="auto"/>
        </w:pBdr>
        <w:tabs>
          <w:tab w:val="left" w:pos="3119"/>
        </w:tabs>
        <w:rPr>
          <w:b/>
          <w:sz w:val="24"/>
        </w:rPr>
      </w:pPr>
      <w:r w:rsidRPr="00795300">
        <w:rPr>
          <w:b/>
          <w:bCs/>
          <w:sz w:val="24"/>
        </w:rPr>
        <w:t>Abstract of document:</w:t>
      </w:r>
    </w:p>
    <w:p w14:paraId="331E670B" w14:textId="77777777" w:rsidR="00EA11FC" w:rsidRPr="00EA11FC" w:rsidRDefault="00EA11FC" w:rsidP="00EA11FC">
      <w:pPr>
        <w:tabs>
          <w:tab w:val="left" w:pos="3119"/>
        </w:tabs>
        <w:rPr>
          <w:sz w:val="24"/>
        </w:rPr>
      </w:pPr>
      <w:r w:rsidRPr="00EA11FC">
        <w:rPr>
          <w:sz w:val="24"/>
        </w:rPr>
        <w:t>The present document provides guidelines for resolving the problem with allocating port numbers for new 3GPP interfaces, as an alternative to IANA assigned port numbers.</w:t>
      </w:r>
    </w:p>
    <w:p w14:paraId="3063D28F" w14:textId="77777777" w:rsidR="00EA11FC" w:rsidRPr="00EA11FC" w:rsidRDefault="00EA11FC" w:rsidP="00EA11FC">
      <w:pPr>
        <w:tabs>
          <w:tab w:val="left" w:pos="3119"/>
        </w:tabs>
        <w:rPr>
          <w:sz w:val="24"/>
        </w:rPr>
      </w:pPr>
      <w:r w:rsidRPr="00EA11FC">
        <w:rPr>
          <w:sz w:val="24"/>
        </w:rPr>
        <w:t>Starting from 3GPP Rel-17, any 3GPP working group can rely on these guidelines when defining new interfaces, which require new default port number allocation.</w:t>
      </w:r>
    </w:p>
    <w:p w14:paraId="2EA10FF1" w14:textId="77777777" w:rsidR="0045428D" w:rsidRDefault="0045428D">
      <w:pPr>
        <w:pBdr>
          <w:top w:val="single" w:sz="4" w:space="1" w:color="auto"/>
        </w:pBdr>
        <w:tabs>
          <w:tab w:val="left" w:pos="3119"/>
        </w:tabs>
        <w:rPr>
          <w:b/>
          <w:sz w:val="24"/>
        </w:rPr>
      </w:pPr>
      <w:r>
        <w:rPr>
          <w:b/>
          <w:sz w:val="24"/>
        </w:rPr>
        <w:t>Changes since last presentation:</w:t>
      </w:r>
    </w:p>
    <w:p w14:paraId="73ED5DCD" w14:textId="609ABD56" w:rsidR="0045428D" w:rsidRPr="00F615E0" w:rsidRDefault="008B2A34">
      <w:pPr>
        <w:tabs>
          <w:tab w:val="left" w:pos="3119"/>
        </w:tabs>
        <w:rPr>
          <w:sz w:val="24"/>
        </w:rPr>
      </w:pPr>
      <w:r>
        <w:rPr>
          <w:sz w:val="24"/>
        </w:rPr>
        <w:t>This is the f</w:t>
      </w:r>
      <w:r w:rsidR="00F615E0" w:rsidRPr="00F615E0">
        <w:rPr>
          <w:sz w:val="24"/>
        </w:rPr>
        <w:t>irst presentation</w:t>
      </w:r>
      <w:r>
        <w:rPr>
          <w:sz w:val="24"/>
        </w:rPr>
        <w:t xml:space="preserve"> of the </w:t>
      </w:r>
      <w:r w:rsidR="00540F1F">
        <w:rPr>
          <w:sz w:val="24"/>
        </w:rPr>
        <w:t>T</w:t>
      </w:r>
      <w:r w:rsidR="00EA11FC">
        <w:rPr>
          <w:sz w:val="24"/>
        </w:rPr>
        <w:t>S</w:t>
      </w:r>
      <w:r w:rsidR="00540F1F">
        <w:rPr>
          <w:sz w:val="24"/>
        </w:rPr>
        <w:t> 29</w:t>
      </w:r>
      <w:r>
        <w:rPr>
          <w:sz w:val="24"/>
        </w:rPr>
        <w:t>.</w:t>
      </w:r>
      <w:r w:rsidR="00EA11FC">
        <w:rPr>
          <w:sz w:val="24"/>
        </w:rPr>
        <w:t>941</w:t>
      </w:r>
      <w:r>
        <w:rPr>
          <w:sz w:val="24"/>
        </w:rPr>
        <w:t xml:space="preserve"> to </w:t>
      </w:r>
      <w:r w:rsidRPr="008B2A34">
        <w:rPr>
          <w:sz w:val="24"/>
        </w:rPr>
        <w:t>TSG-CT</w:t>
      </w:r>
      <w:r>
        <w:rPr>
          <w:sz w:val="24"/>
        </w:rPr>
        <w:t>.</w:t>
      </w:r>
    </w:p>
    <w:p w14:paraId="743465B9" w14:textId="77777777" w:rsidR="0045428D" w:rsidRDefault="0045428D">
      <w:pPr>
        <w:pBdr>
          <w:top w:val="single" w:sz="4" w:space="1" w:color="auto"/>
        </w:pBdr>
        <w:tabs>
          <w:tab w:val="left" w:pos="3119"/>
        </w:tabs>
        <w:rPr>
          <w:b/>
          <w:sz w:val="24"/>
        </w:rPr>
      </w:pPr>
      <w:r>
        <w:rPr>
          <w:b/>
          <w:sz w:val="24"/>
        </w:rPr>
        <w:t>Outstanding Issues:</w:t>
      </w:r>
    </w:p>
    <w:p w14:paraId="7DF6F206" w14:textId="54A853C5" w:rsidR="00B618C7" w:rsidRPr="008B2A34" w:rsidRDefault="00B618C7" w:rsidP="00B618C7">
      <w:pPr>
        <w:tabs>
          <w:tab w:val="left" w:pos="3119"/>
        </w:tabs>
        <w:rPr>
          <w:sz w:val="24"/>
        </w:rPr>
      </w:pPr>
      <w:r w:rsidRPr="008B2A34">
        <w:rPr>
          <w:sz w:val="24"/>
        </w:rPr>
        <w:t xml:space="preserve">CT4 sent an LS "Information on the port number allocation solutions" to RAN2, RAN3, SA4, CT3 and SA5 WGs (CC to SA, CT, RAN, SA2, </w:t>
      </w:r>
      <w:r w:rsidRPr="00235049">
        <w:rPr>
          <w:sz w:val="24"/>
        </w:rPr>
        <w:t>see C4-211806) asking</w:t>
      </w:r>
      <w:r w:rsidRPr="008B2A34">
        <w:rPr>
          <w:sz w:val="24"/>
        </w:rPr>
        <w:t xml:space="preserve"> them to review </w:t>
      </w:r>
      <w:r>
        <w:rPr>
          <w:sz w:val="24"/>
        </w:rPr>
        <w:t>the parent TR 29</w:t>
      </w:r>
      <w:r w:rsidRPr="008B2A34">
        <w:rPr>
          <w:sz w:val="24"/>
        </w:rPr>
        <w:t>.835 v</w:t>
      </w:r>
      <w:r>
        <w:rPr>
          <w:sz w:val="24"/>
        </w:rPr>
        <w:t>1.0.</w:t>
      </w:r>
      <w:r w:rsidRPr="008B2A34">
        <w:rPr>
          <w:sz w:val="24"/>
        </w:rPr>
        <w:t>0 and share their comments</w:t>
      </w:r>
      <w:r>
        <w:rPr>
          <w:sz w:val="24"/>
        </w:rPr>
        <w:t xml:space="preserve"> with CT4</w:t>
      </w:r>
      <w:r w:rsidRPr="008B2A34">
        <w:rPr>
          <w:sz w:val="24"/>
        </w:rPr>
        <w:t xml:space="preserve">. </w:t>
      </w:r>
      <w:r>
        <w:rPr>
          <w:sz w:val="24"/>
        </w:rPr>
        <w:t>Formal responses are pending, but all WGs have already reviewed TR 29.835 v1.0.0 during May 2021 meetings. Once CT4 receives formal responses, these will have determine the guidelines part in the TR 29.941.</w:t>
      </w:r>
    </w:p>
    <w:p w14:paraId="4F5F2D7C" w14:textId="77777777" w:rsidR="00B618C7" w:rsidRDefault="00B618C7">
      <w:pPr>
        <w:pBdr>
          <w:top w:val="single" w:sz="4" w:space="1" w:color="auto"/>
        </w:pBdr>
        <w:tabs>
          <w:tab w:val="left" w:pos="3119"/>
        </w:tabs>
        <w:rPr>
          <w:b/>
          <w:sz w:val="24"/>
        </w:rPr>
      </w:pPr>
    </w:p>
    <w:p w14:paraId="4B4B8D4E" w14:textId="77777777" w:rsidR="0045428D" w:rsidRDefault="0045428D">
      <w:pPr>
        <w:pBdr>
          <w:top w:val="single" w:sz="4" w:space="1" w:color="auto"/>
        </w:pBdr>
        <w:tabs>
          <w:tab w:val="left" w:pos="3119"/>
        </w:tabs>
        <w:rPr>
          <w:b/>
          <w:sz w:val="24"/>
        </w:rPr>
      </w:pPr>
      <w:r>
        <w:rPr>
          <w:b/>
          <w:sz w:val="24"/>
        </w:rPr>
        <w:t>Contentious Issues:</w:t>
      </w:r>
    </w:p>
    <w:p w14:paraId="30040599" w14:textId="0CA29C24" w:rsidR="0045428D" w:rsidRPr="00690FAC" w:rsidRDefault="00690FAC">
      <w:pPr>
        <w:tabs>
          <w:tab w:val="left" w:pos="3119"/>
        </w:tabs>
        <w:rPr>
          <w:sz w:val="24"/>
        </w:rPr>
      </w:pPr>
      <w:r w:rsidRPr="008B2A34">
        <w:rPr>
          <w:sz w:val="24"/>
        </w:rPr>
        <w:t>No</w:t>
      </w:r>
      <w:r>
        <w:rPr>
          <w:sz w:val="24"/>
        </w:rPr>
        <w:t xml:space="preserve"> contentious issues were identified within the scope of this TR</w:t>
      </w:r>
      <w:r w:rsidR="00CE6C56">
        <w:rPr>
          <w:sz w:val="24"/>
        </w:rPr>
        <w:t xml:space="preserve"> (see Contention Issues for the parent TR 29.835 in </w:t>
      </w:r>
      <w:r w:rsidR="00CE6C56" w:rsidRPr="00CE6C56">
        <w:rPr>
          <w:sz w:val="24"/>
        </w:rPr>
        <w:t>CP-211085</w:t>
      </w:r>
      <w:r w:rsidR="00CE6C56">
        <w:rPr>
          <w:sz w:val="24"/>
        </w:rPr>
        <w:t>)</w:t>
      </w:r>
      <w:r w:rsidRPr="00690FAC">
        <w:rPr>
          <w:sz w:val="24"/>
        </w:rPr>
        <w:t>.</w:t>
      </w:r>
    </w:p>
    <w:p w14:paraId="25579101" w14:textId="77777777" w:rsidR="0045428D" w:rsidRPr="0045428D" w:rsidRDefault="0045428D" w:rsidP="0045428D">
      <w:pPr>
        <w:tabs>
          <w:tab w:val="left" w:pos="3119"/>
        </w:tabs>
        <w:spacing w:after="0"/>
        <w:rPr>
          <w:sz w:val="16"/>
          <w:szCs w:val="16"/>
          <w:u w:val="single"/>
        </w:rPr>
      </w:pPr>
      <w:r w:rsidRPr="0045428D">
        <w:rPr>
          <w:sz w:val="16"/>
          <w:szCs w:val="16"/>
          <w:u w:val="single"/>
        </w:rPr>
        <w:t>Change history of this document:</w:t>
      </w:r>
    </w:p>
    <w:p w14:paraId="2B62A5B6" w14:textId="77777777" w:rsidR="0045428D" w:rsidRPr="0045428D" w:rsidRDefault="0045428D" w:rsidP="0045428D">
      <w:pPr>
        <w:tabs>
          <w:tab w:val="left" w:pos="3119"/>
        </w:tabs>
        <w:spacing w:after="0"/>
        <w:rPr>
          <w:sz w:val="16"/>
          <w:szCs w:val="16"/>
        </w:rPr>
      </w:pPr>
      <w:r>
        <w:rPr>
          <w:sz w:val="16"/>
          <w:szCs w:val="16"/>
        </w:rPr>
        <w:t xml:space="preserve">1999-11-17: </w:t>
      </w:r>
      <w:r w:rsidRPr="0045428D">
        <w:rPr>
          <w:sz w:val="16"/>
          <w:szCs w:val="16"/>
        </w:rPr>
        <w:t>original issue</w:t>
      </w:r>
    </w:p>
    <w:p w14:paraId="027C0280" w14:textId="77777777" w:rsidR="0045428D" w:rsidRDefault="0045428D" w:rsidP="0045428D">
      <w:pPr>
        <w:tabs>
          <w:tab w:val="left" w:pos="3119"/>
        </w:tabs>
        <w:spacing w:after="0"/>
        <w:rPr>
          <w:sz w:val="16"/>
          <w:szCs w:val="16"/>
        </w:rPr>
      </w:pPr>
      <w:r>
        <w:rPr>
          <w:sz w:val="16"/>
          <w:szCs w:val="16"/>
        </w:rPr>
        <w:t xml:space="preserve">2007-09-06: </w:t>
      </w:r>
      <w:r w:rsidRPr="0045428D">
        <w:rPr>
          <w:sz w:val="16"/>
          <w:szCs w:val="16"/>
        </w:rPr>
        <w:t>removal of references to Working Groups; bring names of TSGs up to date; correction of typo</w:t>
      </w:r>
    </w:p>
    <w:p w14:paraId="6A7891A2" w14:textId="77777777" w:rsidR="000F7ECB" w:rsidRPr="0045428D" w:rsidRDefault="000F7ECB" w:rsidP="0045428D">
      <w:pPr>
        <w:tabs>
          <w:tab w:val="left" w:pos="3119"/>
        </w:tabs>
        <w:spacing w:after="0"/>
        <w:rPr>
          <w:sz w:val="16"/>
          <w:szCs w:val="16"/>
        </w:rPr>
      </w:pPr>
      <w:r>
        <w:rPr>
          <w:sz w:val="16"/>
          <w:szCs w:val="16"/>
        </w:rPr>
        <w:t>2015-01-06: adds tdoc header &amp; removes redundant information below</w:t>
      </w:r>
    </w:p>
    <w:sectPr w:rsidR="000F7ECB" w:rsidRPr="0045428D">
      <w:pgSz w:w="11898" w:h="16827"/>
      <w:pgMar w:top="1416" w:right="1133" w:bottom="1133" w:left="1133" w:header="850" w:footer="34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CF9E7B24"/>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6A7803C8"/>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5F00F242"/>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1806F4C2"/>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DD00D7C4"/>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42ECB7DA"/>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D7AA38EE"/>
    <w:lvl w:ilvl="0">
      <w:start w:val="1"/>
      <w:numFmt w:val="bullet"/>
      <w:lvlText w:val=""/>
      <w:lvlJc w:val="left"/>
      <w:pPr>
        <w:tabs>
          <w:tab w:val="num" w:pos="360"/>
        </w:tabs>
        <w:ind w:left="360" w:hanging="360"/>
      </w:pPr>
      <w:rPr>
        <w:rFonts w:ascii="Symbol" w:hAnsi="Symbol" w:hint="default"/>
      </w:rPr>
    </w:lvl>
  </w:abstractNum>
  <w:num w:numId="1">
    <w:abstractNumId w:val="0"/>
  </w:num>
  <w:num w:numId="2">
    <w:abstractNumId w:val="4"/>
  </w:num>
  <w:num w:numId="3">
    <w:abstractNumId w:val="3"/>
  </w:num>
  <w:num w:numId="4">
    <w:abstractNumId w:val="5"/>
  </w:num>
  <w:num w:numId="5">
    <w:abstractNumId w:val="6"/>
  </w:num>
  <w:num w:numId="6">
    <w:abstractNumId w:val="2"/>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9"/>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isplayHorizontalDrawingGridEvery w:val="0"/>
  <w:displayVerticalDrawingGridEvery w:val="0"/>
  <w:doNotUseMarginsForDrawingGridOrigin/>
  <w:noPunctuationKerning/>
  <w:characterSpacingControl w:val="doNotCompress"/>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5428D"/>
    <w:rsid w:val="000243FB"/>
    <w:rsid w:val="000342EC"/>
    <w:rsid w:val="000F7ECB"/>
    <w:rsid w:val="0015461C"/>
    <w:rsid w:val="00201520"/>
    <w:rsid w:val="0021104F"/>
    <w:rsid w:val="00222D66"/>
    <w:rsid w:val="00235049"/>
    <w:rsid w:val="002B09A1"/>
    <w:rsid w:val="003B5627"/>
    <w:rsid w:val="0045428D"/>
    <w:rsid w:val="00540F1F"/>
    <w:rsid w:val="00690FAC"/>
    <w:rsid w:val="00795300"/>
    <w:rsid w:val="007C1204"/>
    <w:rsid w:val="008B2A34"/>
    <w:rsid w:val="0092371F"/>
    <w:rsid w:val="009363C9"/>
    <w:rsid w:val="00B2131D"/>
    <w:rsid w:val="00B618C7"/>
    <w:rsid w:val="00CC358C"/>
    <w:rsid w:val="00CE6C56"/>
    <w:rsid w:val="00D03DBF"/>
    <w:rsid w:val="00DC278D"/>
    <w:rsid w:val="00DF7167"/>
    <w:rsid w:val="00EA11FC"/>
    <w:rsid w:val="00F615E0"/>
    <w:rsid w:val="00F819C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93F9841"/>
  <w15:chartTrackingRefBased/>
  <w15:docId w15:val="{23800C4B-EE10-4743-8C95-98E82F01B3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ko-KR"/>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ko-KR"/>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autoRedefine/>
    <w:semiHidden/>
    <w:pPr>
      <w:spacing w:before="180"/>
      <w:ind w:left="2693" w:hanging="2693"/>
    </w:pPr>
    <w:rPr>
      <w:b/>
    </w:rPr>
  </w:style>
  <w:style w:type="paragraph" w:styleId="TOC1">
    <w:name w:val="toc 1"/>
    <w:autoRedefine/>
    <w:semiHidden/>
    <w:pPr>
      <w:keepNext/>
      <w:keepLines/>
      <w:widowControl w:val="0"/>
      <w:tabs>
        <w:tab w:val="right" w:leader="dot" w:pos="9639"/>
      </w:tabs>
      <w:spacing w:before="120"/>
      <w:ind w:left="567" w:right="425" w:hanging="567"/>
    </w:pPr>
    <w:rPr>
      <w:noProof/>
      <w:sz w:val="22"/>
      <w:lang w:eastAsia="ko-KR"/>
    </w:rPr>
  </w:style>
  <w:style w:type="paragraph" w:customStyle="1" w:styleId="ZT">
    <w:name w:val="ZT"/>
    <w:pPr>
      <w:framePr w:wrap="notBeside" w:hAnchor="margin" w:yAlign="center"/>
      <w:widowControl w:val="0"/>
      <w:spacing w:line="240" w:lineRule="atLeast"/>
      <w:jc w:val="right"/>
    </w:pPr>
    <w:rPr>
      <w:rFonts w:ascii="Arial" w:hAnsi="Arial"/>
      <w:b/>
      <w:sz w:val="34"/>
      <w:lang w:eastAsia="ko-KR"/>
    </w:rPr>
  </w:style>
  <w:style w:type="paragraph" w:styleId="TOC5">
    <w:name w:val="toc 5"/>
    <w:basedOn w:val="TOC4"/>
    <w:autoRedefine/>
    <w:semiHidden/>
    <w:pPr>
      <w:ind w:left="1701" w:hanging="1701"/>
    </w:pPr>
  </w:style>
  <w:style w:type="paragraph" w:styleId="TOC4">
    <w:name w:val="toc 4"/>
    <w:basedOn w:val="TOC3"/>
    <w:autoRedefine/>
    <w:semiHidden/>
    <w:pPr>
      <w:ind w:left="1418" w:hanging="1418"/>
    </w:pPr>
  </w:style>
  <w:style w:type="paragraph" w:styleId="TOC3">
    <w:name w:val="toc 3"/>
    <w:basedOn w:val="TOC2"/>
    <w:autoRedefine/>
    <w:semiHidden/>
    <w:pPr>
      <w:ind w:left="1134" w:hanging="1134"/>
    </w:pPr>
  </w:style>
  <w:style w:type="paragraph" w:styleId="TOC2">
    <w:name w:val="toc 2"/>
    <w:basedOn w:val="TOC1"/>
    <w:autoRedefine/>
    <w:semiHidden/>
    <w:pPr>
      <w:keepNext w:val="0"/>
      <w:spacing w:before="0"/>
      <w:ind w:left="851" w:hanging="851"/>
    </w:pPr>
    <w:rPr>
      <w:sz w:val="20"/>
    </w:rPr>
  </w:style>
  <w:style w:type="paragraph" w:styleId="Index2">
    <w:name w:val="index 2"/>
    <w:basedOn w:val="Index1"/>
    <w:autoRedefine/>
    <w:semiHidden/>
    <w:pPr>
      <w:ind w:left="284"/>
    </w:pPr>
  </w:style>
  <w:style w:type="paragraph" w:styleId="Index1">
    <w:name w:val="index 1"/>
    <w:basedOn w:val="Normal"/>
    <w:autoRedefine/>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ko-KR"/>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ko-KR"/>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autoRedefine/>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Courier New" w:hAnsi="Courier New"/>
      <w:noProof/>
      <w:lang w:eastAsia="ko-KR"/>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autoRedefine/>
    <w:semiHidden/>
    <w:pPr>
      <w:ind w:left="1985" w:hanging="1985"/>
    </w:pPr>
  </w:style>
  <w:style w:type="paragraph" w:styleId="TOC7">
    <w:name w:val="toc 7"/>
    <w:basedOn w:val="TOC6"/>
    <w:next w:val="Normal"/>
    <w:autoRedefine/>
    <w:semiHidden/>
    <w:pPr>
      <w:ind w:left="2268" w:hanging="2268"/>
    </w:pPr>
  </w:style>
  <w:style w:type="paragraph" w:styleId="ListBullet2">
    <w:name w:val="List Bullet 2"/>
    <w:basedOn w:val="ListBullet"/>
    <w:autoRedefine/>
    <w:pPr>
      <w:ind w:left="851"/>
    </w:pPr>
  </w:style>
  <w:style w:type="paragraph" w:styleId="ListBullet3">
    <w:name w:val="List Bullet 3"/>
    <w:basedOn w:val="ListBullet2"/>
    <w:autoRedefine/>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ko-KR"/>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ko-KR"/>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ko-KR"/>
    </w:rPr>
  </w:style>
  <w:style w:type="paragraph" w:customStyle="1" w:styleId="ZD">
    <w:name w:val="ZD"/>
    <w:pPr>
      <w:framePr w:wrap="notBeside" w:vAnchor="page" w:hAnchor="margin" w:y="15764"/>
      <w:widowControl w:val="0"/>
    </w:pPr>
    <w:rPr>
      <w:rFonts w:ascii="Arial" w:hAnsi="Arial"/>
      <w:noProof/>
      <w:sz w:val="32"/>
      <w:lang w:eastAsia="ko-KR"/>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ko-KR"/>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ko-KR"/>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autoRedefine/>
  </w:style>
  <w:style w:type="paragraph" w:styleId="ListBullet4">
    <w:name w:val="List Bullet 4"/>
    <w:basedOn w:val="ListBullet3"/>
    <w:autoRedefine/>
    <w:pPr>
      <w:ind w:left="1418"/>
    </w:pPr>
  </w:style>
  <w:style w:type="paragraph" w:styleId="ListBullet5">
    <w:name w:val="List Bullet 5"/>
    <w:basedOn w:val="ListBullet4"/>
    <w:autoRedefine/>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character" w:customStyle="1" w:styleId="HeaderChar">
    <w:name w:val="Header Char"/>
    <w:link w:val="Header"/>
    <w:rsid w:val="000F7ECB"/>
    <w:rPr>
      <w:rFonts w:ascii="Arial" w:hAnsi="Arial"/>
      <w:b/>
      <w:noProof/>
      <w:sz w:val="18"/>
      <w:lang w:eastAsia="ko-KR"/>
    </w:rPr>
  </w:style>
  <w:style w:type="paragraph" w:styleId="CommentText">
    <w:name w:val="annotation text"/>
    <w:basedOn w:val="Normal"/>
    <w:link w:val="CommentTextChar"/>
    <w:rsid w:val="000F7ECB"/>
    <w:pPr>
      <w:tabs>
        <w:tab w:val="left" w:pos="1418"/>
        <w:tab w:val="left" w:pos="4678"/>
        <w:tab w:val="left" w:pos="5954"/>
        <w:tab w:val="left" w:pos="7088"/>
      </w:tabs>
      <w:spacing w:after="240"/>
      <w:jc w:val="both"/>
    </w:pPr>
    <w:rPr>
      <w:rFonts w:ascii="Arial" w:hAnsi="Arial"/>
      <w:lang w:eastAsia="en-US"/>
    </w:rPr>
  </w:style>
  <w:style w:type="character" w:customStyle="1" w:styleId="CommentTextChar">
    <w:name w:val="Comment Text Char"/>
    <w:link w:val="CommentText"/>
    <w:rsid w:val="000F7ECB"/>
    <w:rPr>
      <w:rFonts w:ascii="Arial" w:hAnsi="Arial"/>
      <w:lang w:eastAsia="en-US"/>
    </w:rPr>
  </w:style>
  <w:style w:type="character" w:styleId="CommentReference">
    <w:name w:val="annotation reference"/>
    <w:rsid w:val="000F7ECB"/>
    <w:rPr>
      <w:sz w:val="16"/>
    </w:rPr>
  </w:style>
  <w:style w:type="paragraph" w:styleId="BalloonText">
    <w:name w:val="Balloon Text"/>
    <w:basedOn w:val="Normal"/>
    <w:link w:val="BalloonTextChar"/>
    <w:rsid w:val="000F7ECB"/>
    <w:pPr>
      <w:spacing w:after="0"/>
    </w:pPr>
    <w:rPr>
      <w:rFonts w:ascii="Segoe UI" w:hAnsi="Segoe UI" w:cs="Segoe UI"/>
      <w:sz w:val="18"/>
      <w:szCs w:val="18"/>
    </w:rPr>
  </w:style>
  <w:style w:type="character" w:customStyle="1" w:styleId="BalloonTextChar">
    <w:name w:val="Balloon Text Char"/>
    <w:link w:val="BalloonText"/>
    <w:rsid w:val="000F7ECB"/>
    <w:rPr>
      <w:rFonts w:ascii="Segoe UI" w:hAnsi="Segoe UI" w:cs="Segoe UI"/>
      <w:sz w:val="18"/>
      <w:szCs w:val="18"/>
      <w:lang w:eastAsia="ko-KR"/>
    </w:rPr>
  </w:style>
  <w:style w:type="paragraph" w:customStyle="1" w:styleId="CRCoverPage">
    <w:name w:val="CR Cover Page"/>
    <w:rsid w:val="00F615E0"/>
    <w:pPr>
      <w:spacing w:after="120"/>
    </w:pPr>
    <w:rPr>
      <w:rFonts w:ascii="Arial" w:hAnsi="Arial"/>
      <w:lang w:eastAsia="en-US"/>
    </w:rPr>
  </w:style>
  <w:style w:type="paragraph" w:customStyle="1" w:styleId="Guidance">
    <w:name w:val="Guidance"/>
    <w:basedOn w:val="Normal"/>
    <w:rsid w:val="00EA11FC"/>
    <w:rPr>
      <w:i/>
      <w:color w:val="0000FF"/>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19</TotalTime>
  <Pages>1</Pages>
  <Words>228</Words>
  <Characters>1303</Characters>
  <Application>Microsoft Office Word</Application>
  <DocSecurity>0</DocSecurity>
  <Lines>10</Lines>
  <Paragraphs>3</Paragraphs>
  <ScaleCrop>false</ScaleCrop>
  <HeadingPairs>
    <vt:vector size="2" baseType="variant">
      <vt:variant>
        <vt:lpstr>Title</vt:lpstr>
      </vt:variant>
      <vt:variant>
        <vt:i4>1</vt:i4>
      </vt:variant>
    </vt:vector>
  </HeadingPairs>
  <TitlesOfParts>
    <vt:vector size="1" baseType="lpstr">
      <vt:lpstr>Presentation to TSG / WG</vt:lpstr>
    </vt:vector>
  </TitlesOfParts>
  <Company>ETSI Sophia-Antipolis</Company>
  <LinksUpToDate>false</LinksUpToDate>
  <CharactersWithSpaces>1528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Presentation to TSG / WG</dc:title>
  <dc:subject/>
  <dc:creator>Maurice Pope</dc:creator>
  <cp:keywords/>
  <dc:description>Template for presentation of Specifications to TSGs and WGs</dc:description>
  <cp:lastModifiedBy>kk/mcc</cp:lastModifiedBy>
  <cp:revision>10</cp:revision>
  <dcterms:created xsi:type="dcterms:W3CDTF">2021-05-31T13:45:00Z</dcterms:created>
  <dcterms:modified xsi:type="dcterms:W3CDTF">2021-06-15T14:03:00Z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1622531215</vt:lpwstr>
  </property>
</Properties>
</file>