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CP-20310</w:t>
      </w:r>
      <w:r>
        <w:rPr>
          <w:b/>
          <w:noProof/>
          <w:sz w:val="24"/>
        </w:rPr>
        <w:t>6</w:t>
      </w:r>
    </w:p>
    <w:p>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pPr>
        <w:pBdr>
          <w:bottom w:val="single" w:sz="6" w:space="1" w:color="auto"/>
        </w:pBdr>
        <w:rPr>
          <w:rFonts w:eastAsia="Batang"/>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Pr>
          <w:rFonts w:ascii="Arial" w:eastAsia="Batang" w:hAnsi="Arial"/>
          <w:b/>
          <w:lang w:val="en-US"/>
        </w:rPr>
        <w:t>3GPP TSG CT WG3</w:t>
      </w:r>
      <w:bookmarkStart w:id="0" w:name="_GoBack"/>
      <w:bookmarkEnd w:id="0"/>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CT aspects for enabling Edge Applications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pPr>
        <w:pStyle w:val="Heading2"/>
        <w:tabs>
          <w:tab w:val="left" w:pos="2552"/>
        </w:tabs>
      </w:pPr>
      <w:r>
        <w:t xml:space="preserve">Acronym: EDGEAPP </w:t>
      </w:r>
    </w:p>
    <w:p>
      <w:pPr>
        <w:pStyle w:val="Heading2"/>
        <w:tabs>
          <w:tab w:val="left" w:pos="2552"/>
        </w:tabs>
      </w:pPr>
      <w:r>
        <w:t xml:space="preserve">Unique identifier: </w:t>
      </w:r>
      <w:r>
        <w:tab/>
      </w:r>
      <w:r>
        <w:t>900006</w:t>
      </w:r>
    </w:p>
    <w:p>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r>
              <w:t>X</w:t>
            </w: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r>
              <w:t>X</w:t>
            </w: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r>
              <w:t>EDGEAPP</w:t>
            </w:r>
          </w:p>
        </w:tc>
        <w:tc>
          <w:tcPr>
            <w:tcW w:w="1101" w:type="dxa"/>
          </w:tcPr>
          <w:p>
            <w:pPr>
              <w:pStyle w:val="TAL"/>
            </w:pPr>
            <w:r>
              <w:t>SA6</w:t>
            </w:r>
          </w:p>
        </w:tc>
        <w:tc>
          <w:tcPr>
            <w:tcW w:w="1101" w:type="dxa"/>
          </w:tcPr>
          <w:p>
            <w:pPr>
              <w:pStyle w:val="TAL"/>
            </w:pPr>
            <w:r>
              <w:t>860006</w:t>
            </w:r>
          </w:p>
        </w:tc>
        <w:tc>
          <w:tcPr>
            <w:tcW w:w="7011" w:type="dxa"/>
          </w:tcPr>
          <w:p>
            <w:pPr>
              <w:pStyle w:val="tah0"/>
            </w:pPr>
            <w:r>
              <w:rPr>
                <w:rFonts w:eastAsia="Batang" w:cs="Arial"/>
              </w:rPr>
              <w:t>Architecture for enabling Edge Applications</w:t>
            </w:r>
          </w:p>
        </w:tc>
      </w:tr>
    </w:tbl>
    <w:p>
      <w:pPr>
        <w:ind w:right="-99"/>
        <w:rPr>
          <w:b/>
        </w:rPr>
      </w:pPr>
    </w:p>
    <w:p>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tc>
          <w:tcPr>
            <w:tcW w:w="10314" w:type="dxa"/>
            <w:gridSpan w:val="3"/>
            <w:shd w:val="clear" w:color="auto" w:fill="E0E0E0"/>
          </w:tcPr>
          <w:p>
            <w:pPr>
              <w:pStyle w:val="TAH"/>
              <w:ind w:right="-99"/>
              <w:jc w:val="left"/>
            </w:pPr>
            <w:r>
              <w:t>Other related Work Items (if any)</w:t>
            </w:r>
          </w:p>
        </w:tc>
      </w:tr>
      <w:t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5887" w:type="dxa"/>
            <w:shd w:val="clear" w:color="auto" w:fill="E0E0E0"/>
          </w:tcPr>
          <w:p>
            <w:pPr>
              <w:pStyle w:val="TAH"/>
              <w:ind w:right="-99"/>
              <w:jc w:val="left"/>
            </w:pPr>
            <w:r>
              <w:t>Nature of relationship</w:t>
            </w:r>
          </w:p>
        </w:tc>
      </w:tr>
      <w:tr>
        <w:tc>
          <w:tcPr>
            <w:tcW w:w="1101" w:type="dxa"/>
          </w:tcPr>
          <w:p>
            <w:pPr>
              <w:pStyle w:val="TAL"/>
            </w:pPr>
            <w:r>
              <w:t>870029</w:t>
            </w:r>
          </w:p>
        </w:tc>
        <w:tc>
          <w:tcPr>
            <w:tcW w:w="3326" w:type="dxa"/>
          </w:tcPr>
          <w:p>
            <w:pPr>
              <w:pStyle w:val="TAL"/>
              <w:rPr>
                <w:sz w:val="20"/>
              </w:rPr>
            </w:pPr>
            <w:r>
              <w:rPr>
                <w:sz w:val="20"/>
              </w:rPr>
              <w:t>Study on enhancements of edge computing management</w:t>
            </w:r>
          </w:p>
        </w:tc>
        <w:tc>
          <w:tcPr>
            <w:tcW w:w="5887" w:type="dxa"/>
          </w:tcPr>
          <w:p>
            <w:pPr>
              <w:pStyle w:val="tah0"/>
              <w:rPr>
                <w:iCs/>
                <w:sz w:val="20"/>
                <w:lang w:val="en-GB"/>
              </w:rPr>
            </w:pPr>
            <w:r>
              <w:rPr>
                <w:sz w:val="20"/>
                <w:szCs w:val="20"/>
              </w:rPr>
              <w:t>OAM aspects of Edge Computing (SA5).</w:t>
            </w:r>
          </w:p>
        </w:tc>
      </w:tr>
      <w:tr>
        <w:tc>
          <w:tcPr>
            <w:tcW w:w="1101" w:type="dxa"/>
          </w:tcPr>
          <w:p>
            <w:pPr>
              <w:pStyle w:val="TAL"/>
            </w:pPr>
            <w:r>
              <w:t>880030</w:t>
            </w:r>
          </w:p>
        </w:tc>
        <w:tc>
          <w:tcPr>
            <w:tcW w:w="3326" w:type="dxa"/>
          </w:tcPr>
          <w:p>
            <w:pPr>
              <w:pStyle w:val="TAL"/>
              <w:rPr>
                <w:sz w:val="20"/>
              </w:rPr>
            </w:pPr>
            <w:r>
              <w:t>Study on charging aspects of Edge Computing</w:t>
            </w:r>
          </w:p>
        </w:tc>
        <w:tc>
          <w:tcPr>
            <w:tcW w:w="5887" w:type="dxa"/>
          </w:tcPr>
          <w:p>
            <w:pPr>
              <w:pStyle w:val="tah0"/>
              <w:rPr>
                <w:sz w:val="20"/>
                <w:szCs w:val="20"/>
              </w:rPr>
            </w:pPr>
            <w:r>
              <w:rPr>
                <w:sz w:val="20"/>
                <w:szCs w:val="20"/>
              </w:rPr>
              <w:t>Charging aspects of Edge Computing (SA5)</w:t>
            </w:r>
          </w:p>
        </w:tc>
      </w:tr>
      <w:tr>
        <w:tc>
          <w:tcPr>
            <w:tcW w:w="1101" w:type="dxa"/>
          </w:tcPr>
          <w:p>
            <w:pPr>
              <w:pStyle w:val="TAL"/>
            </w:pPr>
            <w:r>
              <w:t>880002</w:t>
            </w:r>
          </w:p>
        </w:tc>
        <w:tc>
          <w:tcPr>
            <w:tcW w:w="3326" w:type="dxa"/>
          </w:tcPr>
          <w:p>
            <w:pPr>
              <w:pStyle w:val="TAL"/>
              <w:rPr>
                <w:sz w:val="20"/>
              </w:rPr>
            </w:pPr>
            <w:r>
              <w:rPr>
                <w:sz w:val="20"/>
              </w:rPr>
              <w:t>Study on Security Aspects of Enhancement of Support for Edge Computing in 5GC</w:t>
            </w:r>
          </w:p>
        </w:tc>
        <w:tc>
          <w:tcPr>
            <w:tcW w:w="5887" w:type="dxa"/>
          </w:tcPr>
          <w:p>
            <w:pPr>
              <w:pStyle w:val="tah0"/>
              <w:rPr>
                <w:iCs/>
                <w:sz w:val="20"/>
                <w:lang w:val="en-GB"/>
              </w:rPr>
            </w:pPr>
            <w:r>
              <w:rPr>
                <w:iCs/>
                <w:sz w:val="20"/>
                <w:lang w:val="en-GB"/>
              </w:rPr>
              <w:t>Security aspects of Edge Computing (SA3)</w:t>
            </w:r>
          </w:p>
        </w:tc>
      </w:tr>
    </w:tbl>
    <w:p>
      <w:pPr>
        <w:spacing w:after="0"/>
        <w:ind w:right="-96"/>
      </w:pPr>
      <w:r>
        <w:rPr>
          <w:b/>
        </w:rPr>
        <w:t>Dependency on non-3GPP (draft) specification</w:t>
      </w:r>
      <w:r>
        <w:t>: None</w:t>
      </w:r>
    </w:p>
    <w:p>
      <w:pPr>
        <w:pStyle w:val="Heading2"/>
      </w:pPr>
      <w:r>
        <w:lastRenderedPageBreak/>
        <w:t>3</w:t>
      </w:r>
      <w:r>
        <w:tab/>
        <w:t>Justification</w:t>
      </w:r>
    </w:p>
    <w:p>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pPr>
        <w:spacing w:after="0"/>
        <w:rPr>
          <w:rFonts w:eastAsia="SimSun" w:cs="Arial"/>
          <w:szCs w:val="36"/>
        </w:rPr>
      </w:pPr>
    </w:p>
    <w:p>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pPr>
        <w:spacing w:after="0"/>
        <w:rPr>
          <w:rFonts w:eastAsia="SimSun" w:cs="Arial"/>
          <w:szCs w:val="36"/>
        </w:rPr>
      </w:pPr>
    </w:p>
    <w:p>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pPr>
        <w:spacing w:after="0"/>
        <w:rPr>
          <w:rFonts w:eastAsia="SimSun" w:cs="Arial"/>
          <w:szCs w:val="36"/>
        </w:rPr>
      </w:pPr>
    </w:p>
    <w:p>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pPr>
        <w:spacing w:after="0"/>
        <w:rPr>
          <w:rFonts w:eastAsia="SimSun" w:cs="Arial"/>
          <w:szCs w:val="36"/>
        </w:rPr>
      </w:pPr>
    </w:p>
    <w:p>
      <w:pPr>
        <w:pStyle w:val="Heading2"/>
      </w:pPr>
      <w:r>
        <w:t>4</w:t>
      </w:r>
      <w:r>
        <w:tab/>
        <w:t>Objective</w:t>
      </w:r>
    </w:p>
    <w:p>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
        <w:t>For CT1, based on normative stage-2 work developed in 3GPP TS 23.558, the expected work includes:</w:t>
      </w:r>
    </w:p>
    <w:p>
      <w:pPr>
        <w:numPr>
          <w:ilvl w:val="0"/>
          <w:numId w:val="8"/>
        </w:numPr>
        <w:ind w:left="709" w:hanging="142"/>
      </w:pPr>
      <w:r>
        <w:t xml:space="preserve">Stage 3 for EDGE-1 and EDGE-4 reference point; </w:t>
      </w:r>
    </w:p>
    <w:p>
      <w:r>
        <w:t>For CT3, based on normative stage-2 work developed in 3GPP TS 23.558 and TS 23.222, the expected work includes:</w:t>
      </w:r>
    </w:p>
    <w:p>
      <w:pPr>
        <w:ind w:left="567"/>
      </w:pPr>
      <w:r>
        <w:t>- CAPIF enhancement for enabling Edge Applications;</w:t>
      </w:r>
    </w:p>
    <w:p>
      <w:pPr>
        <w:ind w:left="567"/>
      </w:pPr>
      <w:r>
        <w:t>- APIs for EDGE-3, EDGE-6, and EDGE-9 reference points.</w:t>
      </w:r>
    </w:p>
    <w:p>
      <w:pPr>
        <w:pStyle w:val="NO"/>
      </w:pPr>
      <w:r>
        <w:t>NOTE 1: Definition of EDGE-5 reference point is out of Rel-17 scope as per 3GPP TS 23.558.</w:t>
      </w:r>
    </w:p>
    <w:p>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tc>
          <w:tcPr>
            <w:tcW w:w="1026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766"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977"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766" w:type="dxa"/>
          </w:tcPr>
          <w:p>
            <w:pPr>
              <w:spacing w:after="0"/>
              <w:rPr>
                <w:i/>
              </w:rPr>
            </w:pPr>
            <w:r>
              <w:rPr>
                <w:i/>
              </w:rPr>
              <w:t>TS</w:t>
            </w:r>
          </w:p>
        </w:tc>
        <w:tc>
          <w:tcPr>
            <w:tcW w:w="1134" w:type="dxa"/>
          </w:tcPr>
          <w:p>
            <w:pPr>
              <w:spacing w:after="0"/>
              <w:rPr>
                <w:i/>
              </w:rPr>
            </w:pPr>
            <w:r>
              <w:rPr>
                <w:i/>
              </w:rPr>
              <w:t>24.abc</w:t>
            </w:r>
          </w:p>
        </w:tc>
        <w:tc>
          <w:tcPr>
            <w:tcW w:w="2977" w:type="dxa"/>
          </w:tcPr>
          <w:p>
            <w:pPr>
              <w:spacing w:after="0"/>
              <w:rPr>
                <w:i/>
              </w:rPr>
            </w:pPr>
            <w:r>
              <w:rPr>
                <w:i/>
              </w:rPr>
              <w:t>Enabling Edge Applications; Protocol specification</w:t>
            </w:r>
          </w:p>
          <w:p>
            <w:pPr>
              <w:spacing w:after="0"/>
              <w:rPr>
                <w:i/>
              </w:rPr>
            </w:pPr>
          </w:p>
          <w:p>
            <w:pPr>
              <w:spacing w:after="0"/>
              <w:rPr>
                <w:i/>
              </w:rPr>
            </w:pPr>
          </w:p>
        </w:tc>
        <w:tc>
          <w:tcPr>
            <w:tcW w:w="1276" w:type="dxa"/>
          </w:tcPr>
          <w:p>
            <w:pPr>
              <w:spacing w:after="0"/>
            </w:pPr>
            <w:r>
              <w:t>TSG CT#92 (June 2021)</w:t>
            </w:r>
          </w:p>
          <w:p>
            <w:pPr>
              <w:spacing w:after="0"/>
            </w:pPr>
          </w:p>
          <w:p>
            <w:pPr>
              <w:spacing w:after="0"/>
              <w:rPr>
                <w:i/>
              </w:rPr>
            </w:pPr>
          </w:p>
        </w:tc>
        <w:tc>
          <w:tcPr>
            <w:tcW w:w="1275" w:type="dxa"/>
          </w:tcPr>
          <w:p>
            <w:pPr>
              <w:spacing w:after="0"/>
              <w:rPr>
                <w:i/>
              </w:rPr>
            </w:pPr>
            <w:r>
              <w:t>TSG CT#93 (September 2021)</w:t>
            </w:r>
          </w:p>
        </w:tc>
        <w:tc>
          <w:tcPr>
            <w:tcW w:w="2835" w:type="dxa"/>
          </w:tcPr>
          <w:p>
            <w:pPr>
              <w:spacing w:after="0"/>
            </w:pPr>
            <w:r>
              <w:t xml:space="preserve">WG </w:t>
            </w:r>
            <w:r>
              <w:rPr>
                <w:rFonts w:hint="eastAsia"/>
              </w:rPr>
              <w:t>CT1</w:t>
            </w:r>
          </w:p>
          <w:p>
            <w:pPr>
              <w:spacing w:after="0"/>
            </w:pPr>
          </w:p>
          <w:p>
            <w:pPr>
              <w:spacing w:after="0"/>
            </w:pPr>
            <w:r>
              <w:t>Rapporteur:</w:t>
            </w:r>
          </w:p>
          <w:p>
            <w:pPr>
              <w:spacing w:after="0"/>
              <w:rPr>
                <w:i/>
              </w:rPr>
            </w:pPr>
            <w:r>
              <w:t>Sapan Shah (Samsung) sapan.shah@samsung.com</w:t>
            </w:r>
          </w:p>
        </w:tc>
      </w:tr>
      <w:tr>
        <w:tc>
          <w:tcPr>
            <w:tcW w:w="766" w:type="dxa"/>
          </w:tcPr>
          <w:p>
            <w:pPr>
              <w:spacing w:after="0"/>
              <w:rPr>
                <w:i/>
              </w:rPr>
            </w:pPr>
            <w:r>
              <w:rPr>
                <w:i/>
              </w:rPr>
              <w:t>TS</w:t>
            </w:r>
          </w:p>
        </w:tc>
        <w:tc>
          <w:tcPr>
            <w:tcW w:w="1134" w:type="dxa"/>
          </w:tcPr>
          <w:p>
            <w:pPr>
              <w:spacing w:after="0"/>
              <w:rPr>
                <w:i/>
              </w:rPr>
            </w:pPr>
            <w:r>
              <w:rPr>
                <w:i/>
              </w:rPr>
              <w:t>29.xyz</w:t>
            </w:r>
          </w:p>
        </w:tc>
        <w:tc>
          <w:tcPr>
            <w:tcW w:w="2977" w:type="dxa"/>
          </w:tcPr>
          <w:p>
            <w:pPr>
              <w:spacing w:after="0"/>
              <w:rPr>
                <w:i/>
              </w:rPr>
            </w:pPr>
            <w:r>
              <w:rPr>
                <w:i/>
              </w:rPr>
              <w:t>Enabling Edge Applications; Application Programming Interface (API) specification; Stage 3</w:t>
            </w:r>
          </w:p>
          <w:p>
            <w:pPr>
              <w:spacing w:after="0"/>
              <w:rPr>
                <w:i/>
              </w:rPr>
            </w:pPr>
          </w:p>
          <w:p>
            <w:pPr>
              <w:spacing w:after="0"/>
              <w:rPr>
                <w:i/>
              </w:rPr>
            </w:pPr>
          </w:p>
        </w:tc>
        <w:tc>
          <w:tcPr>
            <w:tcW w:w="1276" w:type="dxa"/>
          </w:tcPr>
          <w:p>
            <w:pPr>
              <w:spacing w:after="0"/>
            </w:pPr>
            <w:r>
              <w:t>TSG CT#92 (June 2021)</w:t>
            </w:r>
          </w:p>
          <w:p>
            <w:pPr>
              <w:spacing w:after="0"/>
            </w:pPr>
          </w:p>
          <w:p>
            <w:pPr>
              <w:spacing w:after="0"/>
            </w:pPr>
          </w:p>
        </w:tc>
        <w:tc>
          <w:tcPr>
            <w:tcW w:w="1275" w:type="dxa"/>
          </w:tcPr>
          <w:p>
            <w:pPr>
              <w:spacing w:after="0"/>
            </w:pPr>
            <w:r>
              <w:t>TSG CT#93 (September 2021)</w:t>
            </w:r>
          </w:p>
        </w:tc>
        <w:tc>
          <w:tcPr>
            <w:tcW w:w="2835" w:type="dxa"/>
          </w:tcPr>
          <w:p>
            <w:pPr>
              <w:spacing w:after="0"/>
            </w:pPr>
            <w:r>
              <w:t xml:space="preserve">WG </w:t>
            </w:r>
            <w:r>
              <w:rPr>
                <w:rFonts w:hint="eastAsia"/>
              </w:rPr>
              <w:t>CT3</w:t>
            </w:r>
          </w:p>
          <w:p>
            <w:pPr>
              <w:spacing w:after="0"/>
            </w:pPr>
          </w:p>
          <w:p>
            <w:pPr>
              <w:spacing w:after="0"/>
            </w:pPr>
            <w:r>
              <w:t>Rapporteur:</w:t>
            </w:r>
          </w:p>
          <w:p>
            <w:pPr>
              <w:spacing w:after="0"/>
            </w:pPr>
            <w:r>
              <w:t>Narendranath Durga Tangudu (Samsung) n.tangudu@samsung.com</w:t>
            </w:r>
          </w:p>
        </w:tc>
      </w:tr>
    </w:tbl>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pPr>
              <w:spacing w:after="0"/>
              <w:rPr>
                <w:i/>
                <w:color w:val="A6A6A6"/>
              </w:rPr>
            </w:pPr>
            <w:r>
              <w:t>TSG CT#93 (September 2021)</w:t>
            </w:r>
          </w:p>
        </w:tc>
        <w:tc>
          <w:tcPr>
            <w:tcW w:w="2101" w:type="dxa"/>
            <w:tcBorders>
              <w:top w:val="single" w:sz="4" w:space="0" w:color="auto"/>
              <w:left w:val="single" w:sz="4" w:space="0" w:color="auto"/>
              <w:bottom w:val="single" w:sz="4" w:space="0" w:color="auto"/>
              <w:right w:val="single" w:sz="4" w:space="0" w:color="auto"/>
            </w:tcBorders>
          </w:tcPr>
          <w:p>
            <w:pPr>
              <w:spacing w:after="0"/>
              <w:rPr>
                <w:rFonts w:ascii="Arial" w:hAnsi="Arial" w:cs="Arial"/>
                <w:iCs/>
                <w:sz w:val="18"/>
                <w:szCs w:val="18"/>
              </w:rPr>
            </w:pPr>
            <w:r>
              <w:rPr>
                <w:rFonts w:ascii="Arial" w:hAnsi="Arial" w:cs="Arial"/>
                <w:iCs/>
                <w:sz w:val="18"/>
                <w:szCs w:val="18"/>
              </w:rPr>
              <w:t>CT3</w:t>
            </w:r>
          </w:p>
        </w:tc>
      </w:tr>
    </w:tbl>
    <w:p/>
    <w:p>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pPr>
        <w:pStyle w:val="Heading2"/>
        <w:spacing w:before="0"/>
      </w:pPr>
      <w:r>
        <w:t>6</w:t>
      </w:r>
      <w:r>
        <w:tab/>
        <w:t>Work item Rapporteur(s)</w:t>
      </w:r>
    </w:p>
    <w:p>
      <w:r>
        <w:t>Narendranath Durga Tangudu (n.tangudu@samsung.com)</w:t>
      </w:r>
    </w:p>
    <w:p>
      <w:pPr>
        <w:pStyle w:val="Heading2"/>
        <w:spacing w:before="0"/>
      </w:pPr>
      <w:r>
        <w:lastRenderedPageBreak/>
        <w:t>7</w:t>
      </w:r>
      <w:r>
        <w:tab/>
        <w:t>Work item leadership</w:t>
      </w:r>
    </w:p>
    <w:p>
      <w:pPr>
        <w:spacing w:after="0"/>
      </w:pPr>
      <w:r>
        <w:t>CT3</w:t>
      </w:r>
    </w:p>
    <w:p>
      <w:pPr>
        <w:spacing w:after="0"/>
        <w:ind w:left="1134" w:right="-96"/>
      </w:pPr>
    </w:p>
    <w:p>
      <w:pPr>
        <w:pStyle w:val="Heading2"/>
        <w:spacing w:before="0"/>
      </w:pPr>
      <w:r>
        <w:t>8</w:t>
      </w:r>
      <w:r>
        <w:tab/>
        <w:t>Aspects that involve other WGs</w:t>
      </w:r>
    </w:p>
    <w:p>
      <w:r>
        <w:t>The parent feature has linkage to ongoing studies in SA3 and SA5. When normative work progress for these studies, this WID must be evaluated for possible aspects.</w:t>
      </w:r>
    </w:p>
    <w:p>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r>
              <w:t>Samsung</w:t>
            </w:r>
          </w:p>
        </w:tc>
      </w:tr>
      <w:tr>
        <w:trPr>
          <w:jc w:val="center"/>
        </w:trPr>
        <w:tc>
          <w:tcPr>
            <w:tcW w:w="0" w:type="auto"/>
            <w:shd w:val="clear" w:color="auto" w:fill="auto"/>
          </w:tcPr>
          <w:p>
            <w:pPr>
              <w:pStyle w:val="TAL"/>
            </w:pPr>
            <w:r>
              <w:t>AT&amp;T</w:t>
            </w:r>
          </w:p>
        </w:tc>
      </w:tr>
      <w:tr>
        <w:trPr>
          <w:jc w:val="center"/>
        </w:trPr>
        <w:tc>
          <w:tcPr>
            <w:tcW w:w="0" w:type="auto"/>
            <w:shd w:val="clear" w:color="auto" w:fill="auto"/>
          </w:tcPr>
          <w:p>
            <w:pPr>
              <w:pStyle w:val="TAL"/>
            </w:pPr>
            <w:r>
              <w:t>Airbus</w:t>
            </w:r>
          </w:p>
        </w:tc>
      </w:tr>
      <w:tr>
        <w:trPr>
          <w:jc w:val="center"/>
        </w:trPr>
        <w:tc>
          <w:tcPr>
            <w:tcW w:w="0" w:type="auto"/>
            <w:shd w:val="clear" w:color="auto" w:fill="auto"/>
          </w:tcPr>
          <w:p>
            <w:pPr>
              <w:pStyle w:val="TAL"/>
            </w:pPr>
            <w:r>
              <w:t>Alibaba</w:t>
            </w:r>
          </w:p>
        </w:tc>
      </w:tr>
      <w:tr>
        <w:trPr>
          <w:jc w:val="center"/>
        </w:trPr>
        <w:tc>
          <w:tcPr>
            <w:tcW w:w="0" w:type="auto"/>
            <w:shd w:val="clear" w:color="auto" w:fill="auto"/>
          </w:tcPr>
          <w:p>
            <w:pPr>
              <w:pStyle w:val="TAL"/>
            </w:pPr>
            <w:r>
              <w:t>Convida Wireless</w:t>
            </w:r>
          </w:p>
        </w:tc>
      </w:tr>
      <w:tr>
        <w:trPr>
          <w:jc w:val="center"/>
        </w:trPr>
        <w:tc>
          <w:tcPr>
            <w:tcW w:w="0" w:type="auto"/>
            <w:shd w:val="clear" w:color="auto" w:fill="auto"/>
          </w:tcPr>
          <w:p>
            <w:pPr>
              <w:pStyle w:val="TAL"/>
            </w:pPr>
            <w:r>
              <w:t>Intel</w:t>
            </w:r>
          </w:p>
        </w:tc>
      </w:tr>
      <w:tr>
        <w:trPr>
          <w:jc w:val="center"/>
        </w:trPr>
        <w:tc>
          <w:tcPr>
            <w:tcW w:w="0" w:type="auto"/>
            <w:shd w:val="clear" w:color="auto" w:fill="auto"/>
          </w:tcPr>
          <w:p>
            <w:pPr>
              <w:pStyle w:val="TAL"/>
            </w:pPr>
            <w:r>
              <w:t xml:space="preserve">InterDigital </w:t>
            </w:r>
          </w:p>
        </w:tc>
      </w:tr>
      <w:tr>
        <w:trPr>
          <w:jc w:val="center"/>
        </w:trPr>
        <w:tc>
          <w:tcPr>
            <w:tcW w:w="0" w:type="auto"/>
            <w:shd w:val="clear" w:color="auto" w:fill="auto"/>
          </w:tcPr>
          <w:p>
            <w:pPr>
              <w:pStyle w:val="TAL"/>
            </w:pPr>
            <w:r>
              <w:t>KDDI</w:t>
            </w:r>
          </w:p>
        </w:tc>
      </w:tr>
      <w:tr>
        <w:trPr>
          <w:jc w:val="center"/>
        </w:trPr>
        <w:tc>
          <w:tcPr>
            <w:tcW w:w="0" w:type="auto"/>
            <w:shd w:val="clear" w:color="auto" w:fill="auto"/>
          </w:tcPr>
          <w:p>
            <w:pPr>
              <w:pStyle w:val="TAL"/>
            </w:pPr>
            <w:r>
              <w:t>Lenovo</w:t>
            </w:r>
          </w:p>
        </w:tc>
      </w:tr>
      <w:tr>
        <w:trPr>
          <w:jc w:val="center"/>
        </w:trPr>
        <w:tc>
          <w:tcPr>
            <w:tcW w:w="0" w:type="auto"/>
            <w:shd w:val="clear" w:color="auto" w:fill="auto"/>
          </w:tcPr>
          <w:p>
            <w:pPr>
              <w:pStyle w:val="TAL"/>
            </w:pPr>
            <w:r>
              <w:t>Matrixx</w:t>
            </w:r>
          </w:p>
        </w:tc>
      </w:tr>
      <w:tr>
        <w:trPr>
          <w:jc w:val="center"/>
        </w:trPr>
        <w:tc>
          <w:tcPr>
            <w:tcW w:w="0" w:type="auto"/>
            <w:shd w:val="clear" w:color="auto" w:fill="auto"/>
          </w:tcPr>
          <w:p>
            <w:pPr>
              <w:pStyle w:val="TAL"/>
            </w:pPr>
            <w:r>
              <w:t xml:space="preserve">Motorola Mobility </w:t>
            </w:r>
          </w:p>
        </w:tc>
      </w:tr>
      <w:tr>
        <w:trPr>
          <w:jc w:val="center"/>
        </w:trPr>
        <w:tc>
          <w:tcPr>
            <w:tcW w:w="0" w:type="auto"/>
            <w:shd w:val="clear" w:color="auto" w:fill="auto"/>
          </w:tcPr>
          <w:p>
            <w:pPr>
              <w:pStyle w:val="TAL"/>
            </w:pPr>
            <w:r>
              <w:t>Qualcomm Incorporated</w:t>
            </w:r>
          </w:p>
        </w:tc>
      </w:tr>
      <w:tr>
        <w:trPr>
          <w:jc w:val="center"/>
        </w:trPr>
        <w:tc>
          <w:tcPr>
            <w:tcW w:w="0" w:type="auto"/>
            <w:shd w:val="clear" w:color="auto" w:fill="auto"/>
          </w:tcPr>
          <w:p>
            <w:pPr>
              <w:pStyle w:val="TAL"/>
            </w:pPr>
            <w:r>
              <w:t>Softil</w:t>
            </w:r>
          </w:p>
        </w:tc>
      </w:tr>
      <w:tr>
        <w:trPr>
          <w:jc w:val="center"/>
        </w:trPr>
        <w:tc>
          <w:tcPr>
            <w:tcW w:w="0" w:type="auto"/>
            <w:shd w:val="clear" w:color="auto" w:fill="auto"/>
          </w:tcPr>
          <w:p>
            <w:pPr>
              <w:pStyle w:val="TAL"/>
            </w:pPr>
            <w:r>
              <w:t>Vodafone</w:t>
            </w:r>
          </w:p>
        </w:tc>
      </w:tr>
      <w:tr>
        <w:trPr>
          <w:jc w:val="center"/>
        </w:trPr>
        <w:tc>
          <w:tcPr>
            <w:tcW w:w="0" w:type="auto"/>
            <w:shd w:val="clear" w:color="auto" w:fill="auto"/>
          </w:tcPr>
          <w:p>
            <w:pPr>
              <w:pStyle w:val="TAL"/>
            </w:pPr>
            <w:r>
              <w:t>ZTE</w:t>
            </w:r>
          </w:p>
        </w:tc>
      </w:tr>
      <w:tr>
        <w:trPr>
          <w:jc w:val="center"/>
        </w:trPr>
        <w:tc>
          <w:tcPr>
            <w:tcW w:w="0" w:type="auto"/>
            <w:shd w:val="clear" w:color="auto" w:fill="auto"/>
          </w:tcPr>
          <w:p>
            <w:pPr>
              <w:pStyle w:val="TAL"/>
            </w:pPr>
            <w:r>
              <w:t>Kontron Transportation France</w:t>
            </w:r>
          </w:p>
        </w:tc>
      </w:tr>
      <w:tr>
        <w:trPr>
          <w:jc w:val="center"/>
        </w:trPr>
        <w:tc>
          <w:tcPr>
            <w:tcW w:w="0" w:type="auto"/>
            <w:shd w:val="clear" w:color="auto" w:fill="auto"/>
          </w:tcPr>
          <w:p>
            <w:pPr>
              <w:pStyle w:val="TAL"/>
            </w:pPr>
            <w:r>
              <w:t>ASUSTek</w:t>
            </w:r>
          </w:p>
        </w:tc>
      </w:tr>
      <w:tr>
        <w:trPr>
          <w:jc w:val="center"/>
        </w:trPr>
        <w:tc>
          <w:tcPr>
            <w:tcW w:w="0" w:type="auto"/>
            <w:shd w:val="clear" w:color="auto" w:fill="auto"/>
          </w:tcPr>
          <w:p>
            <w:pPr>
              <w:pStyle w:val="TAL"/>
            </w:pPr>
            <w:r>
              <w:t>China Telecom</w:t>
            </w:r>
          </w:p>
        </w:tc>
      </w:tr>
      <w:tr>
        <w:trPr>
          <w:jc w:val="center"/>
        </w:trPr>
        <w:tc>
          <w:tcPr>
            <w:tcW w:w="0" w:type="auto"/>
            <w:shd w:val="clear" w:color="auto" w:fill="auto"/>
          </w:tcPr>
          <w:p>
            <w:pPr>
              <w:pStyle w:val="TAL"/>
            </w:pPr>
            <w:r>
              <w:t>SK Telecom</w:t>
            </w:r>
          </w:p>
        </w:tc>
      </w:tr>
      <w:tr>
        <w:trPr>
          <w:jc w:val="center"/>
        </w:trPr>
        <w:tc>
          <w:tcPr>
            <w:tcW w:w="0" w:type="auto"/>
            <w:shd w:val="clear" w:color="auto" w:fill="auto"/>
          </w:tcPr>
          <w:p>
            <w:pPr>
              <w:pStyle w:val="TAL"/>
            </w:pPr>
            <w:r>
              <w:t>LG Electronics</w:t>
            </w:r>
          </w:p>
        </w:tc>
      </w:tr>
      <w:tr>
        <w:trPr>
          <w:jc w:val="center"/>
        </w:trPr>
        <w:tc>
          <w:tcPr>
            <w:tcW w:w="0" w:type="auto"/>
            <w:shd w:val="clear" w:color="auto" w:fill="auto"/>
          </w:tcPr>
          <w:p>
            <w:pPr>
              <w:pStyle w:val="TAL"/>
            </w:pPr>
            <w:r>
              <w:t>MediaTek Inc.</w:t>
            </w:r>
          </w:p>
        </w:tc>
      </w:tr>
      <w:tr>
        <w:trPr>
          <w:jc w:val="center"/>
        </w:trPr>
        <w:tc>
          <w:tcPr>
            <w:tcW w:w="0" w:type="auto"/>
            <w:shd w:val="clear" w:color="auto" w:fill="auto"/>
          </w:tcPr>
          <w:p>
            <w:pPr>
              <w:pStyle w:val="TAL"/>
            </w:pPr>
            <w:r>
              <w:t>CATT</w:t>
            </w:r>
          </w:p>
        </w:tc>
      </w:tr>
      <w:tr>
        <w:trPr>
          <w:jc w:val="center"/>
        </w:trPr>
        <w:tc>
          <w:tcPr>
            <w:tcW w:w="0" w:type="auto"/>
            <w:shd w:val="clear" w:color="auto" w:fill="auto"/>
          </w:tcPr>
          <w:p>
            <w:pPr>
              <w:pStyle w:val="TAL"/>
            </w:pPr>
            <w:r>
              <w:t>Apple</w:t>
            </w:r>
          </w:p>
        </w:tc>
      </w:tr>
      <w:tr>
        <w:trPr>
          <w:jc w:val="center"/>
        </w:trPr>
        <w:tc>
          <w:tcPr>
            <w:tcW w:w="0" w:type="auto"/>
            <w:shd w:val="clear" w:color="auto" w:fill="auto"/>
          </w:tcPr>
          <w:p>
            <w:pPr>
              <w:pStyle w:val="TAL"/>
            </w:pPr>
            <w:r>
              <w:t>China Mobile</w:t>
            </w:r>
          </w:p>
        </w:tc>
      </w:tr>
      <w:tr>
        <w:trPr>
          <w:jc w:val="center"/>
        </w:trPr>
        <w:tc>
          <w:tcPr>
            <w:tcW w:w="0" w:type="auto"/>
            <w:shd w:val="clear" w:color="auto" w:fill="auto"/>
          </w:tcPr>
          <w:p>
            <w:pPr>
              <w:pStyle w:val="TAL"/>
            </w:pPr>
            <w:r>
              <w:t>ENENSYS</w:t>
            </w:r>
          </w:p>
        </w:tc>
      </w:tr>
      <w:tr>
        <w:trPr>
          <w:jc w:val="center"/>
        </w:trPr>
        <w:tc>
          <w:tcPr>
            <w:tcW w:w="0" w:type="auto"/>
            <w:shd w:val="clear" w:color="auto" w:fill="auto"/>
          </w:tcPr>
          <w:p>
            <w:pPr>
              <w:pStyle w:val="TAL"/>
            </w:pPr>
            <w:r>
              <w:t>Deutsche Telekom</w:t>
            </w:r>
          </w:p>
        </w:tc>
      </w:tr>
      <w:tr>
        <w:trPr>
          <w:jc w:val="center"/>
        </w:trPr>
        <w:tc>
          <w:tcPr>
            <w:tcW w:w="0" w:type="auto"/>
            <w:shd w:val="clear" w:color="auto" w:fill="auto"/>
          </w:tcPr>
          <w:p>
            <w:pPr>
              <w:pStyle w:val="TAL"/>
            </w:pPr>
            <w:r>
              <w:t>Charter Communications</w:t>
            </w:r>
          </w:p>
        </w:tc>
      </w:tr>
      <w:tr>
        <w:trPr>
          <w:jc w:val="center"/>
        </w:trPr>
        <w:tc>
          <w:tcPr>
            <w:tcW w:w="0" w:type="auto"/>
            <w:shd w:val="clear" w:color="auto" w:fill="auto"/>
          </w:tcPr>
          <w:p>
            <w:pPr>
              <w:pStyle w:val="TAL"/>
            </w:pPr>
            <w:r>
              <w:t>Verizon</w:t>
            </w:r>
          </w:p>
        </w:tc>
      </w:tr>
      <w:tr>
        <w:trPr>
          <w:jc w:val="center"/>
        </w:trPr>
        <w:tc>
          <w:tcPr>
            <w:tcW w:w="0" w:type="auto"/>
            <w:shd w:val="clear" w:color="auto" w:fill="auto"/>
          </w:tcPr>
          <w:p>
            <w:pPr>
              <w:pStyle w:val="TAL"/>
            </w:pPr>
            <w:r>
              <w:t>Ericsson</w:t>
            </w:r>
          </w:p>
        </w:tc>
      </w:tr>
      <w:tr>
        <w:trPr>
          <w:jc w:val="center"/>
        </w:trPr>
        <w:tc>
          <w:tcPr>
            <w:tcW w:w="0" w:type="auto"/>
            <w:shd w:val="clear" w:color="auto" w:fill="auto"/>
          </w:tcPr>
          <w:p>
            <w:pPr>
              <w:pStyle w:val="TAL"/>
            </w:pPr>
            <w:r>
              <w:t>Huawei</w:t>
            </w: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508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4825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4916358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58EDF3-EF93-4E57-98DC-0ADFF90E4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C3-204283</cp:lastModifiedBy>
  <cp:revision>30</cp:revision>
  <cp:lastPrinted>2000-02-29T10:31:00Z</cp:lastPrinted>
  <dcterms:created xsi:type="dcterms:W3CDTF">2020-11-13T06:22:00Z</dcterms:created>
  <dcterms:modified xsi:type="dcterms:W3CDTF">2020-11-27T12:45:00Z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NSCPROP_SA">
    <vt:lpwstr>C:\Users\nishant.gup\AppData\Local\Microsoft\Windows\INetCache\Content.Outlook\R787BPAJ\DRAFT_WIDC1_125-e_EDGEAPP_WID_Impacts on CT WGs_rev1 - Naren.docx</vt:lpwstr>
  </property>
</Properties>
</file>