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B77A3C">
        <w:rPr>
          <w:b/>
          <w:noProof/>
          <w:sz w:val="24"/>
        </w:rPr>
        <w:t>063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B77A3C" w:rsidRPr="00B77A3C">
        <w:rPr>
          <w:rFonts w:ascii="Arial" w:hAnsi="Arial" w:cs="Arial"/>
          <w:b/>
          <w:bCs/>
        </w:rPr>
        <w:t>eV2XARC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0"/>
        <w:gridCol w:w="724"/>
        <w:gridCol w:w="722"/>
        <w:gridCol w:w="723"/>
        <w:gridCol w:w="955"/>
        <w:gridCol w:w="474"/>
        <w:gridCol w:w="729"/>
        <w:gridCol w:w="750"/>
        <w:gridCol w:w="1043"/>
        <w:gridCol w:w="1114"/>
        <w:gridCol w:w="1160"/>
        <w:gridCol w:w="731"/>
      </w:tblGrid>
      <w:tr w:rsidR="00B77A3C" w:rsidRPr="00B77A3C" w:rsidTr="00B77A3C">
        <w:trPr>
          <w:trHeight w:val="45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77A3C" w:rsidRPr="00B77A3C" w:rsidTr="00B77A3C">
        <w:trPr>
          <w:trHeight w:val="112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capability and V2X PC5 capability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C1-195049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vivo, InterDigital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2, 3.1, 5.5.1.2.2, 5.5.1.3.2, 9.11.3.1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A3C" w:rsidRPr="00B77A3C" w:rsidTr="00B77A3C">
        <w:trPr>
          <w:trHeight w:val="9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USPS extension for V2X policy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C1-194848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InterDigital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D.3, D.6.2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A3C" w:rsidRPr="00B77A3C" w:rsidTr="00B77A3C">
        <w:trPr>
          <w:trHeight w:val="112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Specifying and adding reference for V2X Policy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C1-194846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Huawei, HiSilicon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A3C" w:rsidRPr="00B77A3C" w:rsidRDefault="00B77A3C" w:rsidP="00B77A3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A3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0F5" w:rsidRDefault="002600F5">
      <w:r>
        <w:separator/>
      </w:r>
    </w:p>
  </w:endnote>
  <w:endnote w:type="continuationSeparator" w:id="0">
    <w:p w:rsidR="002600F5" w:rsidRDefault="0026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0F5" w:rsidRDefault="002600F5">
      <w:r>
        <w:separator/>
      </w:r>
    </w:p>
  </w:footnote>
  <w:footnote w:type="continuationSeparator" w:id="0">
    <w:p w:rsidR="002600F5" w:rsidRDefault="00260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00F5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7A3C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0B687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2019-09-05T14:16:00Z</dcterms:modified>
</cp:coreProperties>
</file>