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 attribute name.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Qualcomm Incorporated,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5MBS_Ph2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4.4.29.3.2, 4.4.29.4.3, 5.20.5.1, 5.20.5.2.6, 5.20.5.2.8, 5.20.6, 5.27.2.1, 5.27.6, 5.29.1, 5.29.2.2.3.1, 5.29.2.2.3.2, 5.29.2.2.3.3, 5.29.4.1, 5.29.4.2.1, 5.29.4.2.3, 5.29.5.1, 5.29.5.2.3, 5.29.5.2.5, 5.29.7.3, A.18,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RedCap UEs indication in the MBS Session.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Qualcomm Incorporated,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6.2.6.1, 6.2.6.2.3,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26.502 CR 0029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5MBS_Ph2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6.2.6.1, 6.2.6.2.3, 6.2.8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