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666B1" w14:textId="77777777" w:rsidR="004E535C" w:rsidRPr="00917427" w:rsidRDefault="00620F74" w:rsidP="004E535C">
      <w:pPr>
        <w:tabs>
          <w:tab w:val="left" w:pos="13041"/>
        </w:tabs>
        <w:rPr>
          <w:rFonts w:ascii="Arial" w:hAnsi="Arial"/>
          <w:b/>
          <w:i/>
          <w:noProof/>
          <w:sz w:val="24"/>
        </w:rPr>
      </w:pPr>
      <w:r>
        <w:rPr>
          <w:rFonts w:ascii="Arial" w:hAnsi="Arial"/>
          <w:b/>
        </w:rPr>
        <w:t>3GPP TSG CT Meeting #104</w:t>
        <w:tab/>
        <w:t>CP-241092</w:t>
      </w:r>
    </w:p>
    <w:p w14:paraId="5DDE5437" w14:textId="77777777" w:rsidR="004E535C" w:rsidRPr="00784730" w:rsidRDefault="00784730" w:rsidP="004E535C">
      <w:pPr>
        <w:tabs>
          <w:tab w:val="left" w:pos="7371"/>
        </w:tabs>
        <w:rPr>
          <w:b/>
          <w:noProof/>
          <w:sz w:val="24"/>
        </w:rPr>
      </w:pPr>
      <w:r>
        <w:rPr>
          <w:rFonts w:ascii="Arial" w:hAnsi="Arial"/>
          <w:b/>
        </w:rPr>
        <w:t>Shanghai, CN, 17 - 18 June, 2024</w:t>
      </w:r>
    </w:p>
    <w:p w14:paraId="3551A500" w14:textId="77777777" w:rsidR="004E535C" w:rsidRPr="00050554" w:rsidRDefault="004E535C" w:rsidP="004E535C">
      <w:pPr>
        <w:rPr>
          <w:rFonts w:ascii="Arial" w:hAnsi="Arial" w:cs="Arial"/>
          <w:b/>
          <w:bCs/>
          <w:lang w:val="en-US"/>
        </w:rPr>
      </w:pPr>
    </w:p>
    <w:p w14:paraId="1833B915" w14:textId="77777777" w:rsidR="004E535C" w:rsidRDefault="004E535C" w:rsidP="004E535C">
      <w:pPr>
        <w:spacing w:after="120"/>
        <w:ind w:left="1985" w:hanging="1985"/>
        <w:rPr>
          <w:rFonts w:ascii="Arial" w:hAnsi="Arial" w:cs="Arial"/>
          <w:b/>
          <w:bCs/>
        </w:rPr>
      </w:pPr>
      <w:r>
        <w:rPr>
          <w:rFonts w:ascii="Arial" w:hAnsi="Arial" w:cs="Arial"/>
          <w:b/>
          <w:bCs/>
        </w:rPr>
        <w:t>Source:</w:t>
      </w:r>
      <w:r>
        <w:rPr>
          <w:rFonts w:ascii="Arial" w:hAnsi="Arial" w:cs="Arial"/>
          <w:b/>
          <w:bCs/>
        </w:rPr>
        <w:tab/>
      </w:r>
      <w:r w:rsidR="00EF27D5">
        <w:rPr>
          <w:rFonts w:ascii="Arial" w:hAnsi="Arial" w:cs="Arial"/>
          <w:b/>
          <w:bCs/>
        </w:rPr>
        <w:fldChar w:fldCharType="begin"/>
      </w:r>
      <w:r w:rsidR="00EF27D5">
        <w:rPr>
          <w:rFonts w:ascii="Arial" w:hAnsi="Arial" w:cs="Arial"/>
          <w:b/>
          <w:bCs/>
        </w:rPr>
        <w:instrText xml:space="preserve"> DOCPROPERTY  Source  \* MERGEFORMAT </w:instrText>
      </w:r>
      <w:r w:rsidR="00EF27D5">
        <w:rPr>
          <w:rFonts w:ascii="Arial" w:hAnsi="Arial" w:cs="Arial"/>
          <w:b/>
          <w:bCs/>
        </w:rPr>
        <w:fldChar w:fldCharType="separate"/>
      </w:r>
      <w:r w:rsidR="00EF27D5">
        <w:rPr>
          <w:rFonts w:ascii="Arial" w:hAnsi="Arial" w:cs="Arial"/>
          <w:b/>
          <w:bCs/>
        </w:rPr>
        <w:t>CT3</w:t>
      </w:r>
      <w:r w:rsidR="00EF27D5">
        <w:rPr>
          <w:rFonts w:ascii="Arial" w:hAnsi="Arial" w:cs="Arial"/>
          <w:b/>
          <w:bCs/>
        </w:rPr>
        <w:fldChar w:fldCharType="end"/>
      </w:r>
    </w:p>
    <w:p w14:paraId="13502A6E" w14:textId="77777777" w:rsidR="004E535C" w:rsidRPr="00E145B1" w:rsidRDefault="004E535C" w:rsidP="004E535C">
      <w:pPr>
        <w:spacing w:after="120"/>
        <w:ind w:left="1985" w:hanging="1985"/>
        <w:rPr>
          <w:rFonts w:ascii="Arial" w:hAnsi="Arial" w:cs="Arial"/>
          <w:b/>
          <w:bCs/>
          <w:lang w:val="en-US"/>
        </w:rPr>
      </w:pPr>
      <w:r>
        <w:rPr>
          <w:rFonts w:ascii="Arial" w:hAnsi="Arial"/>
          <w:b/>
        </w:rPr>
        <w:t>Title:</w:t>
        <w:tab/>
        <w:t>CR Pack on AIMLsys - Pack 2/2</w:t>
      </w:r>
    </w:p>
    <w:p w14:paraId="05788299" w14:textId="77777777" w:rsidR="004E535C" w:rsidRDefault="004E535C" w:rsidP="004E535C">
      <w:pPr>
        <w:spacing w:after="120"/>
        <w:ind w:left="1985" w:hanging="1985"/>
        <w:rPr>
          <w:rFonts w:ascii="Arial" w:hAnsi="Arial" w:cs="Arial"/>
          <w:b/>
          <w:bCs/>
        </w:rPr>
      </w:pPr>
      <w:r>
        <w:rPr>
          <w:rFonts w:ascii="Arial" w:hAnsi="Arial"/>
          <w:b/>
        </w:rPr>
        <w:t>Agenda item:</w:t>
        <w:tab/>
        <w:t>18.51</w:t>
      </w:r>
    </w:p>
    <w:p w14:paraId="7B36E9BE" w14:textId="77777777" w:rsidR="004E535C" w:rsidRDefault="004E535C" w:rsidP="004E535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20F74">
        <w:rPr>
          <w:rFonts w:ascii="Arial" w:hAnsi="Arial" w:cs="Arial"/>
          <w:b/>
          <w:bCs/>
        </w:rPr>
        <w:t>APPROVAL</w:t>
      </w:r>
    </w:p>
    <w:p w14:paraId="04B206C7" w14:textId="77777777" w:rsidR="004E535C" w:rsidRDefault="004E535C" w:rsidP="004E535C">
      <w:pPr>
        <w:pBdr>
          <w:bottom w:val="single" w:sz="4" w:space="1" w:color="auto"/>
        </w:pBdr>
        <w:rPr>
          <w:rFonts w:ascii="Arial" w:hAnsi="Arial" w:cs="Arial"/>
          <w:b/>
          <w:bCs/>
        </w:rPr>
      </w:pPr>
    </w:p>
    <w:p w14:paraId="3CBAB15F" w14:textId="77777777" w:rsidR="004E535C" w:rsidRPr="004E535C" w:rsidRDefault="004E535C">
      <w:pPr>
        <w:rPr>
          <w:rFonts w:ascii="Arial" w:hAnsi="Arial" w:cs="Arial"/>
        </w:rPr>
      </w:pPr>
      <w:r>
        <w:rPr>
          <w:rFonts w:ascii="Arial" w:hAnsi="Arial"/>
        </w:rPr>
        <w:t>These CRs were agreed by CT3 and are forwarded to TSG-CT#104 for approval:</w:t>
      </w:r>
    </w:p>
    <w:tbl>
      <w:tblPr>
        <w:tblStyle w:val="CRPack"/>
        <w:tblW w:type="auto" w:w="0"/>
        <w:tblLook w:firstColumn="1" w:firstRow="1" w:lastColumn="0" w:lastRow="0" w:noHBand="0" w:noVBand="1" w:val="04A0"/>
      </w:tblPr>
      <w:tblGrid>
        <w:gridCol w:w="1121"/>
        <w:gridCol w:w="1121"/>
        <w:gridCol w:w="1121"/>
        <w:gridCol w:w="1121"/>
        <w:gridCol w:w="1121"/>
        <w:gridCol w:w="1121"/>
        <w:gridCol w:w="1121"/>
        <w:gridCol w:w="1121"/>
        <w:gridCol w:w="1121"/>
        <w:gridCol w:w="1121"/>
        <w:gridCol w:w="1121"/>
        <w:gridCol w:w="1121"/>
        <w:gridCol w:w="1121"/>
      </w:tblGrid>
      <w:tr>
        <w:tc>
          <w:tcPr>
            <w:tcW w:type="dxa" w:w="879"/>
          </w:tcPr>
          <w:p>
            <w:pPr>
              <w:jc w:val="center"/>
            </w:pPr>
            <w:r>
              <w:rPr>
                <w:rFonts w:ascii="Arial" w:hAnsi="Arial"/>
                <w:b/>
                <w:sz w:val="18"/>
              </w:rPr>
              <w:t>TS</w:t>
            </w:r>
          </w:p>
        </w:tc>
        <w:tc>
          <w:tcPr>
            <w:tcW w:type="dxa" w:w="637"/>
          </w:tcPr>
          <w:p>
            <w:pPr>
              <w:jc w:val="center"/>
            </w:pPr>
            <w:r>
              <w:rPr>
                <w:rFonts w:ascii="Arial" w:hAnsi="Arial"/>
                <w:b/>
                <w:sz w:val="18"/>
              </w:rPr>
              <w:t>CR</w:t>
            </w:r>
          </w:p>
        </w:tc>
        <w:tc>
          <w:tcPr>
            <w:tcW w:type="dxa" w:w="517"/>
          </w:tcPr>
          <w:p>
            <w:pPr>
              <w:jc w:val="center"/>
            </w:pPr>
            <w:r>
              <w:rPr>
                <w:rFonts w:ascii="Arial" w:hAnsi="Arial"/>
                <w:b/>
                <w:sz w:val="18"/>
              </w:rPr>
              <w:t>Rev</w:t>
            </w:r>
          </w:p>
        </w:tc>
        <w:tc>
          <w:tcPr>
            <w:tcW w:type="dxa" w:w="637"/>
          </w:tcPr>
          <w:p>
            <w:pPr>
              <w:jc w:val="center"/>
            </w:pPr>
            <w:r>
              <w:rPr>
                <w:rFonts w:ascii="Arial" w:hAnsi="Arial"/>
                <w:b/>
                <w:sz w:val="18"/>
              </w:rPr>
              <w:t>Rel</w:t>
            </w:r>
          </w:p>
        </w:tc>
        <w:tc>
          <w:tcPr>
            <w:tcW w:type="dxa" w:w="3045"/>
          </w:tcPr>
          <w:p>
            <w:pPr>
              <w:jc w:val="center"/>
            </w:pPr>
            <w:r>
              <w:rPr>
                <w:rFonts w:ascii="Arial" w:hAnsi="Arial"/>
                <w:b/>
                <w:sz w:val="18"/>
              </w:rPr>
              <w:t>Title</w:t>
            </w:r>
          </w:p>
        </w:tc>
        <w:tc>
          <w:tcPr>
            <w:tcW w:type="dxa" w:w="517"/>
          </w:tcPr>
          <w:p>
            <w:pPr>
              <w:jc w:val="center"/>
            </w:pPr>
            <w:r>
              <w:rPr>
                <w:rFonts w:ascii="Arial" w:hAnsi="Arial"/>
                <w:b/>
                <w:sz w:val="18"/>
              </w:rPr>
              <w:t>Cat</w:t>
            </w:r>
          </w:p>
        </w:tc>
        <w:tc>
          <w:tcPr>
            <w:tcW w:type="dxa" w:w="637"/>
          </w:tcPr>
          <w:p>
            <w:pPr>
              <w:jc w:val="center"/>
            </w:pPr>
            <w:r>
              <w:rPr>
                <w:rFonts w:ascii="Arial" w:hAnsi="Arial"/>
                <w:b/>
                <w:sz w:val="18"/>
              </w:rPr>
              <w:t>Vsn</w:t>
            </w:r>
          </w:p>
        </w:tc>
        <w:tc>
          <w:tcPr>
            <w:tcW w:type="dxa" w:w="758"/>
          </w:tcPr>
          <w:p>
            <w:pPr>
              <w:jc w:val="center"/>
            </w:pPr>
            <w:r>
              <w:rPr>
                <w:rFonts w:ascii="Arial" w:hAnsi="Arial"/>
                <w:b/>
                <w:sz w:val="18"/>
              </w:rPr>
              <w:t>Mtg</w:t>
            </w:r>
          </w:p>
        </w:tc>
        <w:tc>
          <w:tcPr>
            <w:tcW w:type="dxa" w:w="1119"/>
          </w:tcPr>
          <w:p>
            <w:pPr>
              <w:jc w:val="center"/>
            </w:pPr>
            <w:r>
              <w:rPr>
                <w:rFonts w:ascii="Arial" w:hAnsi="Arial"/>
                <w:b/>
                <w:sz w:val="18"/>
              </w:rPr>
              <w:t>TD#</w:t>
            </w:r>
          </w:p>
        </w:tc>
        <w:tc>
          <w:tcPr>
            <w:tcW w:type="dxa" w:w="1597"/>
          </w:tcPr>
          <w:p>
            <w:pPr>
              <w:jc w:val="center"/>
            </w:pPr>
            <w:r>
              <w:rPr>
                <w:rFonts w:ascii="Arial" w:hAnsi="Arial"/>
                <w:b/>
                <w:sz w:val="18"/>
              </w:rPr>
              <w:t>Source to WG</w:t>
            </w:r>
          </w:p>
        </w:tc>
        <w:tc>
          <w:tcPr>
            <w:tcW w:type="dxa" w:w="1122"/>
          </w:tcPr>
          <w:p>
            <w:pPr>
              <w:jc w:val="center"/>
            </w:pPr>
            <w:r>
              <w:rPr>
                <w:rFonts w:ascii="Arial" w:hAnsi="Arial"/>
                <w:b/>
                <w:sz w:val="18"/>
              </w:rPr>
              <w:t>Work Item</w:t>
            </w:r>
          </w:p>
        </w:tc>
        <w:tc>
          <w:tcPr>
            <w:tcW w:type="dxa" w:w="2323"/>
          </w:tcPr>
          <w:p>
            <w:pPr>
              <w:jc w:val="center"/>
            </w:pPr>
            <w:r>
              <w:rPr>
                <w:rFonts w:ascii="Arial" w:hAnsi="Arial"/>
                <w:b/>
                <w:sz w:val="18"/>
              </w:rPr>
              <w:t>Clauses affected</w:t>
            </w:r>
          </w:p>
        </w:tc>
        <w:tc>
          <w:tcPr>
            <w:tcW w:type="dxa" w:w="998"/>
          </w:tcPr>
          <w:p>
            <w:pPr>
              <w:jc w:val="center"/>
            </w:pPr>
            <w:r>
              <w:rPr>
                <w:rFonts w:ascii="Arial" w:hAnsi="Arial"/>
                <w:b/>
                <w:sz w:val="18"/>
              </w:rPr>
              <w:t>Other Aff Specs</w:t>
            </w:r>
          </w:p>
        </w:tc>
      </w:tr>
      <w:tr>
        <w:tc>
          <w:tcPr>
            <w:tcW w:type="dxa" w:w="1121"/>
          </w:tcPr>
          <w:p>
            <w:r>
              <w:rPr>
                <w:rFonts w:ascii="Arial" w:hAnsi="Arial"/>
                <w:sz w:val="16"/>
              </w:rPr>
              <w:t>29.122</w:t>
            </w:r>
          </w:p>
        </w:tc>
        <w:tc>
          <w:tcPr>
            <w:tcW w:type="dxa" w:w="1121"/>
          </w:tcPr>
          <w:p>
            <w:r>
              <w:rPr>
                <w:rFonts w:ascii="Arial" w:hAnsi="Arial"/>
                <w:sz w:val="16"/>
              </w:rPr>
              <w:t>0844</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Missing applicable feature ListUE_5G for QoS monitoring</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C3-243577</w:t>
            </w:r>
          </w:p>
        </w:tc>
        <w:tc>
          <w:tcPr>
            <w:tcW w:type="dxa" w:w="1121"/>
          </w:tcPr>
          <w:p>
            <w:r>
              <w:rPr>
                <w:rFonts w:ascii="Arial" w:hAnsi="Arial"/>
                <w:sz w:val="16"/>
              </w:rPr>
              <w:t>ZTE, Nokia</w:t>
            </w:r>
          </w:p>
        </w:tc>
        <w:tc>
          <w:tcPr>
            <w:tcW w:type="dxa" w:w="1121"/>
          </w:tcPr>
          <w:p>
            <w:r>
              <w:rPr>
                <w:rFonts w:ascii="Arial" w:hAnsi="Arial"/>
                <w:sz w:val="16"/>
              </w:rPr>
              <w:t>AIMLsys</w:t>
            </w:r>
          </w:p>
        </w:tc>
        <w:tc>
          <w:tcPr>
            <w:tcW w:type="dxa" w:w="1121"/>
          </w:tcPr>
          <w:p>
            <w:r>
              <w:rPr>
                <w:rFonts w:ascii="Arial" w:hAnsi="Arial"/>
                <w:sz w:val="16"/>
              </w:rPr>
              <w:t>5.14.2.1.1, 5.14.2.1.2, 5.14.2.1.3, 5.14.2.2.3,</w:t>
            </w:r>
          </w:p>
        </w:tc>
        <w:tc>
          <w:tcPr>
            <w:tcW w:type="dxa" w:w="1121"/>
          </w:tcPr>
          <w:p>
            <w:r>
              <w:rPr>
                <w:rFonts w:ascii="Arial" w:hAnsi="Arial"/>
                <w:sz w:val="16"/>
              </w:rPr>
              <w:t xml:space="preserve">  </w:t>
            </w:r>
          </w:p>
        </w:tc>
      </w:tr>
      <w:tr>
        <w:tc>
          <w:tcPr>
            <w:tcW w:type="dxa" w:w="1121"/>
          </w:tcPr>
          <w:p>
            <w:r>
              <w:rPr>
                <w:rFonts w:ascii="Arial" w:hAnsi="Arial"/>
                <w:sz w:val="16"/>
              </w:rPr>
              <w:t>29.508</w:t>
            </w:r>
          </w:p>
        </w:tc>
        <w:tc>
          <w:tcPr>
            <w:tcW w:type="dxa" w:w="1121"/>
          </w:tcPr>
          <w:p>
            <w:r>
              <w:rPr>
                <w:rFonts w:ascii="Arial" w:hAnsi="Arial"/>
                <w:sz w:val="16"/>
              </w:rPr>
              <w:t>0276</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Unused feature removal</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C3-243480</w:t>
            </w:r>
          </w:p>
        </w:tc>
        <w:tc>
          <w:tcPr>
            <w:tcW w:type="dxa" w:w="1121"/>
          </w:tcPr>
          <w:p>
            <w:r>
              <w:rPr>
                <w:rFonts w:ascii="Arial" w:hAnsi="Arial"/>
                <w:sz w:val="16"/>
              </w:rPr>
              <w:t>Nokia, ZTE</w:t>
            </w:r>
          </w:p>
        </w:tc>
        <w:tc>
          <w:tcPr>
            <w:tcW w:type="dxa" w:w="1121"/>
          </w:tcPr>
          <w:p>
            <w:r>
              <w:rPr>
                <w:rFonts w:ascii="Arial" w:hAnsi="Arial"/>
                <w:sz w:val="16"/>
              </w:rPr>
              <w:t>AIMLSys</w:t>
            </w:r>
          </w:p>
        </w:tc>
        <w:tc>
          <w:tcPr>
            <w:tcW w:type="dxa" w:w="1121"/>
          </w:tcPr>
          <w:p>
            <w:r>
              <w:rPr>
                <w:rFonts w:ascii="Arial" w:hAnsi="Arial"/>
                <w:sz w:val="16"/>
              </w:rPr>
              <w:t>4.2.2.2, 5.6.2.5</w:t>
            </w:r>
          </w:p>
        </w:tc>
        <w:tc>
          <w:tcPr>
            <w:tcW w:type="dxa" w:w="1121"/>
          </w:tcPr>
          <w:p>
            <w:r>
              <w:rPr>
                <w:rFonts w:ascii="Arial" w:hAnsi="Arial"/>
                <w:sz w:val="16"/>
              </w:rPr>
              <w:t xml:space="preserve">  </w:t>
            </w:r>
          </w:p>
        </w:tc>
      </w:tr>
      <w:tr>
        <w:tc>
          <w:tcPr>
            <w:tcW w:type="dxa" w:w="1121"/>
          </w:tcPr>
          <w:p>
            <w:r>
              <w:rPr>
                <w:rFonts w:ascii="Arial" w:hAnsi="Arial"/>
                <w:sz w:val="16"/>
              </w:rPr>
              <w:t>29.519</w:t>
            </w:r>
          </w:p>
        </w:tc>
        <w:tc>
          <w:tcPr>
            <w:tcW w:type="dxa" w:w="1121"/>
          </w:tcPr>
          <w:p>
            <w:r>
              <w:rPr>
                <w:rFonts w:ascii="Arial" w:hAnsi="Arial"/>
                <w:sz w:val="16"/>
              </w:rPr>
              <w:t>0517</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Corrections related to mutual exclusivity in PdtqData</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C3-243481</w:t>
            </w:r>
          </w:p>
        </w:tc>
        <w:tc>
          <w:tcPr>
            <w:tcW w:type="dxa" w:w="1121"/>
          </w:tcPr>
          <w:p>
            <w:r>
              <w:rPr>
                <w:rFonts w:ascii="Arial" w:hAnsi="Arial"/>
                <w:sz w:val="16"/>
              </w:rPr>
              <w:t>Ericsson</w:t>
            </w:r>
          </w:p>
        </w:tc>
        <w:tc>
          <w:tcPr>
            <w:tcW w:type="dxa" w:w="1121"/>
          </w:tcPr>
          <w:p>
            <w:r>
              <w:rPr>
                <w:rFonts w:ascii="Arial" w:hAnsi="Arial"/>
                <w:sz w:val="16"/>
              </w:rPr>
              <w:t>AIMLSys</w:t>
            </w:r>
          </w:p>
        </w:tc>
        <w:tc>
          <w:tcPr>
            <w:tcW w:type="dxa" w:w="1121"/>
          </w:tcPr>
          <w:p>
            <w:r>
              <w:rPr>
                <w:rFonts w:ascii="Arial" w:hAnsi="Arial"/>
                <w:sz w:val="16"/>
              </w:rPr>
              <w:t>5.4.2.33; A.2.</w:t>
            </w:r>
          </w:p>
        </w:tc>
        <w:tc>
          <w:tcPr>
            <w:tcW w:type="dxa" w:w="1121"/>
          </w:tcPr>
          <w:p>
            <w:r>
              <w:rPr>
                <w:rFonts w:ascii="Arial" w:hAnsi="Arial"/>
                <w:sz w:val="16"/>
              </w:rPr>
              <w:t xml:space="preserve">  </w:t>
            </w:r>
          </w:p>
        </w:tc>
      </w:tr>
      <w:tr>
        <w:tc>
          <w:tcPr>
            <w:tcW w:type="dxa" w:w="1121"/>
          </w:tcPr>
          <w:p>
            <w:r>
              <w:rPr>
                <w:rFonts w:ascii="Arial" w:hAnsi="Arial"/>
                <w:sz w:val="16"/>
              </w:rPr>
              <w:t>29.520</w:t>
            </w:r>
          </w:p>
        </w:tc>
        <w:tc>
          <w:tcPr>
            <w:tcW w:type="dxa" w:w="1121"/>
          </w:tcPr>
          <w:p>
            <w:r>
              <w:rPr>
                <w:rFonts w:ascii="Arial" w:hAnsi="Arial"/>
                <w:sz w:val="16"/>
              </w:rPr>
              <w:t>0912</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Support of RAT type and access type in the E2E data volume transmission time analytics</w:t>
            </w:r>
          </w:p>
        </w:tc>
        <w:tc>
          <w:tcPr>
            <w:tcW w:type="dxa" w:w="1121"/>
          </w:tcPr>
          <w:p>
            <w:r>
              <w:rPr>
                <w:rFonts w:ascii="Arial" w:hAnsi="Arial"/>
                <w:sz w:val="16"/>
              </w:rPr>
              <w:t>B</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C3-243458</w:t>
            </w:r>
          </w:p>
        </w:tc>
        <w:tc>
          <w:tcPr>
            <w:tcW w:type="dxa" w:w="1121"/>
          </w:tcPr>
          <w:p>
            <w:r>
              <w:rPr>
                <w:rFonts w:ascii="Arial" w:hAnsi="Arial"/>
                <w:sz w:val="16"/>
              </w:rPr>
              <w:t>Huawei</w:t>
            </w:r>
          </w:p>
        </w:tc>
        <w:tc>
          <w:tcPr>
            <w:tcW w:type="dxa" w:w="1121"/>
          </w:tcPr>
          <w:p>
            <w:r>
              <w:rPr>
                <w:rFonts w:ascii="Arial" w:hAnsi="Arial"/>
                <w:sz w:val="16"/>
              </w:rPr>
              <w:t>AIMLsys</w:t>
            </w:r>
          </w:p>
        </w:tc>
        <w:tc>
          <w:tcPr>
            <w:tcW w:type="dxa" w:w="1121"/>
          </w:tcPr>
          <w:p>
            <w:r>
              <w:rPr>
                <w:rFonts w:ascii="Arial" w:hAnsi="Arial"/>
                <w:sz w:val="16"/>
              </w:rPr>
              <w:t>5.1.6.2.3, 5.1.6.2.82, 5.1.6.2.86, A.2</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1235</w:t>
            </w:r>
          </w:p>
        </w:tc>
        <w:tc>
          <w:tcPr>
            <w:tcW w:type="dxa" w:w="1121"/>
          </w:tcPr>
          <w:p>
            <w:r>
              <w:rPr>
                <w:rFonts w:ascii="Arial" w:hAnsi="Arial"/>
                <w:sz w:val="16"/>
              </w:rPr>
              <w:t>3</w:t>
            </w:r>
          </w:p>
        </w:tc>
        <w:tc>
          <w:tcPr>
            <w:tcW w:type="dxa" w:w="1121"/>
          </w:tcPr>
          <w:p>
            <w:r>
              <w:rPr>
                <w:rFonts w:ascii="Arial" w:hAnsi="Arial"/>
                <w:sz w:val="16"/>
              </w:rPr>
              <w:t>Rel-18</w:t>
            </w:r>
          </w:p>
        </w:tc>
        <w:tc>
          <w:tcPr>
            <w:tcW w:type="dxa" w:w="1121"/>
          </w:tcPr>
          <w:p>
            <w:r>
              <w:rPr>
                <w:rFonts w:ascii="Arial" w:hAnsi="Arial"/>
                <w:sz w:val="16"/>
              </w:rPr>
              <w:t>Support of data rate monitoring for the list of UEs</w:t>
            </w:r>
          </w:p>
        </w:tc>
        <w:tc>
          <w:tcPr>
            <w:tcW w:type="dxa" w:w="1121"/>
          </w:tcPr>
          <w:p>
            <w:r>
              <w:rPr>
                <w:rFonts w:ascii="Arial" w:hAnsi="Arial"/>
                <w:sz w:val="16"/>
              </w:rPr>
              <w:t>B</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C3-243578</w:t>
            </w:r>
          </w:p>
        </w:tc>
        <w:tc>
          <w:tcPr>
            <w:tcW w:type="dxa" w:w="1121"/>
          </w:tcPr>
          <w:p>
            <w:r>
              <w:rPr>
                <w:rFonts w:ascii="Arial" w:hAnsi="Arial"/>
                <w:sz w:val="16"/>
              </w:rPr>
              <w:t>Huawei, Qualcomm Incorporated, Nokia, Ericsson</w:t>
            </w:r>
          </w:p>
        </w:tc>
        <w:tc>
          <w:tcPr>
            <w:tcW w:type="dxa" w:w="1121"/>
          </w:tcPr>
          <w:p>
            <w:r>
              <w:rPr>
                <w:rFonts w:ascii="Arial" w:hAnsi="Arial"/>
                <w:sz w:val="16"/>
              </w:rPr>
              <w:t>AIMLsys</w:t>
            </w:r>
          </w:p>
        </w:tc>
        <w:tc>
          <w:tcPr>
            <w:tcW w:type="dxa" w:w="1121"/>
          </w:tcPr>
          <w:p>
            <w:r>
              <w:rPr>
                <w:rFonts w:ascii="Arial" w:hAnsi="Arial"/>
                <w:sz w:val="16"/>
              </w:rPr>
              <w:t>4.4.9.2</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1278</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Servers description update</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C3-243455</w:t>
            </w:r>
          </w:p>
        </w:tc>
        <w:tc>
          <w:tcPr>
            <w:tcW w:type="dxa" w:w="1121"/>
          </w:tcPr>
          <w:p>
            <w:r>
              <w:rPr>
                <w:rFonts w:ascii="Arial" w:hAnsi="Arial"/>
                <w:sz w:val="16"/>
              </w:rPr>
              <w:t>Nokia</w:t>
            </w:r>
          </w:p>
        </w:tc>
        <w:tc>
          <w:tcPr>
            <w:tcW w:type="dxa" w:w="1121"/>
          </w:tcPr>
          <w:p>
            <w:r>
              <w:rPr>
                <w:rFonts w:ascii="Arial" w:hAnsi="Arial"/>
                <w:sz w:val="16"/>
              </w:rPr>
              <w:t>AIMLsys</w:t>
            </w:r>
          </w:p>
        </w:tc>
        <w:tc>
          <w:tcPr>
            <w:tcW w:type="dxa" w:w="1121"/>
          </w:tcPr>
          <w:p>
            <w:r>
              <w:rPr>
                <w:rFonts w:ascii="Arial" w:hAnsi="Arial"/>
                <w:sz w:val="16"/>
              </w:rPr>
              <w:t>A.30</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1294</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Additional corrections and updates to the definition of the PdtqPolicyNegotiation API</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C3-243579</w:t>
            </w:r>
          </w:p>
        </w:tc>
        <w:tc>
          <w:tcPr>
            <w:tcW w:type="dxa" w:w="1121"/>
          </w:tcPr>
          <w:p>
            <w:r>
              <w:rPr>
                <w:rFonts w:ascii="Arial" w:hAnsi="Arial"/>
                <w:sz w:val="16"/>
              </w:rPr>
              <w:t>Huawei</w:t>
            </w:r>
          </w:p>
        </w:tc>
        <w:tc>
          <w:tcPr>
            <w:tcW w:type="dxa" w:w="1121"/>
          </w:tcPr>
          <w:p>
            <w:r>
              <w:rPr>
                <w:rFonts w:ascii="Arial" w:hAnsi="Arial"/>
                <w:sz w:val="16"/>
              </w:rPr>
              <w:t>AIMLsys</w:t>
            </w:r>
          </w:p>
        </w:tc>
        <w:tc>
          <w:tcPr>
            <w:tcW w:type="dxa" w:w="1121"/>
          </w:tcPr>
          <w:p>
            <w:r>
              <w:rPr>
                <w:rFonts w:ascii="Arial" w:hAnsi="Arial"/>
                <w:sz w:val="16"/>
              </w:rPr>
              <w:t>4.4.35, 5.31.1.1, 5.31.1.2, 5.31.1.2.1, 5.31.1.2.2, 5.31.1.2.3, 5.31.1.2.3.1, 5.31.1.2.3.2, 5.31.1.2.3.3, 5.31.1.2.4 (new clause), 5.31.1.3.1, 5.31.1.3.2, 5.31.1.3.3, 5.31.1.3.3.1, 5.31.1.3.3.2, 5.31.1.3.3.3, 5.31.1.3.3.4, 5.31.1.3.4 (new clause), 5.31.2.1, 5.31.2.2.1, 5.31.2.2.2, 5.31.2.2.3.1, 5.31.3.1, 5.31.3.2, 5.31.3.3.2, 5.31.3.3.3, 5.31.3.3.4, A.29</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1295</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Additional corrections and updates to the definition of the MemberUESelectionAssistance API</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C3-243456</w:t>
            </w:r>
          </w:p>
        </w:tc>
        <w:tc>
          <w:tcPr>
            <w:tcW w:type="dxa" w:w="1121"/>
          </w:tcPr>
          <w:p>
            <w:r>
              <w:rPr>
                <w:rFonts w:ascii="Arial" w:hAnsi="Arial"/>
                <w:sz w:val="16"/>
              </w:rPr>
              <w:t>Huawei, Nokia</w:t>
            </w:r>
          </w:p>
        </w:tc>
        <w:tc>
          <w:tcPr>
            <w:tcW w:type="dxa" w:w="1121"/>
          </w:tcPr>
          <w:p>
            <w:r>
              <w:rPr>
                <w:rFonts w:ascii="Arial" w:hAnsi="Arial"/>
                <w:sz w:val="16"/>
              </w:rPr>
              <w:t>AIMLsys</w:t>
            </w:r>
          </w:p>
        </w:tc>
        <w:tc>
          <w:tcPr>
            <w:tcW w:type="dxa" w:w="1121"/>
          </w:tcPr>
          <w:p>
            <w:r>
              <w:rPr>
                <w:rFonts w:ascii="Arial" w:hAnsi="Arial"/>
                <w:sz w:val="16"/>
              </w:rPr>
              <w:t>4.1, 4.4.36.2, 5.1, 5.32, 5.32.1, 5.32.2.1, 5.32.2.2.1, 5.32.2.2.2, 5.32.2.2.3, 5.32.2.2.3.1, 5.32.2.2.3.2, 5.32.2.2.4 (new clause), 5.32.2.3.1, 5.32.2.3.2, 5.32.2.3.3, 5.32.2.3.3.1, 5.32.2.3.3.2, 5.32.2.3.3.3, 5.32.2.3.3.4, 5.32.2.3.4 (new clause), 5.32.4.1, 5.32.4.2.1, 5.32.4.2.2, 5.32.4.2.3, 5.32.5.1, 5.32.5.2.2, 5.32.5.2.3, 5.32.5.2.4, 5.32.5.2.5, 5.32.5.2.6, 5.32.5.2.7, 5.32.5.2.8, 5.32.5.2.9, 5.32.5.2.10, 5.32.5.2.11, 5.32.5.2.12, 5.32.5.2.13, 5.32.5.2.14, 5.32.5.2.15, 5.32.5.3.3, 5.32.7.3, A.30</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1308</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Corrections on Member UE Selection Assistance API</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C3-243457</w:t>
            </w:r>
          </w:p>
        </w:tc>
        <w:tc>
          <w:tcPr>
            <w:tcW w:type="dxa" w:w="1121"/>
          </w:tcPr>
          <w:p>
            <w:r>
              <w:rPr>
                <w:rFonts w:ascii="Arial" w:hAnsi="Arial"/>
                <w:sz w:val="16"/>
              </w:rPr>
              <w:t>Huawei</w:t>
            </w:r>
          </w:p>
        </w:tc>
        <w:tc>
          <w:tcPr>
            <w:tcW w:type="dxa" w:w="1121"/>
          </w:tcPr>
          <w:p>
            <w:r>
              <w:rPr>
                <w:rFonts w:ascii="Arial" w:hAnsi="Arial"/>
                <w:sz w:val="16"/>
              </w:rPr>
              <w:t>AIMLsys</w:t>
            </w:r>
          </w:p>
        </w:tc>
        <w:tc>
          <w:tcPr>
            <w:tcW w:type="dxa" w:w="1121"/>
          </w:tcPr>
          <w:p>
            <w:r>
              <w:rPr>
                <w:rFonts w:ascii="Arial" w:hAnsi="Arial"/>
                <w:sz w:val="16"/>
              </w:rPr>
              <w:t>4.4.36.1, 4.4.36.2, 5.32.4.1, 5.32.4.2.1, 5.32.5.1, 5.32.5.2.15, A.30</w:t>
            </w:r>
          </w:p>
        </w:tc>
        <w:tc>
          <w:tcPr>
            <w:tcW w:type="dxa" w:w="1121"/>
          </w:tcPr>
          <w:p>
            <w:r>
              <w:rPr>
                <w:rFonts w:ascii="Arial" w:hAnsi="Arial"/>
                <w:sz w:val="16"/>
              </w:rPr>
              <w:t xml:space="preserve">  </w:t>
            </w:r>
          </w:p>
        </w:tc>
      </w:tr>
      <w:tr>
        <w:tc>
          <w:tcPr>
            <w:tcW w:type="dxa" w:w="1121"/>
          </w:tcPr>
          <w:p>
            <w:r>
              <w:rPr>
                <w:rFonts w:ascii="Arial" w:hAnsi="Arial"/>
                <w:sz w:val="16"/>
              </w:rPr>
              <w:t>29.543</w:t>
            </w:r>
          </w:p>
        </w:tc>
        <w:tc>
          <w:tcPr>
            <w:tcW w:type="dxa" w:w="1121"/>
          </w:tcPr>
          <w:p>
            <w:r>
              <w:rPr>
                <w:rFonts w:ascii="Arial" w:hAnsi="Arial"/>
                <w:sz w:val="16"/>
              </w:rPr>
              <w:t>0007</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Corrections on Npcf_PDTQPolicyControl API</w:t>
            </w:r>
          </w:p>
        </w:tc>
        <w:tc>
          <w:tcPr>
            <w:tcW w:type="dxa" w:w="1121"/>
          </w:tcPr>
          <w:p>
            <w:r>
              <w:rPr>
                <w:rFonts w:ascii="Arial" w:hAnsi="Arial"/>
                <w:sz w:val="16"/>
              </w:rPr>
              <w:t>F</w:t>
            </w:r>
          </w:p>
        </w:tc>
        <w:tc>
          <w:tcPr>
            <w:tcW w:type="dxa" w:w="1121"/>
          </w:tcPr>
          <w:p>
            <w:r>
              <w:rPr>
                <w:rFonts w:ascii="Arial" w:hAnsi="Arial"/>
                <w:sz w:val="16"/>
              </w:rPr>
              <w:t>18.0.0</w:t>
            </w:r>
          </w:p>
        </w:tc>
        <w:tc>
          <w:tcPr>
            <w:tcW w:type="dxa" w:w="1121"/>
          </w:tcPr>
          <w:p>
            <w:r>
              <w:rPr>
                <w:rFonts w:ascii="Arial" w:hAnsi="Arial"/>
                <w:sz w:val="16"/>
              </w:rPr>
              <w:t>CT3#135</w:t>
            </w:r>
          </w:p>
        </w:tc>
        <w:tc>
          <w:tcPr>
            <w:tcW w:type="dxa" w:w="1121"/>
          </w:tcPr>
          <w:p>
            <w:r>
              <w:rPr>
                <w:rFonts w:ascii="Arial" w:hAnsi="Arial"/>
                <w:sz w:val="16"/>
              </w:rPr>
              <w:t>C3-243580</w:t>
            </w:r>
          </w:p>
        </w:tc>
        <w:tc>
          <w:tcPr>
            <w:tcW w:type="dxa" w:w="1121"/>
          </w:tcPr>
          <w:p>
            <w:r>
              <w:rPr>
                <w:rFonts w:ascii="Arial" w:hAnsi="Arial"/>
                <w:sz w:val="16"/>
              </w:rPr>
              <w:t>Huawei</w:t>
            </w:r>
          </w:p>
        </w:tc>
        <w:tc>
          <w:tcPr>
            <w:tcW w:type="dxa" w:w="1121"/>
          </w:tcPr>
          <w:p>
            <w:r>
              <w:rPr>
                <w:rFonts w:ascii="Arial" w:hAnsi="Arial"/>
                <w:sz w:val="16"/>
              </w:rPr>
              <w:t>AIMLsys</w:t>
            </w:r>
          </w:p>
        </w:tc>
        <w:tc>
          <w:tcPr>
            <w:tcW w:type="dxa" w:w="1121"/>
          </w:tcPr>
          <w:p>
            <w:r>
              <w:rPr>
                <w:rFonts w:ascii="Arial" w:hAnsi="Arial"/>
                <w:sz w:val="16"/>
              </w:rPr>
              <w:t>6.1.6.1, 6.1.6.2.2, 6.1.6.3.2, A.2</w:t>
            </w:r>
          </w:p>
        </w:tc>
        <w:tc>
          <w:tcPr>
            <w:tcW w:type="dxa" w:w="1121"/>
          </w:tcPr>
          <w:p>
            <w:r>
              <w:rPr>
                <w:rFonts w:ascii="Arial" w:hAnsi="Arial"/>
                <w:sz w:val="16"/>
              </w:rPr>
              <w:t xml:space="preserve">  </w:t>
            </w:r>
          </w:p>
        </w:tc>
      </w:tr>
      <w:tr>
        <w:tc>
          <w:tcPr>
            <w:tcW w:type="dxa" w:w="1121"/>
          </w:tcPr>
          <w:p>
            <w:r>
              <w:rPr>
                <w:rFonts w:ascii="Arial" w:hAnsi="Arial"/>
                <w:sz w:val="16"/>
              </w:rPr>
              <w:t>29.552</w:t>
            </w:r>
          </w:p>
        </w:tc>
        <w:tc>
          <w:tcPr>
            <w:tcW w:type="dxa" w:w="1121"/>
          </w:tcPr>
          <w:p>
            <w:r>
              <w:rPr>
                <w:rFonts w:ascii="Arial" w:hAnsi="Arial"/>
                <w:sz w:val="16"/>
              </w:rPr>
              <w:t>0111</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Corrections to procedures of E2E data volume transfer time analytics</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CT3#135</w:t>
            </w:r>
          </w:p>
        </w:tc>
        <w:tc>
          <w:tcPr>
            <w:tcW w:type="dxa" w:w="1121"/>
          </w:tcPr>
          <w:p>
            <w:r>
              <w:rPr>
                <w:rFonts w:ascii="Arial" w:hAnsi="Arial"/>
                <w:sz w:val="16"/>
              </w:rPr>
              <w:t>C3-243482</w:t>
            </w:r>
          </w:p>
        </w:tc>
        <w:tc>
          <w:tcPr>
            <w:tcW w:type="dxa" w:w="1121"/>
          </w:tcPr>
          <w:p>
            <w:r>
              <w:rPr>
                <w:rFonts w:ascii="Arial" w:hAnsi="Arial"/>
                <w:sz w:val="16"/>
              </w:rPr>
              <w:t>Ericsson</w:t>
            </w:r>
          </w:p>
        </w:tc>
        <w:tc>
          <w:tcPr>
            <w:tcW w:type="dxa" w:w="1121"/>
          </w:tcPr>
          <w:p>
            <w:r>
              <w:rPr>
                <w:rFonts w:ascii="Arial" w:hAnsi="Arial"/>
                <w:sz w:val="16"/>
              </w:rPr>
              <w:t>AIMLsys</w:t>
            </w:r>
          </w:p>
        </w:tc>
        <w:tc>
          <w:tcPr>
            <w:tcW w:type="dxa" w:w="1121"/>
          </w:tcPr>
          <w:p>
            <w:r>
              <w:rPr>
                <w:rFonts w:ascii="Arial" w:hAnsi="Arial"/>
                <w:sz w:val="16"/>
              </w:rPr>
              <w:t>5.7.18</w:t>
            </w:r>
          </w:p>
        </w:tc>
        <w:tc>
          <w:tcPr>
            <w:tcW w:type="dxa" w:w="1121"/>
          </w:tcPr>
          <w:p>
            <w:r>
              <w:rPr>
                <w:rFonts w:ascii="Arial" w:hAnsi="Arial"/>
                <w:sz w:val="16"/>
              </w:rPr>
              <w:t xml:space="preserve">Depends on TS 23.288 CR 1084  </w:t>
            </w:r>
          </w:p>
        </w:tc>
      </w:tr>
    </w:tbl>
    <w:p w14:paraId="568C2ED9" w14:textId="77777777" w:rsidR="004E535C" w:rsidRDefault="004E535C"/>
    <w:p w14:paraId="5AEE17AB" w14:textId="77777777" w:rsidR="0042202C" w:rsidRDefault="0042202C"/>
    <w:sectPr w:rsidR="0042202C" w:rsidSect="004E535C">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3BE8" w14:textId="77777777" w:rsidR="006D5CE8" w:rsidRDefault="006D5CE8" w:rsidP="002B33AE">
      <w:pPr>
        <w:spacing w:after="0" w:line="240" w:lineRule="auto"/>
      </w:pPr>
      <w:r>
        <w:separator/>
      </w:r>
    </w:p>
  </w:endnote>
  <w:endnote w:type="continuationSeparator" w:id="0">
    <w:p w14:paraId="22C95A86" w14:textId="77777777" w:rsidR="006D5CE8" w:rsidRDefault="006D5CE8" w:rsidP="002B3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6CB1" w14:textId="77777777" w:rsidR="006D5CE8" w:rsidRDefault="006D5CE8" w:rsidP="002B33AE">
      <w:pPr>
        <w:spacing w:after="0" w:line="240" w:lineRule="auto"/>
      </w:pPr>
      <w:r>
        <w:separator/>
      </w:r>
    </w:p>
  </w:footnote>
  <w:footnote w:type="continuationSeparator" w:id="0">
    <w:p w14:paraId="7070082E" w14:textId="77777777" w:rsidR="006D5CE8" w:rsidRDefault="006D5CE8" w:rsidP="002B33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5C"/>
    <w:rsid w:val="00045CD3"/>
    <w:rsid w:val="00153056"/>
    <w:rsid w:val="001A5153"/>
    <w:rsid w:val="001C74F9"/>
    <w:rsid w:val="002B33AE"/>
    <w:rsid w:val="002D5B36"/>
    <w:rsid w:val="0033325F"/>
    <w:rsid w:val="0042202C"/>
    <w:rsid w:val="00452286"/>
    <w:rsid w:val="00496F75"/>
    <w:rsid w:val="004A7F08"/>
    <w:rsid w:val="004E535C"/>
    <w:rsid w:val="00557175"/>
    <w:rsid w:val="005D60A5"/>
    <w:rsid w:val="00603A8C"/>
    <w:rsid w:val="00620F74"/>
    <w:rsid w:val="00697622"/>
    <w:rsid w:val="006C43A3"/>
    <w:rsid w:val="006D5CE8"/>
    <w:rsid w:val="00782052"/>
    <w:rsid w:val="00784730"/>
    <w:rsid w:val="007E5961"/>
    <w:rsid w:val="008941B8"/>
    <w:rsid w:val="009A3885"/>
    <w:rsid w:val="00A30D24"/>
    <w:rsid w:val="00B54369"/>
    <w:rsid w:val="00BF1EB6"/>
    <w:rsid w:val="00C0176E"/>
    <w:rsid w:val="00C20D8D"/>
    <w:rsid w:val="00D449C0"/>
    <w:rsid w:val="00D70574"/>
    <w:rsid w:val="00DA4154"/>
    <w:rsid w:val="00DA7DCA"/>
    <w:rsid w:val="00E04771"/>
    <w:rsid w:val="00EB0DB9"/>
    <w:rsid w:val="00EF27D5"/>
    <w:rsid w:val="00F1717D"/>
    <w:rsid w:val="00F34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49CF2"/>
  <w15:chartTrackingRefBased/>
  <w15:docId w15:val="{68C62ABF-9DB2-40A7-8889-A3B08DDB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0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EB6"/>
    <w:rPr>
      <w:sz w:val="22"/>
      <w:szCs w:val="22"/>
      <w:lang w:eastAsia="en-US"/>
    </w:rPr>
  </w:style>
  <w:style w:type="paragraph" w:styleId="Header">
    <w:name w:val="header"/>
    <w:basedOn w:val="Normal"/>
    <w:link w:val="HeaderChar"/>
    <w:uiPriority w:val="99"/>
    <w:unhideWhenUsed/>
    <w:rsid w:val="002B33AE"/>
    <w:pPr>
      <w:tabs>
        <w:tab w:val="center" w:pos="4252"/>
        <w:tab w:val="right" w:pos="8504"/>
      </w:tabs>
    </w:pPr>
  </w:style>
  <w:style w:type="character" w:customStyle="1" w:styleId="HeaderChar">
    <w:name w:val="Header Char"/>
    <w:basedOn w:val="DefaultParagraphFont"/>
    <w:link w:val="Header"/>
    <w:uiPriority w:val="99"/>
    <w:rsid w:val="002B33AE"/>
    <w:rPr>
      <w:sz w:val="22"/>
      <w:szCs w:val="22"/>
      <w:lang w:eastAsia="en-US"/>
    </w:rPr>
  </w:style>
  <w:style w:type="paragraph" w:styleId="Footer">
    <w:name w:val="footer"/>
    <w:basedOn w:val="Normal"/>
    <w:link w:val="FooterChar"/>
    <w:uiPriority w:val="99"/>
    <w:unhideWhenUsed/>
    <w:rsid w:val="002B33AE"/>
    <w:pPr>
      <w:tabs>
        <w:tab w:val="center" w:pos="4252"/>
        <w:tab w:val="right" w:pos="8504"/>
      </w:tabs>
    </w:pPr>
  </w:style>
  <w:style w:type="character" w:customStyle="1" w:styleId="FooterChar">
    <w:name w:val="Footer Char"/>
    <w:basedOn w:val="DefaultParagraphFont"/>
    <w:link w:val="Footer"/>
    <w:uiPriority w:val="99"/>
    <w:rsid w:val="002B33AE"/>
    <w:rPr>
      <w:sz w:val="22"/>
      <w:szCs w:val="22"/>
      <w:lang w:eastAsia="en-US"/>
    </w:rPr>
  </w:style>
  <w:style w:type="table" w:styleId="ListTable4">
    <w:name w:val="List Table 4"/>
    <w:aliases w:val="CRTable"/>
    <w:basedOn w:val="TableNormal"/>
    <w:uiPriority w:val="49"/>
    <w:rsid w:val="005D60A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val="0"/>
        <w:bCs/>
      </w:rPr>
      <w:tblPr/>
      <w:tcPr>
        <w:tcBorders>
          <w:top w:val="single" w:sz="4" w:space="0" w:color="auto"/>
          <w:left w:val="single" w:sz="4" w:space="0" w:color="auto"/>
          <w:bottom w:val="single" w:sz="4" w:space="0" w:color="auto"/>
          <w:right w:val="single" w:sz="4" w:space="0" w:color="auto"/>
          <w:insideH w:val="single" w:sz="4" w:space="0" w:color="auto"/>
          <w:insideV w:val="nil"/>
        </w:tcBorders>
      </w:tcPr>
    </w:tblStylePr>
    <w:tblStylePr w:type="firstCol">
      <w:rPr>
        <w:b w:val="0"/>
        <w:bCs/>
      </w:rPr>
    </w:tblStylePr>
    <w:tblStylePr w:type="lastCol">
      <w:rPr>
        <w:b w:val="0"/>
        <w:bCs/>
      </w:rPr>
    </w:tblStylePr>
    <w:tblStylePr w:type="band1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styleId="TableGrid">
    <w:name w:val="Table Grid"/>
    <w:basedOn w:val="TableNormal"/>
    <w:uiPriority w:val="59"/>
    <w:rsid w:val="001C7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RPack">
    <w:name w:val="CRPack"/>
    <w:basedOn w:val="TableNormal"/>
    <w:uiPriority w:val="99"/>
    <w:rsid w:val="00F340A9"/>
    <w:tblPr>
      <w:tblBorders>
        <w:top w:val="single" w:sz="4" w:space="0" w:color="auto"/>
        <w:left w:val="single" w:sz="4" w:space="0" w:color="auto"/>
        <w:bottom w:val="single" w:sz="4" w:space="0" w:color="auto"/>
        <w:right w:val="single" w:sz="4" w:space="0" w:color="auto"/>
        <w:insideH w:val="single" w:sz="4" w:space="0" w:color="auto"/>
      </w:tblBorders>
    </w:tblPr>
    <w:tblStylePr w:type="firstRow">
      <w:rPr>
        <w:b/>
      </w:rPr>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92D4-D497-499A-B233-7C79805A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31124_CR0451R2_CIoT-CT_(Rel-13)</dc:creator>
  <cp:keywords/>
  <cp:lastModifiedBy>MCC</cp:lastModifiedBy>
  <cp:revision>9</cp:revision>
  <dcterms:created xsi:type="dcterms:W3CDTF">2023-11-30T14:30:00Z</dcterms:created>
  <dcterms:modified xsi:type="dcterms:W3CDTF">2023-11-30T21:44:00Z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101</vt:lpwstr>
  </property>
  <property fmtid="{D5CDD505-2E9C-101B-9397-08002B2CF9AE}" pid="4" name="Location">
    <vt:lpwstr>Bangalore</vt:lpwstr>
  </property>
  <property fmtid="{D5CDD505-2E9C-101B-9397-08002B2CF9AE}" pid="5" name="Country">
    <vt:lpwstr>INDIA</vt:lpwstr>
  </property>
  <property fmtid="{D5CDD505-2E9C-101B-9397-08002B2CF9AE}" pid="6" name="StartDate">
    <vt:lpwstr>11th Sep 2023</vt:lpwstr>
  </property>
  <property fmtid="{D5CDD505-2E9C-101B-9397-08002B2CF9AE}" pid="7" name="EndDate">
    <vt:lpwstr>12th Sep 2023</vt:lpwstr>
  </property>
  <property fmtid="{D5CDD505-2E9C-101B-9397-08002B2CF9AE}" pid="8" name="Tdoc#">
    <vt:lpwstr>CP-232081</vt:lpwstr>
  </property>
  <property fmtid="{D5CDD505-2E9C-101B-9397-08002B2CF9AE}" pid="9" name="CrpackTitle">
    <vt:lpwstr>CR Pack on eNA_Ph3 - Pack 1/2</vt:lpwstr>
  </property>
  <property fmtid="{D5CDD505-2E9C-101B-9397-08002B2CF9AE}" pid="10" name="Agenda#">
    <vt:lpwstr>18.60</vt:lpwstr>
  </property>
  <property fmtid="{D5CDD505-2E9C-101B-9397-08002B2CF9AE}" pid="11" name="Source">
    <vt:lpwstr>CT3</vt:lpwstr>
  </property>
</Properties>
</file>