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9F3A" w14:textId="5ABBC6E6" w:rsidR="00261288" w:rsidRDefault="00261288" w:rsidP="00261288">
      <w:pPr>
        <w:spacing w:after="120"/>
        <w:ind w:left="1985" w:hanging="1985"/>
        <w:jc w:val="both"/>
        <w:rPr>
          <w:rFonts w:ascii="Arial" w:eastAsiaTheme="minorEastAsia" w:hAnsi="Arial" w:cs="Arial"/>
          <w:b/>
        </w:rPr>
      </w:pPr>
      <w:r>
        <w:rPr>
          <w:rFonts w:ascii="Arial" w:eastAsiaTheme="minorEastAsia" w:hAnsi="Arial" w:cs="Arial"/>
          <w:b/>
        </w:rPr>
        <w:t>3GPP TSG-RAN WG4 Meeting #113</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E50EB0" w:rsidRPr="00E50EB0">
        <w:rPr>
          <w:rFonts w:ascii="Arial" w:eastAsiaTheme="minorEastAsia" w:hAnsi="Arial" w:cs="Arial"/>
          <w:b/>
        </w:rPr>
        <w:t>2419668</w:t>
      </w:r>
    </w:p>
    <w:p w14:paraId="7FC268F4" w14:textId="77777777" w:rsidR="00261288" w:rsidRDefault="00261288" w:rsidP="00261288">
      <w:pPr>
        <w:spacing w:after="120"/>
        <w:ind w:left="1985" w:hanging="1985"/>
        <w:jc w:val="both"/>
        <w:rPr>
          <w:rFonts w:ascii="Arial" w:eastAsiaTheme="minorEastAsia" w:hAnsi="Arial" w:cs="Arial"/>
          <w:b/>
        </w:rPr>
      </w:pPr>
      <w:r>
        <w:rPr>
          <w:rFonts w:ascii="Arial" w:eastAsiaTheme="minorEastAsia" w:hAnsi="Arial" w:cs="Arial"/>
          <w:b/>
        </w:rPr>
        <w:t>Orlando, US, November</w:t>
      </w:r>
      <w:r>
        <w:rPr>
          <w:rFonts w:ascii="Arial" w:hAnsi="Arial" w:cs="Arial"/>
          <w:b/>
        </w:rPr>
        <w:t xml:space="preserve"> 18 </w:t>
      </w:r>
      <w:r>
        <w:rPr>
          <w:rFonts w:ascii="Arial" w:hAnsi="Arial" w:cs="Arial"/>
          <w:b/>
          <w:bCs/>
        </w:rPr>
        <w:t xml:space="preserve">– </w:t>
      </w:r>
      <w:r>
        <w:rPr>
          <w:rFonts w:ascii="Arial" w:hAnsi="Arial" w:cs="Arial"/>
          <w:b/>
        </w:rPr>
        <w:t>22</w:t>
      </w:r>
      <w:r>
        <w:rPr>
          <w:rFonts w:ascii="Arial" w:hAnsi="Arial" w:cs="Arial"/>
          <w:b/>
          <w:bCs/>
        </w:rPr>
        <w:t>, 2024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77625DEC"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95211">
        <w:rPr>
          <w:rFonts w:ascii="Arial" w:eastAsiaTheme="minorEastAsia" w:hAnsi="Arial" w:cs="Arial"/>
          <w:color w:val="000000"/>
          <w:sz w:val="22"/>
        </w:rPr>
        <w:t>7</w:t>
      </w:r>
      <w:r w:rsidR="0019209A">
        <w:rPr>
          <w:rFonts w:ascii="Arial" w:eastAsiaTheme="minorEastAsia" w:hAnsi="Arial" w:cs="Arial"/>
          <w:color w:val="000000"/>
          <w:sz w:val="22"/>
        </w:rPr>
        <w:t>.</w:t>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895C20">
        <w:rPr>
          <w:rFonts w:ascii="Arial" w:eastAsiaTheme="minorEastAsia" w:hAnsi="Arial" w:cs="Arial"/>
          <w:color w:val="000000"/>
          <w:sz w:val="22"/>
        </w:rPr>
        <w:t>2</w:t>
      </w:r>
      <w:r w:rsidR="007E1AA4">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7FF7E9C"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7E1AA4">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785F771B" w:rsidR="00361006" w:rsidRDefault="00361006" w:rsidP="00361006">
      <w:pPr>
        <w:spacing w:after="120"/>
        <w:jc w:val="both"/>
        <w:rPr>
          <w:sz w:val="21"/>
          <w:szCs w:val="21"/>
        </w:rPr>
      </w:pPr>
      <w:r>
        <w:rPr>
          <w:sz w:val="21"/>
          <w:szCs w:val="21"/>
        </w:rPr>
        <w:t>In RAN#10</w:t>
      </w:r>
      <w:r w:rsidR="00D01B04">
        <w:rPr>
          <w:sz w:val="21"/>
          <w:szCs w:val="21"/>
        </w:rPr>
        <w:t>5</w:t>
      </w:r>
      <w:r>
        <w:rPr>
          <w:sz w:val="21"/>
          <w:szCs w:val="21"/>
        </w:rPr>
        <w:t xml:space="preserve">, a </w:t>
      </w:r>
      <w:r w:rsidR="006A2D4D">
        <w:rPr>
          <w:sz w:val="21"/>
          <w:szCs w:val="21"/>
        </w:rPr>
        <w:t>revised</w:t>
      </w:r>
      <w:r>
        <w:rPr>
          <w:sz w:val="21"/>
          <w:szCs w:val="21"/>
        </w:rPr>
        <w:t xml:space="preserve"> WID has been approved for “</w:t>
      </w:r>
      <w:r w:rsidR="00755DC2" w:rsidRPr="00755DC2">
        <w:rPr>
          <w:sz w:val="21"/>
          <w:szCs w:val="21"/>
        </w:rPr>
        <w:t>Enhanced requirements and conductive test methodology for NR NTN and IoT NTN</w:t>
      </w:r>
      <w:r>
        <w:rPr>
          <w:sz w:val="21"/>
          <w:szCs w:val="21"/>
        </w:rPr>
        <w:t>” WI</w:t>
      </w:r>
      <w:r w:rsidR="006A2D4D">
        <w:rPr>
          <w:sz w:val="21"/>
          <w:szCs w:val="21"/>
        </w:rPr>
        <w:t xml:space="preserve"> [1]</w:t>
      </w:r>
      <w:r w:rsidRPr="009118AB">
        <w:rPr>
          <w:sz w:val="21"/>
          <w:szCs w:val="21"/>
        </w:rPr>
        <w:t>.</w:t>
      </w:r>
      <w:r>
        <w:rPr>
          <w:sz w:val="21"/>
          <w:szCs w:val="21"/>
        </w:rPr>
        <w:t xml:space="preserve"> One of the three </w:t>
      </w:r>
      <w:r w:rsidR="00755DC2">
        <w:rPr>
          <w:sz w:val="21"/>
          <w:szCs w:val="21"/>
        </w:rPr>
        <w:t xml:space="preserve">working areas </w:t>
      </w:r>
      <w:r>
        <w:rPr>
          <w:sz w:val="21"/>
          <w:szCs w:val="21"/>
        </w:rPr>
        <w:t xml:space="preserve">of the WI is to specify </w:t>
      </w:r>
      <w:r w:rsidR="005027A6" w:rsidRPr="005027A6">
        <w:rPr>
          <w:sz w:val="21"/>
          <w:szCs w:val="21"/>
        </w:rPr>
        <w:t>High power UE (HPUE)</w:t>
      </w:r>
      <w:r w:rsidR="00D01B04">
        <w:rPr>
          <w:sz w:val="21"/>
          <w:szCs w:val="21"/>
        </w:rPr>
        <w:t xml:space="preserve"> requirements</w:t>
      </w:r>
      <w:r w:rsidR="005027A6" w:rsidRPr="005027A6">
        <w:rPr>
          <w:sz w:val="21"/>
          <w:szCs w:val="21"/>
        </w:rPr>
        <w:t xml:space="preserve"> for </w:t>
      </w:r>
      <w:r w:rsidR="00D01B04">
        <w:rPr>
          <w:sz w:val="21"/>
          <w:szCs w:val="21"/>
        </w:rPr>
        <w:t>NR-</w:t>
      </w:r>
      <w:r w:rsidR="005027A6" w:rsidRPr="005027A6">
        <w:rPr>
          <w:sz w:val="21"/>
          <w:szCs w:val="21"/>
        </w:rPr>
        <w:t>NTN</w:t>
      </w:r>
      <w:r w:rsidR="005027A6">
        <w:rPr>
          <w:sz w:val="21"/>
          <w:szCs w:val="21"/>
        </w:rPr>
        <w:t xml:space="preserve"> </w:t>
      </w:r>
      <w:r>
        <w:rPr>
          <w:sz w:val="21"/>
          <w:szCs w:val="21"/>
        </w:rPr>
        <w:t>with the following objectives:</w:t>
      </w:r>
    </w:p>
    <w:p w14:paraId="4F627C66"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104B296D"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2E81024E"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26423DA8"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56442F45"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10D650B9"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08E376D8"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952E156"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B9B61CF"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303F334"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3995E3CA"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2E5C1AAC" w14:textId="0D1279CF" w:rsidR="00FA132C" w:rsidRPr="00770531" w:rsidRDefault="00361006" w:rsidP="00E821A1">
      <w:pPr>
        <w:spacing w:after="120"/>
        <w:jc w:val="both"/>
        <w:rPr>
          <w:sz w:val="21"/>
          <w:szCs w:val="21"/>
        </w:rPr>
      </w:pPr>
      <w:r>
        <w:rPr>
          <w:sz w:val="21"/>
          <w:szCs w:val="21"/>
        </w:rPr>
        <w:t xml:space="preserve">In this contribution, we </w:t>
      </w:r>
      <w:r w:rsidR="00D01B04">
        <w:rPr>
          <w:sz w:val="21"/>
          <w:szCs w:val="21"/>
        </w:rPr>
        <w:t xml:space="preserve">discuss the </w:t>
      </w:r>
      <w:r w:rsidR="006335D8">
        <w:rPr>
          <w:sz w:val="21"/>
          <w:szCs w:val="21"/>
        </w:rPr>
        <w:t xml:space="preserve">open issues on </w:t>
      </w:r>
      <w:r w:rsidR="00D01B04">
        <w:rPr>
          <w:sz w:val="21"/>
          <w:szCs w:val="21"/>
        </w:rPr>
        <w:t>UE RF</w:t>
      </w:r>
      <w:r w:rsidR="00E07EA8">
        <w:rPr>
          <w:sz w:val="21"/>
          <w:szCs w:val="21"/>
        </w:rPr>
        <w:t xml:space="preserve"> </w:t>
      </w:r>
      <w:r w:rsidR="005027A6">
        <w:rPr>
          <w:sz w:val="21"/>
          <w:szCs w:val="21"/>
        </w:rPr>
        <w:t>Tx</w:t>
      </w:r>
      <w:r w:rsidR="00895C20">
        <w:rPr>
          <w:sz w:val="21"/>
          <w:szCs w:val="21"/>
        </w:rPr>
        <w:t xml:space="preserve"> requirements</w:t>
      </w:r>
      <w:r w:rsidR="00755DC2">
        <w:rPr>
          <w:sz w:val="21"/>
          <w:szCs w:val="21"/>
        </w:rPr>
        <w:t xml:space="preserve"> for </w:t>
      </w:r>
      <w:r w:rsidR="00D01B04">
        <w:rPr>
          <w:sz w:val="21"/>
          <w:szCs w:val="21"/>
        </w:rPr>
        <w:t xml:space="preserve">NR-NTN </w:t>
      </w:r>
      <w:r w:rsidR="00E07EA8">
        <w:rPr>
          <w:sz w:val="21"/>
          <w:szCs w:val="21"/>
        </w:rPr>
        <w:t>HPUE</w:t>
      </w:r>
      <w:r w:rsidR="006335D8">
        <w:rPr>
          <w:sz w:val="21"/>
          <w:szCs w:val="21"/>
        </w:rPr>
        <w:t xml:space="preserve"> from the approved WF </w:t>
      </w:r>
      <w:r w:rsidR="004B082C">
        <w:rPr>
          <w:sz w:val="21"/>
          <w:szCs w:val="21"/>
        </w:rPr>
        <w:t>in</w:t>
      </w:r>
      <w:r w:rsidR="006335D8">
        <w:rPr>
          <w:sz w:val="21"/>
          <w:szCs w:val="21"/>
        </w:rPr>
        <w:t xml:space="preserve"> RAN4#112</w:t>
      </w:r>
      <w:r w:rsidR="00A95211">
        <w:rPr>
          <w:sz w:val="21"/>
          <w:szCs w:val="21"/>
        </w:rPr>
        <w:t>-bis</w:t>
      </w:r>
      <w:r w:rsidR="006335D8">
        <w:rPr>
          <w:sz w:val="21"/>
          <w:szCs w:val="21"/>
        </w:rPr>
        <w:t xml:space="preserve"> [2]</w:t>
      </w:r>
      <w:r w:rsidR="000752F9">
        <w:rPr>
          <w:sz w:val="21"/>
          <w:szCs w:val="21"/>
        </w:rPr>
        <w:t xml:space="preserve">.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1BFF6A3C" w14:textId="34FE834A" w:rsidR="00A92B01" w:rsidRPr="00A92B01" w:rsidRDefault="00A92B01" w:rsidP="00660EEA">
      <w:pPr>
        <w:pStyle w:val="Heading2"/>
        <w:rPr>
          <w:sz w:val="32"/>
          <w:szCs w:val="20"/>
          <w:lang w:val="en-US" w:eastAsia="en-GB"/>
        </w:rPr>
      </w:pPr>
      <w:r>
        <w:rPr>
          <w:sz w:val="32"/>
          <w:szCs w:val="20"/>
          <w:lang w:val="en-US" w:eastAsia="en-GB"/>
        </w:rPr>
        <w:t>General considerations</w:t>
      </w:r>
    </w:p>
    <w:p w14:paraId="04543B2B" w14:textId="77777777" w:rsidR="00A95211" w:rsidRPr="001F0F93" w:rsidRDefault="00A95211" w:rsidP="00A95211">
      <w:pPr>
        <w:overflowPunct w:val="0"/>
        <w:autoSpaceDE w:val="0"/>
        <w:autoSpaceDN w:val="0"/>
        <w:adjustRightInd w:val="0"/>
        <w:spacing w:after="180"/>
        <w:textAlignment w:val="baseline"/>
        <w:rPr>
          <w:b/>
          <w:i/>
          <w:iCs/>
          <w:sz w:val="21"/>
          <w:szCs w:val="21"/>
          <w:u w:val="single"/>
          <w:lang w:val="en-GB" w:eastAsia="ko-KR"/>
        </w:rPr>
      </w:pPr>
      <w:r w:rsidRPr="001F0F93">
        <w:rPr>
          <w:b/>
          <w:i/>
          <w:iCs/>
          <w:sz w:val="21"/>
          <w:szCs w:val="21"/>
          <w:u w:val="single"/>
          <w:lang w:val="en-GB" w:eastAsia="ko-KR"/>
        </w:rPr>
        <w:t>Issue 2-3: UE architecture/type considerations for NR-NTN PC1.5 UE</w:t>
      </w:r>
    </w:p>
    <w:p w14:paraId="2E6E8184" w14:textId="77777777" w:rsidR="00A95211" w:rsidRPr="001F0F93" w:rsidRDefault="00A95211" w:rsidP="00A95211">
      <w:pPr>
        <w:overflowPunct w:val="0"/>
        <w:autoSpaceDE w:val="0"/>
        <w:autoSpaceDN w:val="0"/>
        <w:spacing w:after="180"/>
        <w:textAlignment w:val="baseline"/>
        <w:rPr>
          <w:b/>
          <w:bCs/>
          <w:i/>
          <w:iCs/>
          <w:sz w:val="21"/>
          <w:szCs w:val="21"/>
          <w:lang w:val="en-GB"/>
        </w:rPr>
      </w:pPr>
      <w:r w:rsidRPr="001F0F93">
        <w:rPr>
          <w:b/>
          <w:bCs/>
          <w:i/>
          <w:iCs/>
          <w:sz w:val="21"/>
          <w:szCs w:val="21"/>
          <w:lang w:val="en-GB"/>
        </w:rPr>
        <w:t>Agreement:</w:t>
      </w:r>
    </w:p>
    <w:p w14:paraId="606B74D3" w14:textId="77777777" w:rsidR="00A95211" w:rsidRPr="001F0F93" w:rsidRDefault="00A95211" w:rsidP="00A95211">
      <w:pPr>
        <w:numPr>
          <w:ilvl w:val="0"/>
          <w:numId w:val="22"/>
        </w:numPr>
        <w:overflowPunct w:val="0"/>
        <w:autoSpaceDE w:val="0"/>
        <w:autoSpaceDN w:val="0"/>
        <w:adjustRightInd w:val="0"/>
        <w:spacing w:after="180"/>
        <w:textAlignment w:val="baseline"/>
        <w:rPr>
          <w:rFonts w:eastAsia="DengXian"/>
          <w:i/>
          <w:iCs/>
          <w:sz w:val="21"/>
          <w:szCs w:val="21"/>
          <w:lang w:val="en-GB" w:eastAsia="en-GB"/>
        </w:rPr>
      </w:pPr>
      <w:r w:rsidRPr="001F0F93">
        <w:rPr>
          <w:rFonts w:eastAsia="DengXian"/>
          <w:i/>
          <w:iCs/>
          <w:sz w:val="21"/>
          <w:szCs w:val="21"/>
          <w:lang w:val="en-GB" w:eastAsia="en-GB"/>
        </w:rPr>
        <w:t>Both 1Tx and 2Tx for PC1.5 non-handheld UE can be considered as starting point for requirements discussions:</w:t>
      </w:r>
    </w:p>
    <w:p w14:paraId="156DB49F" w14:textId="77777777" w:rsidR="00A95211" w:rsidRPr="001F0F93" w:rsidRDefault="00A95211" w:rsidP="00A95211">
      <w:pPr>
        <w:numPr>
          <w:ilvl w:val="0"/>
          <w:numId w:val="22"/>
        </w:numPr>
        <w:overflowPunct w:val="0"/>
        <w:autoSpaceDE w:val="0"/>
        <w:autoSpaceDN w:val="0"/>
        <w:adjustRightInd w:val="0"/>
        <w:spacing w:after="180"/>
        <w:textAlignment w:val="baseline"/>
        <w:rPr>
          <w:rFonts w:eastAsia="DengXian"/>
          <w:i/>
          <w:iCs/>
          <w:sz w:val="21"/>
          <w:szCs w:val="21"/>
          <w:lang w:val="en-GB" w:eastAsia="en-GB"/>
        </w:rPr>
      </w:pPr>
      <w:r w:rsidRPr="001F0F93">
        <w:rPr>
          <w:rFonts w:eastAsia="DengXian"/>
          <w:i/>
          <w:iCs/>
          <w:sz w:val="21"/>
          <w:szCs w:val="21"/>
          <w:lang w:val="en-GB" w:eastAsia="en-GB"/>
        </w:rPr>
        <w:t xml:space="preserve">FFS whether PC1.5 non-handheld UE need to be specified if PC1 non-handheld UE be specified </w:t>
      </w:r>
    </w:p>
    <w:p w14:paraId="2CB6F5CE" w14:textId="77777777" w:rsidR="00A95211" w:rsidRPr="001F0F93" w:rsidRDefault="00A95211" w:rsidP="00A95211">
      <w:pPr>
        <w:numPr>
          <w:ilvl w:val="0"/>
          <w:numId w:val="22"/>
        </w:numPr>
        <w:overflowPunct w:val="0"/>
        <w:autoSpaceDE w:val="0"/>
        <w:autoSpaceDN w:val="0"/>
        <w:adjustRightInd w:val="0"/>
        <w:spacing w:after="180"/>
        <w:textAlignment w:val="baseline"/>
        <w:rPr>
          <w:rFonts w:eastAsia="DengXian"/>
          <w:i/>
          <w:iCs/>
          <w:sz w:val="21"/>
          <w:szCs w:val="21"/>
          <w:lang w:val="en-GB" w:eastAsia="en-GB"/>
        </w:rPr>
      </w:pPr>
      <w:r w:rsidRPr="001F0F93">
        <w:rPr>
          <w:rFonts w:eastAsia="DengXian"/>
          <w:i/>
          <w:iCs/>
          <w:sz w:val="21"/>
          <w:szCs w:val="21"/>
          <w:lang w:val="en-GB" w:eastAsia="en-GB"/>
        </w:rPr>
        <w:t xml:space="preserve">FFS whether PC1.5 handheld UE can be specified or not </w:t>
      </w:r>
    </w:p>
    <w:p w14:paraId="30E3FC88" w14:textId="53840A0C" w:rsidR="00A95211" w:rsidRPr="001F0F93" w:rsidRDefault="00A95211" w:rsidP="00A95211">
      <w:pPr>
        <w:overflowPunct w:val="0"/>
        <w:autoSpaceDE w:val="0"/>
        <w:autoSpaceDN w:val="0"/>
        <w:spacing w:after="180"/>
        <w:textAlignment w:val="baseline"/>
        <w:rPr>
          <w:rFonts w:eastAsia="DengXian"/>
          <w:bCs/>
          <w:sz w:val="21"/>
          <w:szCs w:val="21"/>
          <w:lang w:val="en-GB"/>
        </w:rPr>
      </w:pPr>
      <w:r w:rsidRPr="001F0F93">
        <w:rPr>
          <w:rFonts w:eastAsia="DengXian"/>
          <w:bCs/>
          <w:sz w:val="21"/>
          <w:szCs w:val="21"/>
          <w:lang w:val="en-GB"/>
        </w:rPr>
        <w:lastRenderedPageBreak/>
        <w:t>For TN</w:t>
      </w:r>
      <w:r w:rsidR="001F0F93" w:rsidRPr="001F0F93">
        <w:rPr>
          <w:rFonts w:eastAsia="DengXian"/>
          <w:bCs/>
          <w:sz w:val="21"/>
          <w:szCs w:val="21"/>
          <w:lang w:val="en-GB"/>
        </w:rPr>
        <w:t xml:space="preserve"> [3]</w:t>
      </w:r>
      <w:r w:rsidRPr="001F0F93">
        <w:rPr>
          <w:rFonts w:eastAsia="DengXian"/>
          <w:bCs/>
          <w:sz w:val="21"/>
          <w:szCs w:val="21"/>
          <w:lang w:val="en-GB"/>
        </w:rPr>
        <w:t>, for all FDD bands which support PC1, specification of PC1.5 is “skipped”.</w:t>
      </w:r>
      <w:r w:rsidR="001F0F93" w:rsidRPr="001F0F93">
        <w:rPr>
          <w:rFonts w:eastAsia="DengXian"/>
          <w:bCs/>
          <w:sz w:val="21"/>
          <w:szCs w:val="21"/>
          <w:lang w:val="en-GB"/>
        </w:rPr>
        <w:t xml:space="preserve"> The similar can be done for the NTN as well.</w:t>
      </w:r>
    </w:p>
    <w:p w14:paraId="295EEA6F" w14:textId="25FD1BF7" w:rsidR="00A95211" w:rsidRPr="001F0F93" w:rsidRDefault="00A95211" w:rsidP="00A95211">
      <w:pPr>
        <w:overflowPunct w:val="0"/>
        <w:autoSpaceDE w:val="0"/>
        <w:autoSpaceDN w:val="0"/>
        <w:spacing w:after="180"/>
        <w:textAlignment w:val="baseline"/>
        <w:rPr>
          <w:rFonts w:eastAsia="DengXian"/>
          <w:b/>
          <w:sz w:val="21"/>
          <w:szCs w:val="21"/>
          <w:lang w:val="en-GB"/>
        </w:rPr>
      </w:pPr>
      <w:r w:rsidRPr="001F0F93">
        <w:rPr>
          <w:rFonts w:eastAsia="DengXian"/>
          <w:b/>
          <w:sz w:val="21"/>
          <w:szCs w:val="21"/>
          <w:lang w:val="en-GB"/>
        </w:rPr>
        <w:t xml:space="preserve">Proposal 1: For non-handheld UEs, for a given operating band PC1.5 does not need to be specified if PC1 is specified. </w:t>
      </w:r>
    </w:p>
    <w:p w14:paraId="6D6A9B59" w14:textId="77777777" w:rsidR="00A95211" w:rsidRPr="001F0F93" w:rsidRDefault="00A95211" w:rsidP="00A95211">
      <w:pPr>
        <w:overflowPunct w:val="0"/>
        <w:autoSpaceDE w:val="0"/>
        <w:autoSpaceDN w:val="0"/>
        <w:spacing w:after="180"/>
        <w:textAlignment w:val="baseline"/>
        <w:rPr>
          <w:b/>
          <w:i/>
          <w:iCs/>
          <w:sz w:val="21"/>
          <w:szCs w:val="21"/>
          <w:u w:val="single"/>
          <w:lang w:val="en-GB" w:eastAsia="en-GB"/>
        </w:rPr>
      </w:pPr>
      <w:r w:rsidRPr="001F0F93">
        <w:rPr>
          <w:b/>
          <w:i/>
          <w:iCs/>
          <w:sz w:val="21"/>
          <w:szCs w:val="21"/>
          <w:u w:val="single"/>
          <w:lang w:val="en-GB" w:eastAsia="en-GB"/>
        </w:rPr>
        <w:t>Issue 2-4: UE architecture/type considerations for NR-NTN PC1 UE</w:t>
      </w:r>
    </w:p>
    <w:p w14:paraId="2DD6A863" w14:textId="77777777" w:rsidR="00A95211" w:rsidRPr="001F0F93" w:rsidRDefault="00A95211" w:rsidP="00A95211">
      <w:pPr>
        <w:overflowPunct w:val="0"/>
        <w:autoSpaceDE w:val="0"/>
        <w:autoSpaceDN w:val="0"/>
        <w:spacing w:after="180"/>
        <w:textAlignment w:val="baseline"/>
        <w:rPr>
          <w:i/>
          <w:iCs/>
          <w:sz w:val="21"/>
          <w:szCs w:val="21"/>
          <w:lang w:val="en-GB"/>
        </w:rPr>
      </w:pPr>
      <w:r w:rsidRPr="001F0F93">
        <w:rPr>
          <w:rFonts w:hint="eastAsia"/>
          <w:b/>
          <w:bCs/>
          <w:i/>
          <w:iCs/>
          <w:sz w:val="21"/>
          <w:szCs w:val="21"/>
          <w:lang w:val="en-GB"/>
        </w:rPr>
        <w:t>A</w:t>
      </w:r>
      <w:r w:rsidRPr="001F0F93">
        <w:rPr>
          <w:b/>
          <w:bCs/>
          <w:i/>
          <w:iCs/>
          <w:sz w:val="21"/>
          <w:szCs w:val="21"/>
          <w:lang w:val="en-GB"/>
        </w:rPr>
        <w:t>greement</w:t>
      </w:r>
      <w:r w:rsidRPr="001F0F93">
        <w:rPr>
          <w:i/>
          <w:iCs/>
          <w:sz w:val="21"/>
          <w:szCs w:val="21"/>
          <w:lang w:val="en-GB"/>
        </w:rPr>
        <w:t>:</w:t>
      </w:r>
    </w:p>
    <w:p w14:paraId="1F069C88" w14:textId="77777777" w:rsidR="00A95211" w:rsidRPr="001F0F93" w:rsidRDefault="00A95211" w:rsidP="00A95211">
      <w:pPr>
        <w:numPr>
          <w:ilvl w:val="0"/>
          <w:numId w:val="23"/>
        </w:numPr>
        <w:overflowPunct w:val="0"/>
        <w:autoSpaceDE w:val="0"/>
        <w:autoSpaceDN w:val="0"/>
        <w:adjustRightInd w:val="0"/>
        <w:spacing w:after="180"/>
        <w:textAlignment w:val="baseline"/>
        <w:rPr>
          <w:i/>
          <w:iCs/>
          <w:sz w:val="21"/>
          <w:szCs w:val="21"/>
          <w:lang w:val="en-GB" w:eastAsia="en-GB"/>
        </w:rPr>
      </w:pPr>
      <w:r w:rsidRPr="001F0F93">
        <w:rPr>
          <w:i/>
          <w:iCs/>
          <w:sz w:val="21"/>
          <w:szCs w:val="21"/>
          <w:lang w:val="en-GB" w:eastAsia="en-GB"/>
        </w:rPr>
        <w:t>Confirm feasibility of PC1 1Tx for non-handheld UE.</w:t>
      </w:r>
    </w:p>
    <w:p w14:paraId="5BAFDA95" w14:textId="77777777" w:rsidR="00A95211" w:rsidRPr="001F0F93" w:rsidRDefault="00A95211" w:rsidP="00A95211">
      <w:pPr>
        <w:numPr>
          <w:ilvl w:val="0"/>
          <w:numId w:val="23"/>
        </w:numPr>
        <w:overflowPunct w:val="0"/>
        <w:autoSpaceDE w:val="0"/>
        <w:autoSpaceDN w:val="0"/>
        <w:adjustRightInd w:val="0"/>
        <w:spacing w:after="180"/>
        <w:textAlignment w:val="baseline"/>
        <w:rPr>
          <w:i/>
          <w:iCs/>
          <w:sz w:val="21"/>
          <w:szCs w:val="21"/>
          <w:lang w:val="en-GB" w:eastAsia="en-GB"/>
        </w:rPr>
      </w:pPr>
      <w:r w:rsidRPr="001F0F93">
        <w:rPr>
          <w:i/>
          <w:iCs/>
          <w:sz w:val="21"/>
          <w:szCs w:val="21"/>
          <w:lang w:val="en-GB" w:eastAsia="en-GB"/>
        </w:rPr>
        <w:t>For PC1, at least 1Tx to be considered for requirements.</w:t>
      </w:r>
    </w:p>
    <w:p w14:paraId="0461636B" w14:textId="77777777" w:rsidR="00A95211" w:rsidRPr="001F0F93" w:rsidRDefault="00A95211" w:rsidP="00A95211">
      <w:pPr>
        <w:numPr>
          <w:ilvl w:val="0"/>
          <w:numId w:val="23"/>
        </w:numPr>
        <w:overflowPunct w:val="0"/>
        <w:autoSpaceDE w:val="0"/>
        <w:autoSpaceDN w:val="0"/>
        <w:adjustRightInd w:val="0"/>
        <w:spacing w:after="180"/>
        <w:textAlignment w:val="baseline"/>
        <w:rPr>
          <w:i/>
          <w:iCs/>
          <w:sz w:val="21"/>
          <w:szCs w:val="21"/>
          <w:lang w:val="en-GB" w:eastAsia="en-GB"/>
        </w:rPr>
      </w:pPr>
      <w:r w:rsidRPr="001F0F93">
        <w:rPr>
          <w:i/>
          <w:iCs/>
          <w:sz w:val="21"/>
          <w:szCs w:val="21"/>
          <w:lang w:val="en-GB" w:eastAsia="en-GB"/>
        </w:rPr>
        <w:t>Further discuss consideration of PC1 1Tx, 2Tx, 3Tx for handheld UE.</w:t>
      </w:r>
    </w:p>
    <w:p w14:paraId="272FB8D2" w14:textId="77777777" w:rsidR="00A95211" w:rsidRPr="001F0F93" w:rsidRDefault="00A95211" w:rsidP="00A95211">
      <w:pPr>
        <w:numPr>
          <w:ilvl w:val="0"/>
          <w:numId w:val="23"/>
        </w:numPr>
        <w:overflowPunct w:val="0"/>
        <w:autoSpaceDE w:val="0"/>
        <w:autoSpaceDN w:val="0"/>
        <w:adjustRightInd w:val="0"/>
        <w:spacing w:after="180"/>
        <w:textAlignment w:val="baseline"/>
        <w:rPr>
          <w:i/>
          <w:iCs/>
          <w:sz w:val="21"/>
          <w:szCs w:val="21"/>
          <w:lang w:val="en-GB" w:eastAsia="en-GB"/>
        </w:rPr>
      </w:pPr>
      <w:r w:rsidRPr="001F0F93">
        <w:rPr>
          <w:i/>
          <w:iCs/>
          <w:sz w:val="21"/>
          <w:szCs w:val="21"/>
          <w:lang w:val="en-GB" w:eastAsia="en-GB"/>
        </w:rPr>
        <w:t>Further discuss consideration of PC1 2Tx, 3Tx for non-handheld UE.</w:t>
      </w:r>
    </w:p>
    <w:p w14:paraId="39B814F9" w14:textId="602230B5" w:rsidR="001F0F93" w:rsidRPr="001F0F93" w:rsidRDefault="001F0F93" w:rsidP="00DE2D11">
      <w:pPr>
        <w:spacing w:after="180"/>
        <w:rPr>
          <w:rFonts w:eastAsia="DengXian"/>
          <w:bCs/>
          <w:sz w:val="21"/>
          <w:szCs w:val="21"/>
          <w:lang w:val="en-GB"/>
        </w:rPr>
      </w:pPr>
      <w:r w:rsidRPr="001F0F93">
        <w:rPr>
          <w:rFonts w:eastAsia="DengXian"/>
          <w:bCs/>
          <w:sz w:val="21"/>
          <w:szCs w:val="21"/>
          <w:lang w:val="en-GB"/>
        </w:rPr>
        <w:t>In th</w:t>
      </w:r>
      <w:r>
        <w:rPr>
          <w:rFonts w:eastAsia="DengXian"/>
          <w:bCs/>
          <w:sz w:val="21"/>
          <w:szCs w:val="21"/>
          <w:lang w:val="en-GB"/>
        </w:rPr>
        <w:t>e ongoing Rel-19 WI “</w:t>
      </w:r>
      <w:r w:rsidRPr="001F0F93">
        <w:rPr>
          <w:rFonts w:eastAsia="DengXian"/>
          <w:bCs/>
          <w:sz w:val="21"/>
          <w:szCs w:val="21"/>
          <w:lang w:val="en-GB"/>
        </w:rPr>
        <w:t>NR MIMO Phase 5</w:t>
      </w:r>
      <w:r>
        <w:rPr>
          <w:rFonts w:eastAsia="DengXian"/>
          <w:bCs/>
          <w:sz w:val="21"/>
          <w:szCs w:val="21"/>
          <w:lang w:val="en-GB"/>
        </w:rPr>
        <w:t xml:space="preserve">”, RAN1 has specified only non-coherent TPMI precoders, and full-power transmission modes 1 and 2 are precluded from the WID. Full-power mode 0 is also unlikely to be specified for PC1.5, so only “Rel-15 behavior” will be available. PC1 is out of the scope (not even discussed). It would be pre-mature to consider PC1 with 3Tx for either handheld or non-handheld UEs in Rel-19. </w:t>
      </w:r>
    </w:p>
    <w:p w14:paraId="28DCA857" w14:textId="7AB62BB7" w:rsidR="00DE2D11" w:rsidRPr="001F0F93" w:rsidRDefault="00DE2D11" w:rsidP="00DE2D11">
      <w:pPr>
        <w:spacing w:after="180"/>
        <w:rPr>
          <w:rFonts w:eastAsia="DengXian"/>
          <w:b/>
          <w:sz w:val="21"/>
          <w:szCs w:val="21"/>
          <w:lang w:val="en-GB"/>
        </w:rPr>
      </w:pPr>
      <w:r w:rsidRPr="001F0F93">
        <w:rPr>
          <w:rFonts w:eastAsia="DengXian"/>
          <w:b/>
          <w:sz w:val="21"/>
          <w:szCs w:val="21"/>
          <w:lang w:val="en-GB"/>
        </w:rPr>
        <w:t xml:space="preserve">Proposal 2: For TN, in Rel-19 only PC1.5 is being considered for 3Tx (not yet confirmed to be feasible), so 3Tx for PC1 should not be considered in this Release for NTN (for both handheld and non-handheld UEs). </w:t>
      </w:r>
    </w:p>
    <w:p w14:paraId="747E68FE" w14:textId="1B79EBDC" w:rsidR="001F0F93" w:rsidRPr="001F0F93" w:rsidRDefault="001F0F93" w:rsidP="00DE2D11">
      <w:pPr>
        <w:spacing w:after="180"/>
        <w:rPr>
          <w:rFonts w:eastAsia="DengXian"/>
          <w:bCs/>
          <w:sz w:val="21"/>
          <w:szCs w:val="21"/>
          <w:lang w:val="en-GB"/>
        </w:rPr>
      </w:pPr>
      <w:r>
        <w:rPr>
          <w:rFonts w:eastAsia="DengXian"/>
          <w:bCs/>
          <w:sz w:val="21"/>
          <w:szCs w:val="21"/>
          <w:lang w:val="en-GB"/>
        </w:rPr>
        <w:t xml:space="preserve">Since in the last meeting companies have agreed that PC1.5 with 1Tx is feasible for NTN UEs, as well as PC1 with 1Tx, PC1 with 2Tx should also be feasible since its complexity is equivalent to having two times PC1.5 with 1Tx. </w:t>
      </w:r>
    </w:p>
    <w:p w14:paraId="79F4479D" w14:textId="7FBCDC90" w:rsidR="00A95211" w:rsidRPr="001F0F93" w:rsidRDefault="00DE2D11" w:rsidP="001F0F93">
      <w:pPr>
        <w:spacing w:after="180"/>
        <w:rPr>
          <w:rFonts w:eastAsia="DengXian"/>
          <w:b/>
          <w:sz w:val="21"/>
          <w:szCs w:val="21"/>
          <w:lang w:val="en-GB"/>
        </w:rPr>
      </w:pPr>
      <w:r w:rsidRPr="001F0F93">
        <w:rPr>
          <w:rFonts w:eastAsia="DengXian"/>
          <w:b/>
          <w:sz w:val="21"/>
          <w:szCs w:val="21"/>
          <w:lang w:val="en-GB"/>
        </w:rPr>
        <w:t xml:space="preserve">Proposal 3: PC1 with 2Tx should be feasible for non-handheld NTN UEs, since PC1/PC1.5 with 1Tx is feasible. </w:t>
      </w:r>
    </w:p>
    <w:p w14:paraId="2B6C58D5" w14:textId="77777777" w:rsidR="00A95211" w:rsidRPr="001F0F93" w:rsidRDefault="00A95211" w:rsidP="00A95211">
      <w:pPr>
        <w:overflowPunct w:val="0"/>
        <w:autoSpaceDE w:val="0"/>
        <w:autoSpaceDN w:val="0"/>
        <w:adjustRightInd w:val="0"/>
        <w:spacing w:after="180"/>
        <w:textAlignment w:val="baseline"/>
        <w:rPr>
          <w:b/>
          <w:i/>
          <w:iCs/>
          <w:sz w:val="21"/>
          <w:szCs w:val="21"/>
          <w:u w:val="single"/>
          <w:lang w:val="en-GB" w:eastAsia="ko-KR"/>
        </w:rPr>
      </w:pPr>
      <w:r w:rsidRPr="001F0F93">
        <w:rPr>
          <w:b/>
          <w:i/>
          <w:iCs/>
          <w:sz w:val="21"/>
          <w:szCs w:val="21"/>
          <w:u w:val="single"/>
          <w:lang w:val="en-GB" w:eastAsia="ko-KR"/>
        </w:rPr>
        <w:t>Issue 2-8: SEM</w:t>
      </w:r>
    </w:p>
    <w:p w14:paraId="7698B486" w14:textId="77777777" w:rsidR="00A95211" w:rsidRPr="001F0F93" w:rsidRDefault="00A95211" w:rsidP="00A95211">
      <w:pPr>
        <w:overflowPunct w:val="0"/>
        <w:autoSpaceDE w:val="0"/>
        <w:autoSpaceDN w:val="0"/>
        <w:spacing w:after="180"/>
        <w:textAlignment w:val="baseline"/>
        <w:rPr>
          <w:b/>
          <w:bCs/>
          <w:i/>
          <w:iCs/>
          <w:sz w:val="21"/>
          <w:szCs w:val="21"/>
          <w:lang w:val="en-GB"/>
        </w:rPr>
      </w:pPr>
      <w:r w:rsidRPr="001F0F93">
        <w:rPr>
          <w:b/>
          <w:bCs/>
          <w:i/>
          <w:iCs/>
          <w:sz w:val="21"/>
          <w:szCs w:val="21"/>
          <w:lang w:val="en-GB"/>
        </w:rPr>
        <w:t>Agreement:</w:t>
      </w:r>
    </w:p>
    <w:p w14:paraId="5B526E04" w14:textId="77777777" w:rsidR="00A95211" w:rsidRPr="001F0F93" w:rsidRDefault="00A95211" w:rsidP="00A95211">
      <w:pPr>
        <w:numPr>
          <w:ilvl w:val="0"/>
          <w:numId w:val="24"/>
        </w:numPr>
        <w:overflowPunct w:val="0"/>
        <w:autoSpaceDE w:val="0"/>
        <w:autoSpaceDN w:val="0"/>
        <w:adjustRightInd w:val="0"/>
        <w:spacing w:after="180"/>
        <w:textAlignment w:val="baseline"/>
        <w:rPr>
          <w:i/>
          <w:iCs/>
          <w:sz w:val="21"/>
          <w:szCs w:val="21"/>
          <w:lang w:val="en-GB" w:eastAsia="en-GB"/>
        </w:rPr>
      </w:pPr>
      <w:r w:rsidRPr="001F0F93">
        <w:rPr>
          <w:i/>
          <w:iCs/>
          <w:sz w:val="21"/>
          <w:szCs w:val="21"/>
          <w:lang w:val="en-GB" w:eastAsia="en-GB"/>
        </w:rPr>
        <w:t>To re-use existing SEM requirements from PC3 to other PCs as starting point.</w:t>
      </w:r>
    </w:p>
    <w:p w14:paraId="5D82B844" w14:textId="3947C6B2" w:rsidR="005123C5" w:rsidRDefault="005123C5" w:rsidP="005123C5">
      <w:pPr>
        <w:rPr>
          <w:sz w:val="21"/>
          <w:szCs w:val="21"/>
          <w:lang w:eastAsia="ja-JP"/>
        </w:rPr>
      </w:pPr>
      <w:r w:rsidRPr="005123C5">
        <w:rPr>
          <w:sz w:val="21"/>
          <w:szCs w:val="21"/>
          <w:lang w:eastAsia="ja-JP"/>
        </w:rPr>
        <w:t>SEM requirements are specified based on the regulatory requirements and should not depend on the outcome of the co-existence study. In TN UE RF requirements, TS3</w:t>
      </w:r>
      <w:r>
        <w:rPr>
          <w:sz w:val="21"/>
          <w:szCs w:val="21"/>
          <w:lang w:eastAsia="ja-JP"/>
        </w:rPr>
        <w:t>8</w:t>
      </w:r>
      <w:r w:rsidRPr="005123C5">
        <w:rPr>
          <w:sz w:val="21"/>
          <w:szCs w:val="21"/>
          <w:lang w:eastAsia="ja-JP"/>
        </w:rPr>
        <w:t>.101 [3], SEM requirements do not depend on the Power Class. In TS3</w:t>
      </w:r>
      <w:r>
        <w:rPr>
          <w:sz w:val="21"/>
          <w:szCs w:val="21"/>
          <w:lang w:eastAsia="ja-JP"/>
        </w:rPr>
        <w:t>8</w:t>
      </w:r>
      <w:r w:rsidRPr="005123C5">
        <w:rPr>
          <w:sz w:val="21"/>
          <w:szCs w:val="21"/>
          <w:lang w:eastAsia="ja-JP"/>
        </w:rPr>
        <w:t>.10</w:t>
      </w:r>
      <w:r>
        <w:rPr>
          <w:sz w:val="21"/>
          <w:szCs w:val="21"/>
          <w:lang w:eastAsia="ja-JP"/>
        </w:rPr>
        <w:t>1-5</w:t>
      </w:r>
      <w:r w:rsidRPr="005123C5">
        <w:rPr>
          <w:sz w:val="21"/>
          <w:szCs w:val="21"/>
          <w:lang w:eastAsia="ja-JP"/>
        </w:rPr>
        <w:t>, the SEM requirements follow the corresponding ones from TS3</w:t>
      </w:r>
      <w:r>
        <w:rPr>
          <w:sz w:val="21"/>
          <w:szCs w:val="21"/>
          <w:lang w:eastAsia="ja-JP"/>
        </w:rPr>
        <w:t>8</w:t>
      </w:r>
      <w:r w:rsidRPr="005123C5">
        <w:rPr>
          <w:sz w:val="21"/>
          <w:szCs w:val="21"/>
          <w:lang w:eastAsia="ja-JP"/>
        </w:rPr>
        <w:t>.101</w:t>
      </w:r>
      <w:r>
        <w:rPr>
          <w:sz w:val="21"/>
          <w:szCs w:val="21"/>
          <w:lang w:eastAsia="ja-JP"/>
        </w:rPr>
        <w:t>-1</w:t>
      </w:r>
      <w:r w:rsidRPr="005123C5">
        <w:rPr>
          <w:sz w:val="21"/>
          <w:szCs w:val="21"/>
          <w:lang w:eastAsia="ja-JP"/>
        </w:rPr>
        <w:t>, and those should also not depend on the Power Class.</w:t>
      </w:r>
    </w:p>
    <w:p w14:paraId="06B1ACFF" w14:textId="77777777" w:rsidR="005123C5" w:rsidRPr="005123C5" w:rsidRDefault="005123C5" w:rsidP="005123C5">
      <w:pPr>
        <w:rPr>
          <w:sz w:val="21"/>
          <w:szCs w:val="21"/>
          <w:lang w:eastAsia="ja-JP"/>
        </w:rPr>
      </w:pPr>
    </w:p>
    <w:p w14:paraId="04537AAE" w14:textId="54D9BC76" w:rsidR="00A95211" w:rsidRPr="001F0F93" w:rsidRDefault="00DE2D11" w:rsidP="00A95211">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4: The existing SEM requirements from PC3 should be re-used for other PCs as well, as these requirements </w:t>
      </w:r>
      <w:r w:rsidR="005123C5">
        <w:rPr>
          <w:b/>
          <w:bCs/>
          <w:sz w:val="21"/>
          <w:szCs w:val="21"/>
          <w:lang w:val="en-GB" w:eastAsia="en-GB"/>
        </w:rPr>
        <w:t xml:space="preserve">are specified based on the </w:t>
      </w:r>
      <w:r w:rsidRPr="001F0F93">
        <w:rPr>
          <w:b/>
          <w:bCs/>
          <w:sz w:val="21"/>
          <w:szCs w:val="21"/>
          <w:lang w:val="en-GB" w:eastAsia="en-GB"/>
        </w:rPr>
        <w:t xml:space="preserve">regulatory requirements. </w:t>
      </w:r>
    </w:p>
    <w:p w14:paraId="119615EB" w14:textId="77777777" w:rsidR="00A95211" w:rsidRPr="001F0F93" w:rsidRDefault="00A95211" w:rsidP="00A95211">
      <w:pPr>
        <w:overflowPunct w:val="0"/>
        <w:autoSpaceDE w:val="0"/>
        <w:autoSpaceDN w:val="0"/>
        <w:adjustRightInd w:val="0"/>
        <w:spacing w:after="180"/>
        <w:textAlignment w:val="baseline"/>
        <w:rPr>
          <w:b/>
          <w:i/>
          <w:iCs/>
          <w:sz w:val="21"/>
          <w:szCs w:val="21"/>
          <w:u w:val="single"/>
          <w:lang w:val="en-GB" w:eastAsia="ko-KR"/>
        </w:rPr>
      </w:pPr>
      <w:r w:rsidRPr="001F0F93">
        <w:rPr>
          <w:b/>
          <w:i/>
          <w:iCs/>
          <w:sz w:val="21"/>
          <w:szCs w:val="21"/>
          <w:u w:val="single"/>
          <w:lang w:val="en-GB" w:eastAsia="ko-KR"/>
        </w:rPr>
        <w:t>Issue 2-9: MOP tolerance</w:t>
      </w:r>
    </w:p>
    <w:p w14:paraId="45D38E65" w14:textId="77777777" w:rsidR="00A95211" w:rsidRPr="001F0F93" w:rsidRDefault="00A95211" w:rsidP="00A95211">
      <w:pPr>
        <w:overflowPunct w:val="0"/>
        <w:autoSpaceDE w:val="0"/>
        <w:autoSpaceDN w:val="0"/>
        <w:spacing w:after="180"/>
        <w:textAlignment w:val="baseline"/>
        <w:rPr>
          <w:b/>
          <w:bCs/>
          <w:i/>
          <w:iCs/>
          <w:sz w:val="21"/>
          <w:szCs w:val="21"/>
          <w:lang w:val="en-GB"/>
        </w:rPr>
      </w:pPr>
      <w:r w:rsidRPr="001F0F93">
        <w:rPr>
          <w:rFonts w:hint="eastAsia"/>
          <w:b/>
          <w:bCs/>
          <w:i/>
          <w:iCs/>
          <w:sz w:val="21"/>
          <w:szCs w:val="21"/>
          <w:lang w:val="en-GB"/>
        </w:rPr>
        <w:t>A</w:t>
      </w:r>
      <w:r w:rsidRPr="001F0F93">
        <w:rPr>
          <w:b/>
          <w:bCs/>
          <w:i/>
          <w:iCs/>
          <w:sz w:val="21"/>
          <w:szCs w:val="21"/>
          <w:lang w:val="en-GB"/>
        </w:rPr>
        <w:t xml:space="preserve">greement: </w:t>
      </w:r>
    </w:p>
    <w:p w14:paraId="600A911B" w14:textId="77777777" w:rsidR="00A95211" w:rsidRPr="001F0F93" w:rsidRDefault="00A95211" w:rsidP="00A95211">
      <w:pPr>
        <w:numPr>
          <w:ilvl w:val="0"/>
          <w:numId w:val="24"/>
        </w:numPr>
        <w:overflowPunct w:val="0"/>
        <w:autoSpaceDE w:val="0"/>
        <w:autoSpaceDN w:val="0"/>
        <w:adjustRightInd w:val="0"/>
        <w:spacing w:after="180"/>
        <w:textAlignment w:val="baseline"/>
        <w:rPr>
          <w:i/>
          <w:iCs/>
          <w:sz w:val="21"/>
          <w:szCs w:val="21"/>
          <w:lang w:val="en-GB" w:eastAsia="en-GB"/>
        </w:rPr>
      </w:pPr>
      <w:bookmarkStart w:id="0" w:name="_Hlk181692976"/>
      <w:r w:rsidRPr="001F0F93">
        <w:rPr>
          <w:i/>
          <w:iCs/>
          <w:sz w:val="21"/>
          <w:szCs w:val="21"/>
          <w:lang w:val="en-GB" w:eastAsia="en-GB"/>
        </w:rPr>
        <w:t xml:space="preserve">Re-use NR TN TS 38.101-1 nominal MOP and +2/[-3] tolerance for PC2 for NR-NTN </w:t>
      </w:r>
      <w:bookmarkEnd w:id="0"/>
      <w:r w:rsidRPr="001F0F93">
        <w:rPr>
          <w:i/>
          <w:iCs/>
          <w:sz w:val="21"/>
          <w:szCs w:val="21"/>
          <w:lang w:val="en-GB" w:eastAsia="en-GB"/>
        </w:rPr>
        <w:t>Non-Redcap HPUE</w:t>
      </w:r>
    </w:p>
    <w:p w14:paraId="2285DA87" w14:textId="73EA567B" w:rsidR="005123C5" w:rsidRPr="005123C5" w:rsidRDefault="005123C5" w:rsidP="00DE2D11">
      <w:pPr>
        <w:spacing w:after="180"/>
        <w:rPr>
          <w:sz w:val="21"/>
          <w:szCs w:val="21"/>
          <w:lang w:val="en-GB" w:eastAsia="en-GB"/>
        </w:rPr>
      </w:pPr>
      <w:r>
        <w:rPr>
          <w:sz w:val="21"/>
          <w:szCs w:val="21"/>
          <w:lang w:val="en-GB" w:eastAsia="en-GB"/>
        </w:rPr>
        <w:t>In the last meeting, we were the proponents of this proposal, and we still have the same view. We are however open to discuss the tightening of lower ([-3]) tolerance.</w:t>
      </w:r>
    </w:p>
    <w:p w14:paraId="4C3ACE43" w14:textId="401FE44B" w:rsidR="00DE2D11" w:rsidRDefault="00DE2D11" w:rsidP="00DE2D11">
      <w:pPr>
        <w:spacing w:after="180"/>
        <w:rPr>
          <w:b/>
          <w:bCs/>
          <w:sz w:val="21"/>
          <w:szCs w:val="21"/>
          <w:lang w:val="en-GB" w:eastAsia="en-GB"/>
        </w:rPr>
      </w:pPr>
      <w:r w:rsidRPr="001F0F93">
        <w:rPr>
          <w:b/>
          <w:bCs/>
          <w:sz w:val="21"/>
          <w:szCs w:val="21"/>
          <w:lang w:val="en-GB" w:eastAsia="en-GB"/>
        </w:rPr>
        <w:t>Proposal 5: Re-use NR TN TS 38.101-1 nominal MOP and +2/[-3] tolerance for PC2 for NR-NTN. Tightening of the lower bound could be considered.</w:t>
      </w:r>
    </w:p>
    <w:p w14:paraId="042CE804" w14:textId="396AAA8B" w:rsidR="0093341C" w:rsidRDefault="0093341C" w:rsidP="0093341C">
      <w:pPr>
        <w:pStyle w:val="Heading2"/>
        <w:rPr>
          <w:sz w:val="32"/>
          <w:szCs w:val="20"/>
          <w:lang w:val="en-US" w:eastAsia="en-GB"/>
        </w:rPr>
      </w:pPr>
      <w:r>
        <w:rPr>
          <w:sz w:val="32"/>
          <w:szCs w:val="20"/>
          <w:lang w:val="en-US" w:eastAsia="en-GB"/>
        </w:rPr>
        <w:t>SAR related</w:t>
      </w:r>
    </w:p>
    <w:p w14:paraId="1FD02BE6" w14:textId="509E45B4" w:rsidR="0093341C" w:rsidRDefault="0093341C" w:rsidP="0093341C">
      <w:pPr>
        <w:rPr>
          <w:sz w:val="21"/>
          <w:szCs w:val="21"/>
          <w:lang w:eastAsia="en-GB"/>
        </w:rPr>
      </w:pPr>
      <w:r w:rsidRPr="0093341C">
        <w:rPr>
          <w:sz w:val="21"/>
          <w:szCs w:val="21"/>
          <w:lang w:eastAsia="en-GB"/>
        </w:rPr>
        <w:t>Regard</w:t>
      </w:r>
      <w:r>
        <w:rPr>
          <w:sz w:val="21"/>
          <w:szCs w:val="21"/>
          <w:lang w:eastAsia="en-GB"/>
        </w:rPr>
        <w:t xml:space="preserve">ing the solution which should be specified for SAR compliance, the similar solution can be considered for both NR-NTN and IoT-NTN, where we have </w:t>
      </w:r>
      <w:r w:rsidR="00B723C7">
        <w:rPr>
          <w:sz w:val="21"/>
          <w:szCs w:val="21"/>
          <w:lang w:eastAsia="en-GB"/>
        </w:rPr>
        <w:t>made</w:t>
      </w:r>
      <w:r>
        <w:rPr>
          <w:sz w:val="21"/>
          <w:szCs w:val="21"/>
          <w:lang w:eastAsia="en-GB"/>
        </w:rPr>
        <w:t xml:space="preserve"> our proposal</w:t>
      </w:r>
      <w:r w:rsidR="00B723C7">
        <w:rPr>
          <w:sz w:val="21"/>
          <w:szCs w:val="21"/>
          <w:lang w:eastAsia="en-GB"/>
        </w:rPr>
        <w:t>s</w:t>
      </w:r>
      <w:r>
        <w:rPr>
          <w:sz w:val="21"/>
          <w:szCs w:val="21"/>
          <w:lang w:eastAsia="en-GB"/>
        </w:rPr>
        <w:t xml:space="preserve"> under AI “</w:t>
      </w:r>
      <w:r w:rsidRPr="0093341C">
        <w:rPr>
          <w:sz w:val="21"/>
          <w:szCs w:val="21"/>
          <w:lang w:eastAsia="en-GB"/>
        </w:rPr>
        <w:t>7.8.2.3.1</w:t>
      </w:r>
      <w:r>
        <w:rPr>
          <w:sz w:val="21"/>
          <w:szCs w:val="21"/>
          <w:lang w:eastAsia="en-GB"/>
        </w:rPr>
        <w:t xml:space="preserve"> </w:t>
      </w:r>
      <w:r w:rsidRPr="0093341C">
        <w:rPr>
          <w:sz w:val="21"/>
          <w:szCs w:val="21"/>
          <w:lang w:eastAsia="en-GB"/>
        </w:rPr>
        <w:t>Tx requirements</w:t>
      </w:r>
      <w:r>
        <w:rPr>
          <w:sz w:val="21"/>
          <w:szCs w:val="21"/>
          <w:lang w:eastAsia="en-GB"/>
        </w:rPr>
        <w:t>”</w:t>
      </w:r>
      <w:r w:rsidRPr="0093341C">
        <w:rPr>
          <w:sz w:val="21"/>
          <w:szCs w:val="21"/>
          <w:lang w:eastAsia="en-GB"/>
        </w:rPr>
        <w:t xml:space="preserve"> </w:t>
      </w:r>
      <w:r>
        <w:rPr>
          <w:sz w:val="21"/>
          <w:szCs w:val="21"/>
          <w:lang w:eastAsia="en-GB"/>
        </w:rPr>
        <w:t>for “</w:t>
      </w:r>
      <w:r w:rsidRPr="0093341C">
        <w:rPr>
          <w:sz w:val="21"/>
          <w:szCs w:val="21"/>
          <w:lang w:eastAsia="en-GB"/>
        </w:rPr>
        <w:t>IoT-</w:t>
      </w:r>
      <w:r w:rsidRPr="0093341C">
        <w:rPr>
          <w:sz w:val="21"/>
          <w:szCs w:val="21"/>
          <w:lang w:eastAsia="en-GB"/>
        </w:rPr>
        <w:lastRenderedPageBreak/>
        <w:t>NTN HPUE RF requirements</w:t>
      </w:r>
      <w:r>
        <w:rPr>
          <w:sz w:val="21"/>
          <w:szCs w:val="21"/>
          <w:lang w:eastAsia="en-GB"/>
        </w:rPr>
        <w:t>” [4], since the discussion is taking place there. We will copy our proposals to this contribution as well:</w:t>
      </w:r>
    </w:p>
    <w:p w14:paraId="25949665" w14:textId="77777777" w:rsidR="0093341C" w:rsidRDefault="0093341C" w:rsidP="0093341C">
      <w:pPr>
        <w:rPr>
          <w:sz w:val="21"/>
          <w:szCs w:val="21"/>
          <w:lang w:eastAsia="en-GB"/>
        </w:rPr>
      </w:pPr>
    </w:p>
    <w:p w14:paraId="7138CB25" w14:textId="0879F1DF" w:rsidR="0093341C" w:rsidRDefault="0093341C" w:rsidP="0093341C">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6</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2AD632D1" w14:textId="50F42C99" w:rsidR="0093341C" w:rsidRDefault="0093341C" w:rsidP="0093341C">
      <w:pPr>
        <w:spacing w:after="120"/>
        <w:rPr>
          <w:rFonts w:eastAsia="SimSun"/>
          <w:b/>
          <w:bCs/>
          <w:sz w:val="21"/>
          <w:szCs w:val="21"/>
          <w:lang w:val="en-GB"/>
        </w:rPr>
      </w:pPr>
      <w:r>
        <w:rPr>
          <w:rFonts w:eastAsia="SimSun"/>
          <w:b/>
          <w:bCs/>
          <w:sz w:val="21"/>
          <w:szCs w:val="21"/>
          <w:lang w:val="en-GB"/>
        </w:rPr>
        <w:t xml:space="preserve">Proposal </w:t>
      </w:r>
      <w:r>
        <w:rPr>
          <w:rFonts w:eastAsia="SimSun"/>
          <w:b/>
          <w:bCs/>
          <w:sz w:val="21"/>
          <w:szCs w:val="21"/>
          <w:lang w:val="en-GB"/>
        </w:rPr>
        <w:t>7</w:t>
      </w:r>
      <w:r>
        <w:rPr>
          <w:rFonts w:eastAsia="SimSun"/>
          <w:b/>
          <w:bCs/>
          <w:sz w:val="21"/>
          <w:szCs w:val="21"/>
          <w:lang w:val="en-GB"/>
        </w:rPr>
        <w:t>: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766856D0" w14:textId="77777777" w:rsidR="0093341C" w:rsidRPr="00F309F8" w:rsidRDefault="0093341C" w:rsidP="0093341C">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1BD75011"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2E27623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37F06B45"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1D4FF6E2"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1FBEF426" w14:textId="77777777" w:rsidR="0093341C" w:rsidRPr="00F309F8" w:rsidRDefault="0093341C" w:rsidP="0093341C">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r w:rsidRPr="00F309F8">
        <w:rPr>
          <w:rFonts w:eastAsia="SimSun"/>
          <w:b/>
          <w:bCs/>
          <w:sz w:val="21"/>
          <w:szCs w:val="21"/>
        </w:rPr>
        <w:t>P</w:t>
      </w:r>
      <w:r w:rsidRPr="00F309F8">
        <w:rPr>
          <w:rFonts w:eastAsia="SimSun"/>
          <w:b/>
          <w:bCs/>
          <w:sz w:val="21"/>
          <w:szCs w:val="21"/>
          <w:vertAlign w:val="subscript"/>
        </w:rPr>
        <w:t>CMAX,f,c</w:t>
      </w:r>
      <w:r w:rsidRPr="00F309F8">
        <w:rPr>
          <w:rFonts w:eastAsia="SimSun"/>
          <w:b/>
          <w:bCs/>
          <w:sz w:val="21"/>
          <w:szCs w:val="21"/>
          <w:lang w:val="en-GB"/>
        </w:rPr>
        <w:t>):</w:t>
      </w:r>
    </w:p>
    <w:p w14:paraId="7BA92A8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23D22769"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503EA602"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0E7383C8"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04A68AF1" w14:textId="77777777" w:rsidR="0093341C" w:rsidRPr="001F0F93" w:rsidRDefault="0093341C" w:rsidP="00DE2D11">
      <w:pPr>
        <w:spacing w:after="180"/>
        <w:rPr>
          <w:b/>
          <w:bCs/>
          <w:sz w:val="21"/>
          <w:szCs w:val="21"/>
          <w:lang w:val="en-GB" w:eastAsia="en-GB"/>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795B017"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8D5A25">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149DE8A4" w14:textId="77777777" w:rsidR="008D5A25" w:rsidRPr="001F0F93" w:rsidRDefault="008D5A25" w:rsidP="008D5A25">
      <w:pPr>
        <w:overflowPunct w:val="0"/>
        <w:autoSpaceDE w:val="0"/>
        <w:autoSpaceDN w:val="0"/>
        <w:spacing w:after="180"/>
        <w:textAlignment w:val="baseline"/>
        <w:rPr>
          <w:rFonts w:eastAsia="DengXian"/>
          <w:b/>
          <w:sz w:val="21"/>
          <w:szCs w:val="21"/>
          <w:lang w:val="en-GB"/>
        </w:rPr>
      </w:pPr>
      <w:r w:rsidRPr="001F0F93">
        <w:rPr>
          <w:rFonts w:eastAsia="DengXian"/>
          <w:b/>
          <w:sz w:val="21"/>
          <w:szCs w:val="21"/>
          <w:lang w:val="en-GB"/>
        </w:rPr>
        <w:t xml:space="preserve">Proposal 1: For non-handheld UEs, for a given operating band PC1.5 does not need to be specified if PC1 is specified. </w:t>
      </w:r>
    </w:p>
    <w:p w14:paraId="5DE80C6D" w14:textId="77777777" w:rsidR="008D5A25" w:rsidRPr="001F0F93" w:rsidRDefault="008D5A25" w:rsidP="008D5A25">
      <w:pPr>
        <w:spacing w:after="180"/>
        <w:rPr>
          <w:rFonts w:eastAsia="DengXian"/>
          <w:b/>
          <w:sz w:val="21"/>
          <w:szCs w:val="21"/>
          <w:lang w:val="en-GB"/>
        </w:rPr>
      </w:pPr>
      <w:r w:rsidRPr="001F0F93">
        <w:rPr>
          <w:rFonts w:eastAsia="DengXian"/>
          <w:b/>
          <w:sz w:val="21"/>
          <w:szCs w:val="21"/>
          <w:lang w:val="en-GB"/>
        </w:rPr>
        <w:t xml:space="preserve">Proposal 2: For TN, in Rel-19 only PC1.5 is being considered for 3Tx (not yet confirmed to be feasible), so 3Tx for PC1 should not be considered in this Release for NTN (for both handheld and non-handheld UEs). </w:t>
      </w:r>
    </w:p>
    <w:p w14:paraId="4D28F20B" w14:textId="77777777" w:rsidR="008D5A25" w:rsidRPr="001F0F93" w:rsidRDefault="008D5A25" w:rsidP="008D5A25">
      <w:pPr>
        <w:spacing w:after="180"/>
        <w:rPr>
          <w:rFonts w:eastAsia="DengXian"/>
          <w:b/>
          <w:sz w:val="21"/>
          <w:szCs w:val="21"/>
          <w:lang w:val="en-GB"/>
        </w:rPr>
      </w:pPr>
      <w:r w:rsidRPr="001F0F93">
        <w:rPr>
          <w:rFonts w:eastAsia="DengXian"/>
          <w:b/>
          <w:sz w:val="21"/>
          <w:szCs w:val="21"/>
          <w:lang w:val="en-GB"/>
        </w:rPr>
        <w:t xml:space="preserve">Proposal 3: PC1 with 2Tx should be feasible for non-handheld NTN UEs, since PC1/PC1.5 with 1Tx is feasible. </w:t>
      </w:r>
    </w:p>
    <w:p w14:paraId="7603B26D" w14:textId="77777777" w:rsidR="008D5A25" w:rsidRPr="001F0F93" w:rsidRDefault="008D5A25" w:rsidP="008D5A25">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4: The existing SEM requirements from PC3 should be re-used for other PCs as well, as these requirements </w:t>
      </w:r>
      <w:r>
        <w:rPr>
          <w:b/>
          <w:bCs/>
          <w:sz w:val="21"/>
          <w:szCs w:val="21"/>
          <w:lang w:val="en-GB" w:eastAsia="en-GB"/>
        </w:rPr>
        <w:t xml:space="preserve">are specified based on the </w:t>
      </w:r>
      <w:r w:rsidRPr="001F0F93">
        <w:rPr>
          <w:b/>
          <w:bCs/>
          <w:sz w:val="21"/>
          <w:szCs w:val="21"/>
          <w:lang w:val="en-GB" w:eastAsia="en-GB"/>
        </w:rPr>
        <w:t xml:space="preserve">regulatory requirements. </w:t>
      </w:r>
    </w:p>
    <w:p w14:paraId="748B0724" w14:textId="406CE859" w:rsidR="008D5A25" w:rsidRDefault="008D5A25" w:rsidP="008D5A25">
      <w:pPr>
        <w:spacing w:after="180"/>
        <w:rPr>
          <w:b/>
          <w:bCs/>
          <w:sz w:val="21"/>
          <w:szCs w:val="21"/>
          <w:lang w:val="en-GB" w:eastAsia="en-GB"/>
        </w:rPr>
      </w:pPr>
      <w:r w:rsidRPr="001F0F93">
        <w:rPr>
          <w:b/>
          <w:bCs/>
          <w:sz w:val="21"/>
          <w:szCs w:val="21"/>
          <w:lang w:val="en-GB" w:eastAsia="en-GB"/>
        </w:rPr>
        <w:t>Proposal 5: Re-use NR TN TS 38.101-1 nominal MOP and +2/[-3] tolerance for PC2 for NR-NTN. Tightening of the lower bound could be considered.</w:t>
      </w:r>
    </w:p>
    <w:p w14:paraId="13269E37" w14:textId="77777777" w:rsidR="0093341C" w:rsidRDefault="0093341C" w:rsidP="0093341C">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6</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4B9069D0" w14:textId="77777777" w:rsidR="0093341C" w:rsidRDefault="0093341C" w:rsidP="0093341C">
      <w:pPr>
        <w:spacing w:after="120"/>
        <w:rPr>
          <w:rFonts w:eastAsia="SimSun"/>
          <w:b/>
          <w:bCs/>
          <w:sz w:val="21"/>
          <w:szCs w:val="21"/>
          <w:lang w:val="en-GB"/>
        </w:rPr>
      </w:pPr>
      <w:r>
        <w:rPr>
          <w:rFonts w:eastAsia="SimSun"/>
          <w:b/>
          <w:bCs/>
          <w:sz w:val="21"/>
          <w:szCs w:val="21"/>
          <w:lang w:val="en-GB"/>
        </w:rPr>
        <w:t>Proposal 7: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7E38357D" w14:textId="77777777" w:rsidR="0093341C" w:rsidRPr="00F309F8" w:rsidRDefault="0093341C" w:rsidP="0093341C">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4D68EFF3"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4DCA1AB6"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lastRenderedPageBreak/>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5D6FA55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1F27B42F"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513828EB" w14:textId="77777777" w:rsidR="0093341C" w:rsidRPr="00F309F8" w:rsidRDefault="0093341C" w:rsidP="0093341C">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r w:rsidRPr="00F309F8">
        <w:rPr>
          <w:rFonts w:eastAsia="SimSun"/>
          <w:b/>
          <w:bCs/>
          <w:sz w:val="21"/>
          <w:szCs w:val="21"/>
        </w:rPr>
        <w:t>P</w:t>
      </w:r>
      <w:r w:rsidRPr="00F309F8">
        <w:rPr>
          <w:rFonts w:eastAsia="SimSun"/>
          <w:b/>
          <w:bCs/>
          <w:sz w:val="21"/>
          <w:szCs w:val="21"/>
          <w:vertAlign w:val="subscript"/>
        </w:rPr>
        <w:t>CMAX,f,c</w:t>
      </w:r>
      <w:r w:rsidRPr="00F309F8">
        <w:rPr>
          <w:rFonts w:eastAsia="SimSun"/>
          <w:b/>
          <w:bCs/>
          <w:sz w:val="21"/>
          <w:szCs w:val="21"/>
          <w:lang w:val="en-GB"/>
        </w:rPr>
        <w:t>):</w:t>
      </w:r>
    </w:p>
    <w:p w14:paraId="7286A1E6"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31FDEF4A"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75D1B1B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089C80E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33AD1C62" w14:textId="77777777" w:rsidR="0093341C" w:rsidRPr="008D5A25" w:rsidRDefault="0093341C" w:rsidP="008D5A25">
      <w:pPr>
        <w:spacing w:after="180"/>
        <w:rPr>
          <w:b/>
          <w:bCs/>
          <w:sz w:val="21"/>
          <w:szCs w:val="21"/>
          <w:lang w:val="en-GB" w:eastAsia="en-GB"/>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CCB89E7" w14:textId="4DBC0271" w:rsidR="00F649CE" w:rsidRPr="00DB233E" w:rsidRDefault="00F649CE" w:rsidP="00F649CE">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sidR="006A2D4D">
        <w:rPr>
          <w:sz w:val="22"/>
          <w:szCs w:val="22"/>
          <w:lang w:val="en-GB"/>
        </w:rPr>
        <w:t>1</w:t>
      </w:r>
      <w:r w:rsidR="00960B37">
        <w:rPr>
          <w:sz w:val="22"/>
          <w:szCs w:val="22"/>
          <w:lang w:val="en-GB"/>
        </w:rPr>
        <w:t>9</w:t>
      </w:r>
      <w:r w:rsidR="00755DC2">
        <w:rPr>
          <w:sz w:val="22"/>
          <w:szCs w:val="22"/>
          <w:lang w:val="en-GB"/>
        </w:rPr>
        <w:t>8</w:t>
      </w:r>
      <w:r w:rsidR="00960B37">
        <w:rPr>
          <w:sz w:val="22"/>
          <w:szCs w:val="22"/>
          <w:lang w:val="en-GB"/>
        </w:rPr>
        <w:t>5</w:t>
      </w:r>
      <w:r w:rsidRPr="00713173">
        <w:rPr>
          <w:sz w:val="22"/>
          <w:szCs w:val="22"/>
          <w:lang w:val="en-GB"/>
        </w:rPr>
        <w:t xml:space="preserve">, </w:t>
      </w:r>
      <w:r>
        <w:rPr>
          <w:sz w:val="22"/>
          <w:szCs w:val="22"/>
          <w:lang w:val="en-GB"/>
        </w:rPr>
        <w:t>“</w:t>
      </w:r>
      <w:r w:rsidR="00960B37" w:rsidRPr="00960B37">
        <w:rPr>
          <w:sz w:val="22"/>
          <w:szCs w:val="22"/>
          <w:lang w:val="en-GB"/>
        </w:rPr>
        <w:t>Revised WID on Enhanced requirements and conductive test methodology for NR NTN and IoT NTN</w:t>
      </w:r>
      <w:r>
        <w:rPr>
          <w:sz w:val="22"/>
          <w:szCs w:val="22"/>
          <w:lang w:val="en-GB"/>
        </w:rPr>
        <w:t>”, RAN#10</w:t>
      </w:r>
      <w:r w:rsidR="00960B37">
        <w:rPr>
          <w:sz w:val="22"/>
          <w:szCs w:val="22"/>
          <w:lang w:val="en-GB"/>
        </w:rPr>
        <w:t>5</w:t>
      </w:r>
      <w:r w:rsidRPr="00713173">
        <w:rPr>
          <w:sz w:val="22"/>
          <w:szCs w:val="22"/>
        </w:rPr>
        <w:t>.</w:t>
      </w:r>
      <w:bookmarkEnd w:id="1"/>
    </w:p>
    <w:p w14:paraId="7922DEC0" w14:textId="7994009C" w:rsidR="00DB233E" w:rsidRPr="00DB233E" w:rsidRDefault="00DB233E" w:rsidP="00F649CE">
      <w:pPr>
        <w:pStyle w:val="ListParagraph"/>
        <w:numPr>
          <w:ilvl w:val="0"/>
          <w:numId w:val="13"/>
        </w:numPr>
        <w:ind w:firstLineChars="0"/>
        <w:jc w:val="both"/>
        <w:rPr>
          <w:iCs/>
          <w:sz w:val="22"/>
          <w:szCs w:val="22"/>
        </w:rPr>
      </w:pPr>
      <w:bookmarkStart w:id="2" w:name="_Hlk180683891"/>
      <w:r w:rsidRPr="00DB233E">
        <w:rPr>
          <w:iCs/>
          <w:sz w:val="22"/>
          <w:szCs w:val="22"/>
        </w:rPr>
        <w:t>R4-</w:t>
      </w:r>
      <w:r>
        <w:rPr>
          <w:iCs/>
          <w:sz w:val="22"/>
          <w:szCs w:val="22"/>
        </w:rPr>
        <w:t>241</w:t>
      </w:r>
      <w:r w:rsidR="005514CB">
        <w:rPr>
          <w:iCs/>
          <w:sz w:val="22"/>
          <w:szCs w:val="22"/>
        </w:rPr>
        <w:t>712</w:t>
      </w:r>
      <w:r>
        <w:rPr>
          <w:iCs/>
          <w:sz w:val="22"/>
          <w:szCs w:val="22"/>
        </w:rPr>
        <w:t>2, “</w:t>
      </w:r>
      <w:r w:rsidR="005514CB" w:rsidRPr="005514CB">
        <w:rPr>
          <w:iCs/>
          <w:sz w:val="22"/>
          <w:szCs w:val="22"/>
        </w:rPr>
        <w:t>WF on co-existence study and HPUE for NR-NTN</w:t>
      </w:r>
      <w:r>
        <w:rPr>
          <w:iCs/>
          <w:sz w:val="22"/>
          <w:szCs w:val="22"/>
        </w:rPr>
        <w:t>”, Samsung, RAN4#112</w:t>
      </w:r>
      <w:r w:rsidR="005514CB">
        <w:rPr>
          <w:iCs/>
          <w:sz w:val="22"/>
          <w:szCs w:val="22"/>
        </w:rPr>
        <w:t>-bis</w:t>
      </w:r>
      <w:r>
        <w:rPr>
          <w:iCs/>
          <w:sz w:val="22"/>
          <w:szCs w:val="22"/>
        </w:rPr>
        <w:t>.</w:t>
      </w:r>
    </w:p>
    <w:bookmarkEnd w:id="2"/>
    <w:p w14:paraId="7DFB4B6A" w14:textId="4C1760CB" w:rsidR="00713173" w:rsidRPr="00B723C7" w:rsidRDefault="00F649CE" w:rsidP="00CF2487">
      <w:pPr>
        <w:pStyle w:val="ListParagraph"/>
        <w:numPr>
          <w:ilvl w:val="0"/>
          <w:numId w:val="13"/>
        </w:numPr>
        <w:ind w:firstLineChars="0"/>
        <w:jc w:val="both"/>
        <w:rPr>
          <w:rFonts w:ascii="Arial" w:hAnsi="Arial" w:cs="Arial"/>
          <w:iCs/>
          <w:sz w:val="22"/>
          <w:szCs w:val="22"/>
        </w:rPr>
      </w:pPr>
      <w:r w:rsidRPr="00C23869">
        <w:rPr>
          <w:sz w:val="22"/>
          <w:szCs w:val="22"/>
        </w:rPr>
        <w:t>3GPP TS 38.101-</w:t>
      </w:r>
      <w:r w:rsidR="00C23869" w:rsidRPr="00C23869">
        <w:rPr>
          <w:sz w:val="22"/>
          <w:szCs w:val="22"/>
        </w:rPr>
        <w:t>1</w:t>
      </w:r>
      <w:r w:rsidRPr="00C23869">
        <w:rPr>
          <w:sz w:val="22"/>
          <w:szCs w:val="22"/>
        </w:rPr>
        <w:t xml:space="preserve"> V18.</w:t>
      </w:r>
      <w:r w:rsidR="00D6494F">
        <w:rPr>
          <w:sz w:val="22"/>
          <w:szCs w:val="22"/>
        </w:rPr>
        <w:t>7</w:t>
      </w:r>
      <w:r w:rsidRPr="00C23869">
        <w:rPr>
          <w:sz w:val="22"/>
          <w:szCs w:val="22"/>
        </w:rPr>
        <w:t xml:space="preserve">.0, “NR; </w:t>
      </w:r>
      <w:r w:rsidR="00C23869" w:rsidRPr="00C23869">
        <w:rPr>
          <w:sz w:val="22"/>
          <w:szCs w:val="22"/>
        </w:rPr>
        <w:t>User Equipment (UE) radio transmission and reception;</w:t>
      </w:r>
      <w:r w:rsidR="00C23869">
        <w:rPr>
          <w:sz w:val="22"/>
          <w:szCs w:val="22"/>
        </w:rPr>
        <w:t xml:space="preserve"> </w:t>
      </w:r>
      <w:r w:rsidR="00C23869" w:rsidRPr="00C23869">
        <w:rPr>
          <w:sz w:val="22"/>
          <w:szCs w:val="22"/>
        </w:rPr>
        <w:t>Part 1: Range 1 Standalone</w:t>
      </w:r>
      <w:r w:rsidRPr="00C23869">
        <w:rPr>
          <w:sz w:val="22"/>
          <w:szCs w:val="22"/>
        </w:rPr>
        <w:t>”</w:t>
      </w:r>
    </w:p>
    <w:p w14:paraId="22BFB358" w14:textId="2F30BCF5" w:rsidR="00B723C7" w:rsidRPr="00B723C7" w:rsidRDefault="00B723C7" w:rsidP="00B723C7">
      <w:pPr>
        <w:pStyle w:val="ListParagraph"/>
        <w:numPr>
          <w:ilvl w:val="0"/>
          <w:numId w:val="13"/>
        </w:numPr>
        <w:ind w:firstLineChars="0"/>
        <w:jc w:val="both"/>
        <w:rPr>
          <w:iCs/>
          <w:sz w:val="22"/>
          <w:szCs w:val="22"/>
        </w:rPr>
      </w:pPr>
      <w:r w:rsidRPr="00DB233E">
        <w:rPr>
          <w:iCs/>
          <w:sz w:val="22"/>
          <w:szCs w:val="22"/>
        </w:rPr>
        <w:t>R4-</w:t>
      </w:r>
      <w:r>
        <w:rPr>
          <w:iCs/>
          <w:sz w:val="22"/>
          <w:szCs w:val="22"/>
        </w:rPr>
        <w:t>241</w:t>
      </w:r>
      <w:r>
        <w:rPr>
          <w:iCs/>
          <w:sz w:val="22"/>
          <w:szCs w:val="22"/>
        </w:rPr>
        <w:t>97</w:t>
      </w:r>
      <w:r>
        <w:rPr>
          <w:iCs/>
          <w:sz w:val="22"/>
          <w:szCs w:val="22"/>
        </w:rPr>
        <w:t>22, “</w:t>
      </w:r>
      <w:r w:rsidRPr="00B723C7">
        <w:rPr>
          <w:iCs/>
          <w:sz w:val="22"/>
          <w:szCs w:val="22"/>
        </w:rPr>
        <w:t>On UE RF Tx requirements for IoT-NTN HPUE</w:t>
      </w:r>
      <w:r>
        <w:rPr>
          <w:iCs/>
          <w:sz w:val="22"/>
          <w:szCs w:val="22"/>
        </w:rPr>
        <w:t xml:space="preserve">”, </w:t>
      </w:r>
      <w:r>
        <w:rPr>
          <w:iCs/>
          <w:sz w:val="22"/>
          <w:szCs w:val="22"/>
        </w:rPr>
        <w:t>Ericsson, Sony</w:t>
      </w:r>
      <w:r>
        <w:rPr>
          <w:iCs/>
          <w:sz w:val="22"/>
          <w:szCs w:val="22"/>
        </w:rPr>
        <w:t>, RAN4#11</w:t>
      </w:r>
      <w:r>
        <w:rPr>
          <w:iCs/>
          <w:sz w:val="22"/>
          <w:szCs w:val="22"/>
        </w:rPr>
        <w:t>3</w:t>
      </w:r>
      <w:r>
        <w:rPr>
          <w:iCs/>
          <w:sz w:val="22"/>
          <w:szCs w:val="22"/>
        </w:rPr>
        <w:t>.</w:t>
      </w:r>
    </w:p>
    <w:p w14:paraId="4F992F70" w14:textId="4CC860E9" w:rsidR="006977D1" w:rsidRPr="007777FE" w:rsidRDefault="006977D1" w:rsidP="007777FE">
      <w:pPr>
        <w:jc w:val="both"/>
        <w:rPr>
          <w:rFonts w:ascii="Arial" w:hAnsi="Arial" w:cs="Arial"/>
          <w:iCs/>
          <w:sz w:val="22"/>
          <w:szCs w:val="22"/>
        </w:rPr>
      </w:pPr>
    </w:p>
    <w:sectPr w:rsidR="006977D1" w:rsidRPr="007777F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3"/>
  </w:num>
  <w:num w:numId="3" w16cid:durableId="2114860448">
    <w:abstractNumId w:val="4"/>
  </w:num>
  <w:num w:numId="4" w16cid:durableId="236524273">
    <w:abstractNumId w:val="14"/>
  </w:num>
  <w:num w:numId="5" w16cid:durableId="124935407">
    <w:abstractNumId w:val="15"/>
  </w:num>
  <w:num w:numId="6" w16cid:durableId="910846781">
    <w:abstractNumId w:val="18"/>
  </w:num>
  <w:num w:numId="7" w16cid:durableId="730082185">
    <w:abstractNumId w:val="17"/>
  </w:num>
  <w:num w:numId="8" w16cid:durableId="575479695">
    <w:abstractNumId w:val="12"/>
  </w:num>
  <w:num w:numId="9" w16cid:durableId="1112823213">
    <w:abstractNumId w:val="11"/>
  </w:num>
  <w:num w:numId="10" w16cid:durableId="614143105">
    <w:abstractNumId w:val="16"/>
  </w:num>
  <w:num w:numId="11" w16cid:durableId="1213073752">
    <w:abstractNumId w:val="9"/>
  </w:num>
  <w:num w:numId="12" w16cid:durableId="341251335">
    <w:abstractNumId w:val="20"/>
  </w:num>
  <w:num w:numId="13" w16cid:durableId="338388040">
    <w:abstractNumId w:val="24"/>
  </w:num>
  <w:num w:numId="14" w16cid:durableId="683022094">
    <w:abstractNumId w:val="5"/>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3"/>
  </w:num>
  <w:num w:numId="18" w16cid:durableId="1737237130">
    <w:abstractNumId w:val="2"/>
  </w:num>
  <w:num w:numId="19" w16cid:durableId="1797213994">
    <w:abstractNumId w:val="1"/>
  </w:num>
  <w:num w:numId="20" w16cid:durableId="631712426">
    <w:abstractNumId w:val="3"/>
  </w:num>
  <w:num w:numId="21" w16cid:durableId="411582248">
    <w:abstractNumId w:val="19"/>
  </w:num>
  <w:num w:numId="22" w16cid:durableId="257518371">
    <w:abstractNumId w:val="6"/>
  </w:num>
  <w:num w:numId="23" w16cid:durableId="1330055923">
    <w:abstractNumId w:val="8"/>
  </w:num>
  <w:num w:numId="24" w16cid:durableId="73283000">
    <w:abstractNumId w:val="7"/>
  </w:num>
  <w:num w:numId="25" w16cid:durableId="1923754694">
    <w:abstractNumId w:val="22"/>
  </w:num>
  <w:num w:numId="26" w16cid:durableId="24819915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0E56"/>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16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0F93"/>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A13"/>
    <w:rsid w:val="00256B34"/>
    <w:rsid w:val="00257009"/>
    <w:rsid w:val="0025794A"/>
    <w:rsid w:val="00257CE6"/>
    <w:rsid w:val="00260162"/>
    <w:rsid w:val="00260EC7"/>
    <w:rsid w:val="00260FBC"/>
    <w:rsid w:val="00261288"/>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43D"/>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1D94"/>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82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23C5"/>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4C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26C3"/>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2ADF"/>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5D8"/>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0EEA"/>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7FE"/>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AA4"/>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539"/>
    <w:rsid w:val="008D2919"/>
    <w:rsid w:val="008D3035"/>
    <w:rsid w:val="008D3DF5"/>
    <w:rsid w:val="008D5922"/>
    <w:rsid w:val="008D5980"/>
    <w:rsid w:val="008D5A25"/>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41C"/>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1C3"/>
    <w:rsid w:val="009509AA"/>
    <w:rsid w:val="0095139A"/>
    <w:rsid w:val="009524F9"/>
    <w:rsid w:val="009530EC"/>
    <w:rsid w:val="00953E16"/>
    <w:rsid w:val="00953EF9"/>
    <w:rsid w:val="009542AC"/>
    <w:rsid w:val="00954F01"/>
    <w:rsid w:val="00956A19"/>
    <w:rsid w:val="009570F9"/>
    <w:rsid w:val="0095767C"/>
    <w:rsid w:val="009606B5"/>
    <w:rsid w:val="00960703"/>
    <w:rsid w:val="00960B37"/>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7051"/>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B01"/>
    <w:rsid w:val="00A9371E"/>
    <w:rsid w:val="00A93F9F"/>
    <w:rsid w:val="00A9420E"/>
    <w:rsid w:val="00A95047"/>
    <w:rsid w:val="00A9505C"/>
    <w:rsid w:val="00A95211"/>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4945"/>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3C7"/>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01A"/>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188"/>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1B04"/>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94F"/>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0B0"/>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33E"/>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2D11"/>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15C"/>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BD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0EB0"/>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3A39"/>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16AC"/>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40"/>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77721449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9b239327-9e80-40e4-b1b7-4394fed77a33"/>
    <ds:schemaRef ds:uri="http://schemas.microsoft.com/office/2006/metadata/properties"/>
    <ds:schemaRef ds:uri="http://schemas.microsoft.com/office/2006/documentManagement/types"/>
    <ds:schemaRef ds:uri="http://www.w3.org/XML/1998/namespace"/>
    <ds:schemaRef ds:uri="2f282d3b-eb4a-4b09-b61f-b9593442e286"/>
    <ds:schemaRef ds:uri="http://schemas.microsoft.com/office/infopath/2007/PartnerControls"/>
    <ds:schemaRef ds:uri="http://purl.org/dc/elements/1.1/"/>
    <ds:schemaRef ds:uri="http://schemas.openxmlformats.org/package/2006/metadata/core-properties"/>
    <ds:schemaRef ds:uri="http://purl.org/dc/terms/"/>
    <ds:schemaRef ds:uri="d8762117-8292-4133-b1c7-eab5c6487cfd"/>
    <ds:schemaRef ds:uri="http://schemas.microsoft.com/sharepoint/v3"/>
    <ds:schemaRef ds:uri="http://purl.org/dc/dcmitype/"/>
  </ds:schemaRefs>
</ds:datastoreItem>
</file>

<file path=customXml/itemProps5.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2114</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132</cp:revision>
  <cp:lastPrinted>2022-08-19T16:29:00Z</cp:lastPrinted>
  <dcterms:created xsi:type="dcterms:W3CDTF">2024-04-08T15:06:00Z</dcterms:created>
  <dcterms:modified xsi:type="dcterms:W3CDTF">2024-11-08T22:49:00Z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