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6D7B" w14:textId="7CE6F082" w:rsidR="00872F26" w:rsidRDefault="00872F26" w:rsidP="00872F26">
      <w:pPr>
        <w:spacing w:after="120"/>
        <w:ind w:left="1985" w:hanging="1985"/>
        <w:jc w:val="both"/>
        <w:rPr>
          <w:rFonts w:ascii="Arial" w:eastAsiaTheme="minorEastAsia" w:hAnsi="Arial" w:cs="Arial"/>
          <w:b/>
        </w:rPr>
      </w:pPr>
      <w:r>
        <w:rPr>
          <w:rFonts w:ascii="Arial" w:eastAsiaTheme="minorEastAsia" w:hAnsi="Arial" w:cs="Arial"/>
          <w:b/>
        </w:rPr>
        <w:t>3GPP TSG-RAN WG4 Meeting #113</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170761" w:rsidRPr="00170761">
        <w:rPr>
          <w:rFonts w:ascii="Arial" w:eastAsiaTheme="minorEastAsia" w:hAnsi="Arial" w:cs="Arial"/>
          <w:b/>
        </w:rPr>
        <w:t>2419380</w:t>
      </w:r>
    </w:p>
    <w:p w14:paraId="43ABC234" w14:textId="77777777" w:rsidR="00872F26" w:rsidRDefault="00872F26" w:rsidP="00872F26">
      <w:pPr>
        <w:spacing w:after="120"/>
        <w:ind w:left="1985" w:hanging="1985"/>
        <w:jc w:val="both"/>
        <w:rPr>
          <w:rFonts w:ascii="Arial" w:eastAsiaTheme="minorEastAsia" w:hAnsi="Arial" w:cs="Arial"/>
          <w:b/>
        </w:rPr>
      </w:pPr>
      <w:r>
        <w:rPr>
          <w:rFonts w:ascii="Arial" w:eastAsiaTheme="minorEastAsia" w:hAnsi="Arial" w:cs="Arial"/>
          <w:b/>
        </w:rPr>
        <w:t>Orlando, US, November</w:t>
      </w:r>
      <w:r>
        <w:rPr>
          <w:rFonts w:ascii="Arial" w:hAnsi="Arial" w:cs="Arial"/>
          <w:b/>
        </w:rPr>
        <w:t xml:space="preserve"> 18 </w:t>
      </w:r>
      <w:r>
        <w:rPr>
          <w:rFonts w:ascii="Arial" w:hAnsi="Arial" w:cs="Arial"/>
          <w:b/>
          <w:bCs/>
        </w:rPr>
        <w:t xml:space="preserve">– </w:t>
      </w:r>
      <w:r>
        <w:rPr>
          <w:rFonts w:ascii="Arial" w:hAnsi="Arial" w:cs="Arial"/>
          <w:b/>
        </w:rPr>
        <w:t>22</w:t>
      </w:r>
      <w:r>
        <w:rPr>
          <w:rFonts w:ascii="Arial" w:hAnsi="Arial" w:cs="Arial"/>
          <w:b/>
          <w:bCs/>
        </w:rPr>
        <w:t>, 2024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5007CEB6"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D72037">
        <w:rPr>
          <w:rFonts w:ascii="Arial" w:eastAsiaTheme="minorEastAsia" w:hAnsi="Arial" w:cs="Arial"/>
          <w:color w:val="000000"/>
          <w:sz w:val="22"/>
        </w:rPr>
        <w:t>7</w:t>
      </w:r>
      <w:r w:rsidR="0019209A">
        <w:rPr>
          <w:rFonts w:ascii="Arial" w:eastAsiaTheme="minorEastAsia" w:hAnsi="Arial" w:cs="Arial"/>
          <w:color w:val="000000"/>
          <w:sz w:val="22"/>
        </w:rPr>
        <w:t>.</w:t>
      </w:r>
      <w:r w:rsidR="009A1CFF">
        <w:rPr>
          <w:rFonts w:ascii="Arial" w:eastAsiaTheme="minorEastAsia" w:hAnsi="Arial" w:cs="Arial"/>
          <w:color w:val="000000"/>
          <w:sz w:val="22"/>
        </w:rPr>
        <w:t>1</w:t>
      </w:r>
      <w:r w:rsidR="0019209A">
        <w:rPr>
          <w:rFonts w:ascii="Arial" w:eastAsiaTheme="minorEastAsia" w:hAnsi="Arial" w:cs="Arial"/>
          <w:color w:val="000000"/>
          <w:sz w:val="22"/>
        </w:rPr>
        <w:t>.</w:t>
      </w:r>
      <w:r w:rsidR="009A1CFF">
        <w:rPr>
          <w:rFonts w:ascii="Arial" w:eastAsiaTheme="minorEastAsia" w:hAnsi="Arial" w:cs="Arial"/>
          <w:color w:val="000000"/>
          <w:sz w:val="22"/>
        </w:rPr>
        <w:t>1</w:t>
      </w:r>
      <w:r w:rsidR="000A69A1">
        <w:rPr>
          <w:rFonts w:ascii="Arial" w:eastAsiaTheme="minorEastAsia" w:hAnsi="Arial" w:cs="Arial"/>
          <w:color w:val="000000"/>
          <w:sz w:val="22"/>
        </w:rPr>
        <w:t>.</w:t>
      </w:r>
      <w:r w:rsidR="009A1CFF">
        <w:rPr>
          <w:rFonts w:ascii="Arial" w:eastAsiaTheme="minorEastAsia" w:hAnsi="Arial" w:cs="Arial"/>
          <w:color w:val="000000"/>
          <w:sz w:val="22"/>
        </w:rPr>
        <w:t>3</w:t>
      </w:r>
      <w:r w:rsidR="000A69A1">
        <w:rPr>
          <w:rFonts w:ascii="Arial" w:eastAsiaTheme="minorEastAsia" w:hAnsi="Arial" w:cs="Arial"/>
          <w:color w:val="000000"/>
          <w:sz w:val="22"/>
        </w:rPr>
        <w:t>.</w:t>
      </w:r>
      <w:r w:rsidR="009A1CFF">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5C2E17B"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2910A9">
        <w:rPr>
          <w:rFonts w:ascii="Arial" w:eastAsia="MS Mincho" w:hAnsi="Arial" w:cs="Arial"/>
          <w:sz w:val="22"/>
        </w:rPr>
        <w:t>the</w:t>
      </w:r>
      <w:r w:rsidR="00610C17">
        <w:rPr>
          <w:rFonts w:ascii="Arial" w:eastAsia="MS Mincho" w:hAnsi="Arial" w:cs="Arial"/>
          <w:sz w:val="22"/>
        </w:rPr>
        <w:t xml:space="preserve"> </w:t>
      </w:r>
      <w:r w:rsidR="00871689">
        <w:rPr>
          <w:rFonts w:ascii="Arial" w:eastAsia="MS Mincho" w:hAnsi="Arial" w:cs="Arial"/>
          <w:sz w:val="22"/>
        </w:rPr>
        <w:t xml:space="preserve">SRS </w:t>
      </w:r>
      <w:r w:rsidR="00D72037">
        <w:rPr>
          <w:rFonts w:ascii="Arial" w:eastAsia="MS Mincho" w:hAnsi="Arial" w:cs="Arial"/>
          <w:sz w:val="22"/>
        </w:rPr>
        <w:t>IL</w:t>
      </w:r>
      <w:r w:rsidR="00871689">
        <w:rPr>
          <w:rFonts w:ascii="Arial" w:eastAsia="MS Mincho" w:hAnsi="Arial" w:cs="Arial"/>
          <w:sz w:val="22"/>
        </w:rPr>
        <w:t xml:space="preserve"> imbalance</w:t>
      </w:r>
      <w:r w:rsidR="00944969">
        <w:rPr>
          <w:rFonts w:ascii="Arial" w:eastAsia="MS Mincho" w:hAnsi="Arial" w:cs="Arial"/>
          <w:sz w:val="22"/>
        </w:rPr>
        <w:t xml:space="preserve"> reporting</w:t>
      </w:r>
      <w:r w:rsidR="005D3ABE">
        <w:rPr>
          <w:rFonts w:ascii="Arial" w:eastAsia="MS Mincho" w:hAnsi="Arial" w:cs="Arial"/>
          <w:sz w:val="22"/>
        </w:rPr>
        <w:t xml:space="preserve"> details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5E8049B3" w:rsidR="009E4FDB" w:rsidRDefault="000A69A1" w:rsidP="00EC77FC">
      <w:pPr>
        <w:spacing w:after="120"/>
        <w:jc w:val="both"/>
        <w:rPr>
          <w:sz w:val="21"/>
          <w:szCs w:val="21"/>
        </w:rPr>
      </w:pPr>
      <w:r>
        <w:rPr>
          <w:sz w:val="21"/>
          <w:szCs w:val="21"/>
        </w:rPr>
        <w:t>In RAN#10</w:t>
      </w:r>
      <w:r w:rsidR="00A67E69">
        <w:rPr>
          <w:sz w:val="21"/>
          <w:szCs w:val="21"/>
        </w:rPr>
        <w:t>4</w:t>
      </w:r>
      <w:r>
        <w:rPr>
          <w:sz w:val="21"/>
          <w:szCs w:val="21"/>
        </w:rPr>
        <w:t xml:space="preserve">, a </w:t>
      </w:r>
      <w:r w:rsidR="000C76A4">
        <w:rPr>
          <w:sz w:val="21"/>
          <w:szCs w:val="21"/>
        </w:rPr>
        <w:t>revised</w:t>
      </w:r>
      <w:r>
        <w:rPr>
          <w:sz w:val="21"/>
          <w:szCs w:val="21"/>
        </w:rPr>
        <w:t xml:space="preserve"> WID has been approved [1] for “</w:t>
      </w:r>
      <w:r w:rsidRPr="000A69A1">
        <w:rPr>
          <w:sz w:val="21"/>
          <w:szCs w:val="21"/>
        </w:rPr>
        <w:t>UE RF enhancements for NR FR1/FR2 and EN-DC, Phase 4</w:t>
      </w:r>
      <w:r>
        <w:rPr>
          <w:sz w:val="21"/>
          <w:szCs w:val="21"/>
        </w:rPr>
        <w:t>” WI</w:t>
      </w:r>
      <w:r w:rsidR="00C07076" w:rsidRPr="009118AB">
        <w:rPr>
          <w:sz w:val="21"/>
          <w:szCs w:val="21"/>
        </w:rPr>
        <w:t>.</w:t>
      </w:r>
      <w:r>
        <w:rPr>
          <w:sz w:val="21"/>
          <w:szCs w:val="21"/>
        </w:rPr>
        <w:t xml:space="preserve"> One of the three main parts of the WI is to specify 6Rx UE RF requirements for both handheld and FWA UE</w:t>
      </w:r>
      <w:r w:rsidR="00BE10C9">
        <w:rPr>
          <w:sz w:val="21"/>
          <w:szCs w:val="21"/>
        </w:rPr>
        <w:t>s</w:t>
      </w:r>
      <w:r>
        <w:rPr>
          <w:sz w:val="21"/>
          <w:szCs w:val="21"/>
        </w:rPr>
        <w:t xml:space="preserve">, </w:t>
      </w:r>
      <w:r w:rsidR="00C7633D">
        <w:rPr>
          <w:sz w:val="21"/>
          <w:szCs w:val="21"/>
        </w:rPr>
        <w:t>and in this contribution we only</w:t>
      </w:r>
      <w:r w:rsidR="0056101A" w:rsidRPr="0056101A">
        <w:rPr>
          <w:sz w:val="21"/>
          <w:szCs w:val="21"/>
        </w:rPr>
        <w:t xml:space="preserve"> </w:t>
      </w:r>
      <w:r w:rsidR="0056101A">
        <w:rPr>
          <w:sz w:val="21"/>
          <w:szCs w:val="21"/>
        </w:rPr>
        <w:t>focus</w:t>
      </w:r>
      <w:r w:rsidR="00C7633D">
        <w:rPr>
          <w:sz w:val="21"/>
          <w:szCs w:val="21"/>
        </w:rPr>
        <w:t xml:space="preserve"> on the</w:t>
      </w:r>
      <w:r w:rsidR="0056101A" w:rsidRPr="0056101A">
        <w:t xml:space="preserve"> </w:t>
      </w:r>
      <w:r w:rsidR="0056101A">
        <w:t>s</w:t>
      </w:r>
      <w:r w:rsidR="0056101A" w:rsidRPr="0056101A">
        <w:rPr>
          <w:sz w:val="21"/>
          <w:szCs w:val="21"/>
        </w:rPr>
        <w:t xml:space="preserve">tudy </w:t>
      </w:r>
      <w:r w:rsidR="0056101A">
        <w:rPr>
          <w:sz w:val="21"/>
          <w:szCs w:val="21"/>
        </w:rPr>
        <w:t xml:space="preserve">of </w:t>
      </w:r>
      <w:r w:rsidR="0056101A" w:rsidRPr="0056101A">
        <w:rPr>
          <w:sz w:val="21"/>
          <w:szCs w:val="21"/>
        </w:rPr>
        <w:t>the issue of insertion loss imbalance across SRS ports</w:t>
      </w:r>
      <w:r>
        <w:rPr>
          <w:sz w:val="21"/>
          <w:szCs w:val="21"/>
        </w:rPr>
        <w:t>:</w:t>
      </w:r>
    </w:p>
    <w:p w14:paraId="08A60CB1" w14:textId="77777777" w:rsidR="000A69A1" w:rsidRPr="008E0CD1" w:rsidRDefault="000A69A1" w:rsidP="000A69A1">
      <w:pPr>
        <w:numPr>
          <w:ilvl w:val="0"/>
          <w:numId w:val="14"/>
        </w:numPr>
        <w:spacing w:after="120"/>
        <w:jc w:val="both"/>
        <w:rPr>
          <w:sz w:val="21"/>
          <w:szCs w:val="21"/>
        </w:rPr>
      </w:pPr>
      <w:r w:rsidRPr="008E0CD1">
        <w:rPr>
          <w:rFonts w:hint="eastAsia"/>
          <w:sz w:val="21"/>
          <w:szCs w:val="21"/>
        </w:rPr>
        <w:t>Specify</w:t>
      </w:r>
      <w:r w:rsidRPr="008E0CD1">
        <w:rPr>
          <w:sz w:val="21"/>
          <w:szCs w:val="21"/>
        </w:rPr>
        <w:t xml:space="preserve"> the core requirements to enable 6Rx for higher frequency bands (&gt;2.5GHz) targeting at support of handheld UE for NR FR1 single carrier </w:t>
      </w:r>
      <w:proofErr w:type="gramStart"/>
      <w:r w:rsidRPr="008E0CD1">
        <w:rPr>
          <w:sz w:val="21"/>
          <w:szCs w:val="21"/>
        </w:rPr>
        <w:t>scenario</w:t>
      </w:r>
      <w:proofErr w:type="gramEnd"/>
    </w:p>
    <w:p w14:paraId="7C34DD62" w14:textId="49865311" w:rsidR="00C7633D" w:rsidRDefault="00C7633D" w:rsidP="000A69A1">
      <w:pPr>
        <w:numPr>
          <w:ilvl w:val="1"/>
          <w:numId w:val="14"/>
        </w:numPr>
        <w:spacing w:after="120"/>
        <w:jc w:val="both"/>
        <w:rPr>
          <w:i/>
          <w:iCs/>
          <w:sz w:val="21"/>
          <w:szCs w:val="21"/>
        </w:rPr>
      </w:pPr>
      <w:r>
        <w:rPr>
          <w:i/>
          <w:iCs/>
          <w:sz w:val="21"/>
          <w:szCs w:val="21"/>
        </w:rPr>
        <w:t>…</w:t>
      </w:r>
    </w:p>
    <w:p w14:paraId="35019FA1" w14:textId="3582F66F"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Study the i</w:t>
      </w:r>
      <w:bookmarkStart w:id="0" w:name="_Hlk166087613"/>
      <w:r w:rsidRPr="000A69A1">
        <w:rPr>
          <w:rFonts w:hint="eastAsia"/>
          <w:i/>
          <w:iCs/>
          <w:sz w:val="21"/>
          <w:szCs w:val="21"/>
        </w:rPr>
        <w:t>ssue of insertion loss imbalance across SRS ports</w:t>
      </w:r>
      <w:r w:rsidRPr="000A69A1">
        <w:rPr>
          <w:i/>
          <w:iCs/>
          <w:sz w:val="21"/>
          <w:szCs w:val="21"/>
        </w:rPr>
        <w:t>,</w:t>
      </w:r>
      <w:r w:rsidRPr="000A69A1">
        <w:rPr>
          <w:rFonts w:hint="eastAsia"/>
          <w:i/>
          <w:iCs/>
          <w:sz w:val="21"/>
          <w:szCs w:val="21"/>
        </w:rPr>
        <w:t xml:space="preserve"> and </w:t>
      </w:r>
      <w:r w:rsidRPr="000A69A1">
        <w:rPr>
          <w:i/>
          <w:iCs/>
          <w:sz w:val="21"/>
          <w:szCs w:val="21"/>
        </w:rPr>
        <w:t xml:space="preserve">if justified, </w:t>
      </w:r>
      <w:r w:rsidRPr="000A69A1">
        <w:rPr>
          <w:rFonts w:hint="eastAsia"/>
          <w:i/>
          <w:iCs/>
          <w:sz w:val="21"/>
          <w:szCs w:val="21"/>
        </w:rPr>
        <w:t>specify the</w:t>
      </w:r>
      <w:r w:rsidRPr="000A69A1">
        <w:rPr>
          <w:i/>
          <w:iCs/>
          <w:sz w:val="21"/>
          <w:szCs w:val="21"/>
        </w:rPr>
        <w:t xml:space="preserve"> corresponding</w:t>
      </w:r>
      <w:r w:rsidRPr="000A69A1">
        <w:rPr>
          <w:rFonts w:hint="eastAsia"/>
          <w:i/>
          <w:iCs/>
          <w:sz w:val="21"/>
          <w:szCs w:val="21"/>
        </w:rPr>
        <w:t xml:space="preserve"> solution</w:t>
      </w:r>
      <w:bookmarkEnd w:id="0"/>
      <w:r w:rsidRPr="000A69A1">
        <w:rPr>
          <w:i/>
          <w:iCs/>
          <w:sz w:val="21"/>
          <w:szCs w:val="21"/>
        </w:rPr>
        <w:t>.</w:t>
      </w:r>
    </w:p>
    <w:p w14:paraId="0203E781" w14:textId="4676F7B9" w:rsidR="00B34473" w:rsidRDefault="00B34473" w:rsidP="00EC77FC">
      <w:pPr>
        <w:spacing w:after="120"/>
        <w:jc w:val="both"/>
        <w:rPr>
          <w:sz w:val="21"/>
          <w:szCs w:val="21"/>
          <w:lang w:eastAsia="ja-JP"/>
        </w:rPr>
      </w:pPr>
      <w:r>
        <w:rPr>
          <w:sz w:val="21"/>
          <w:szCs w:val="21"/>
          <w:lang w:eastAsia="ja-JP"/>
        </w:rPr>
        <w:t>Due to divergent views from different companies, this topic still hasn’t made a big progress so far. However, in the last meeting, in</w:t>
      </w:r>
      <w:r w:rsidRPr="003D6318">
        <w:rPr>
          <w:sz w:val="21"/>
          <w:szCs w:val="21"/>
          <w:lang w:eastAsia="ja-JP"/>
        </w:rPr>
        <w:t xml:space="preserve"> </w:t>
      </w:r>
      <w:r>
        <w:rPr>
          <w:sz w:val="21"/>
          <w:szCs w:val="21"/>
          <w:lang w:eastAsia="ja-JP"/>
        </w:rPr>
        <w:t>the approved WF [2] a candidate solution which captures different proposals and observations and combines them</w:t>
      </w:r>
      <w:r w:rsidR="00BA321E">
        <w:rPr>
          <w:sz w:val="21"/>
          <w:szCs w:val="21"/>
          <w:lang w:eastAsia="ja-JP"/>
        </w:rPr>
        <w:t xml:space="preserve"> into one</w:t>
      </w:r>
      <w:r>
        <w:rPr>
          <w:sz w:val="21"/>
          <w:szCs w:val="21"/>
          <w:lang w:eastAsia="ja-JP"/>
        </w:rPr>
        <w:t xml:space="preserve"> has been approved for further analysis.</w:t>
      </w:r>
    </w:p>
    <w:p w14:paraId="7AF893D5" w14:textId="5D0A4E1F" w:rsidR="00B34473" w:rsidRDefault="00B34473" w:rsidP="00EC77FC">
      <w:pPr>
        <w:spacing w:after="120"/>
        <w:jc w:val="both"/>
        <w:rPr>
          <w:sz w:val="21"/>
          <w:szCs w:val="21"/>
          <w:lang w:eastAsia="ja-JP"/>
        </w:rPr>
      </w:pPr>
      <w:r>
        <w:rPr>
          <w:sz w:val="21"/>
          <w:szCs w:val="21"/>
          <w:lang w:eastAsia="ja-JP"/>
        </w:rPr>
        <w:t xml:space="preserve">In this contribution, we will not repeat the detailed analysis on the general considerations for </w:t>
      </w:r>
      <w:r w:rsidR="000E4D68">
        <w:rPr>
          <w:sz w:val="21"/>
          <w:szCs w:val="21"/>
          <w:lang w:eastAsia="ja-JP"/>
        </w:rPr>
        <w:t xml:space="preserve">the </w:t>
      </w:r>
      <w:r>
        <w:rPr>
          <w:sz w:val="21"/>
          <w:szCs w:val="21"/>
          <w:lang w:eastAsia="ja-JP"/>
        </w:rPr>
        <w:t xml:space="preserve">SRS IL imbalance issue </w:t>
      </w:r>
      <w:r w:rsidR="000E4D68">
        <w:rPr>
          <w:sz w:val="21"/>
          <w:szCs w:val="21"/>
          <w:lang w:eastAsia="ja-JP"/>
        </w:rPr>
        <w:t>nor the justification for the introduction of reporting. Instead, we will only repeat the main observations and refer to the corresponding contributions where more details can be found.</w:t>
      </w:r>
    </w:p>
    <w:p w14:paraId="1FD3AE33" w14:textId="4C55CD7A" w:rsidR="000E4D68" w:rsidRDefault="000E4D68" w:rsidP="00EC77FC">
      <w:pPr>
        <w:spacing w:after="120"/>
        <w:jc w:val="both"/>
        <w:rPr>
          <w:sz w:val="21"/>
          <w:szCs w:val="21"/>
          <w:lang w:eastAsia="ja-JP"/>
        </w:rPr>
      </w:pPr>
      <w:r>
        <w:rPr>
          <w:sz w:val="21"/>
          <w:szCs w:val="21"/>
          <w:lang w:eastAsia="ja-JP"/>
        </w:rPr>
        <w:t>Regarding the existing UE behavior, a</w:t>
      </w:r>
      <w:r w:rsidRPr="000E4D68">
        <w:rPr>
          <w:sz w:val="21"/>
          <w:szCs w:val="21"/>
          <w:lang w:eastAsia="ja-JP"/>
        </w:rPr>
        <w:t>ccording to the current specifications, the UE shall compensate for the IL below the maximum configured output power for a resource, as additional Tx insertion loss is not accounted for in the SRS power control equations</w:t>
      </w:r>
      <w:r>
        <w:rPr>
          <w:sz w:val="21"/>
          <w:szCs w:val="21"/>
          <w:lang w:eastAsia="ja-JP"/>
        </w:rPr>
        <w:t xml:space="preserve"> (</w:t>
      </w:r>
      <w:r w:rsidR="0056101A">
        <w:rPr>
          <w:sz w:val="21"/>
          <w:szCs w:val="21"/>
          <w:lang w:eastAsia="ja-JP"/>
        </w:rPr>
        <w:t>see [3] for more details)</w:t>
      </w:r>
      <w:r w:rsidRPr="000E4D68">
        <w:rPr>
          <w:sz w:val="21"/>
          <w:szCs w:val="21"/>
          <w:lang w:eastAsia="ja-JP"/>
        </w:rPr>
        <w:t>.</w:t>
      </w:r>
    </w:p>
    <w:p w14:paraId="43089E7A" w14:textId="19DBD48B" w:rsidR="0056101A" w:rsidRDefault="0056101A" w:rsidP="00EC77FC">
      <w:pPr>
        <w:spacing w:after="120"/>
        <w:jc w:val="both"/>
        <w:rPr>
          <w:sz w:val="21"/>
          <w:szCs w:val="21"/>
        </w:rPr>
      </w:pPr>
      <w:r>
        <w:rPr>
          <w:sz w:val="21"/>
          <w:szCs w:val="21"/>
        </w:rPr>
        <w:t xml:space="preserve">Regarding the impact </w:t>
      </w:r>
      <w:r w:rsidRPr="0056101A">
        <w:rPr>
          <w:sz w:val="21"/>
          <w:szCs w:val="21"/>
        </w:rPr>
        <w:t>of SRS IL imbalance on NW performance degradation</w:t>
      </w:r>
      <w:r>
        <w:rPr>
          <w:sz w:val="21"/>
          <w:szCs w:val="21"/>
        </w:rPr>
        <w:t>, b</w:t>
      </w:r>
      <w:r w:rsidRPr="0056101A">
        <w:rPr>
          <w:sz w:val="21"/>
          <w:szCs w:val="21"/>
        </w:rPr>
        <w:t>ased on</w:t>
      </w:r>
      <w:r>
        <w:rPr>
          <w:sz w:val="21"/>
          <w:szCs w:val="21"/>
        </w:rPr>
        <w:t xml:space="preserve"> system-level</w:t>
      </w:r>
      <w:r w:rsidRPr="0056101A">
        <w:rPr>
          <w:sz w:val="21"/>
          <w:szCs w:val="21"/>
        </w:rPr>
        <w:t xml:space="preserve"> simulation results, </w:t>
      </w:r>
      <w:r>
        <w:rPr>
          <w:sz w:val="21"/>
          <w:szCs w:val="21"/>
        </w:rPr>
        <w:t xml:space="preserve">we have </w:t>
      </w:r>
      <w:r w:rsidR="005D3ABE">
        <w:rPr>
          <w:sz w:val="21"/>
          <w:szCs w:val="21"/>
        </w:rPr>
        <w:t>demonstrated</w:t>
      </w:r>
      <w:r>
        <w:rPr>
          <w:sz w:val="21"/>
          <w:szCs w:val="21"/>
        </w:rPr>
        <w:t xml:space="preserve"> that </w:t>
      </w:r>
      <w:r w:rsidRPr="0056101A">
        <w:rPr>
          <w:sz w:val="21"/>
          <w:szCs w:val="21"/>
        </w:rPr>
        <w:t>the SRS IL imbalance without reporting/compensation results in a non-negligible DL MIMO performance los</w:t>
      </w:r>
      <w:r>
        <w:rPr>
          <w:sz w:val="21"/>
          <w:szCs w:val="21"/>
        </w:rPr>
        <w:t xml:space="preserve">s </w:t>
      </w:r>
      <w:r>
        <w:rPr>
          <w:sz w:val="21"/>
          <w:szCs w:val="21"/>
          <w:lang w:eastAsia="ja-JP"/>
        </w:rPr>
        <w:t>(see [3] for more details)</w:t>
      </w:r>
      <w:r w:rsidRPr="000E4D68">
        <w:rPr>
          <w:sz w:val="21"/>
          <w:szCs w:val="21"/>
          <w:lang w:eastAsia="ja-JP"/>
        </w:rPr>
        <w:t>.</w:t>
      </w:r>
      <w:r>
        <w:rPr>
          <w:sz w:val="21"/>
          <w:szCs w:val="21"/>
        </w:rPr>
        <w:t xml:space="preserve"> </w:t>
      </w:r>
    </w:p>
    <w:p w14:paraId="6D930CAF" w14:textId="77777777" w:rsidR="00547A07" w:rsidRDefault="0056101A" w:rsidP="00EC77FC">
      <w:pPr>
        <w:spacing w:after="120"/>
        <w:jc w:val="both"/>
        <w:rPr>
          <w:sz w:val="21"/>
          <w:szCs w:val="21"/>
        </w:rPr>
      </w:pPr>
      <w:r>
        <w:rPr>
          <w:sz w:val="21"/>
          <w:szCs w:val="21"/>
        </w:rPr>
        <w:t>In our contribution for the previous meeting [4], we have provided lab testing results of a commercial UE</w:t>
      </w:r>
      <w:r w:rsidR="00547A07">
        <w:rPr>
          <w:sz w:val="21"/>
          <w:szCs w:val="21"/>
        </w:rPr>
        <w:t xml:space="preserve"> to verify the reciprocity of the Tx and Rx imbalance. We observed that </w:t>
      </w:r>
      <w:r w:rsidR="00547A07" w:rsidRPr="00547A07">
        <w:rPr>
          <w:sz w:val="21"/>
          <w:szCs w:val="21"/>
        </w:rPr>
        <w:t>the Tx imbalance is much larger than and non-reciprocal to the Rx imbalance</w:t>
      </w:r>
      <w:r w:rsidR="00547A07">
        <w:rPr>
          <w:sz w:val="21"/>
          <w:szCs w:val="21"/>
        </w:rPr>
        <w:t xml:space="preserve">. </w:t>
      </w:r>
    </w:p>
    <w:p w14:paraId="40123518" w14:textId="624C8491" w:rsidR="0056101A" w:rsidRPr="00B34473" w:rsidRDefault="00547A07" w:rsidP="00EC77FC">
      <w:pPr>
        <w:spacing w:after="120"/>
        <w:jc w:val="both"/>
        <w:rPr>
          <w:sz w:val="21"/>
          <w:szCs w:val="21"/>
        </w:rPr>
      </w:pPr>
      <w:r>
        <w:rPr>
          <w:sz w:val="21"/>
          <w:szCs w:val="21"/>
        </w:rPr>
        <w:t xml:space="preserve">We have also observed that </w:t>
      </w:r>
      <w:r w:rsidRPr="00547A07">
        <w:rPr>
          <w:sz w:val="21"/>
          <w:szCs w:val="21"/>
        </w:rPr>
        <w:t>contrary to TS38.213 and TS38.215, the total power at the antenna connectors is not split equally for multi-port SRS resources (e.g. 2T4R), and there is no specified test which verifies the expected behavior</w:t>
      </w:r>
      <w:r>
        <w:rPr>
          <w:sz w:val="21"/>
          <w:szCs w:val="21"/>
        </w:rPr>
        <w:t>. Hence, i</w:t>
      </w:r>
      <w:r w:rsidRPr="00547A07">
        <w:rPr>
          <w:sz w:val="21"/>
          <w:szCs w:val="21"/>
        </w:rPr>
        <w:t>n our view, it would be very beneficial to introduce testing of the SRS output power at least at the maximum power for multi-port SRS resources. In our contribution [</w:t>
      </w:r>
      <w:r w:rsidR="00FB6760">
        <w:rPr>
          <w:sz w:val="21"/>
          <w:szCs w:val="21"/>
        </w:rPr>
        <w:t>5</w:t>
      </w:r>
      <w:r w:rsidRPr="00547A07">
        <w:rPr>
          <w:sz w:val="21"/>
          <w:szCs w:val="21"/>
        </w:rPr>
        <w:t>]</w:t>
      </w:r>
      <w:r w:rsidR="009D41BB">
        <w:rPr>
          <w:sz w:val="21"/>
          <w:szCs w:val="21"/>
        </w:rPr>
        <w:t xml:space="preserve"> (</w:t>
      </w:r>
      <w:r w:rsidR="009D41BB" w:rsidRPr="00547A07">
        <w:rPr>
          <w:sz w:val="21"/>
          <w:szCs w:val="21"/>
        </w:rPr>
        <w:t>as a part of TEI-17</w:t>
      </w:r>
      <w:r w:rsidR="009D41BB">
        <w:rPr>
          <w:sz w:val="21"/>
          <w:szCs w:val="21"/>
        </w:rPr>
        <w:t>)</w:t>
      </w:r>
      <w:r w:rsidRPr="00547A07">
        <w:rPr>
          <w:sz w:val="21"/>
          <w:szCs w:val="21"/>
        </w:rPr>
        <w:t xml:space="preserve">, we have proposed new RMCs that should be introduced to TS38.101-1, </w:t>
      </w:r>
      <w:r w:rsidR="00F93942">
        <w:rPr>
          <w:sz w:val="21"/>
          <w:szCs w:val="21"/>
        </w:rPr>
        <w:t>where</w:t>
      </w:r>
      <w:r w:rsidRPr="00547A07">
        <w:rPr>
          <w:sz w:val="21"/>
          <w:szCs w:val="21"/>
        </w:rPr>
        <w:t xml:space="preserve"> the rest could be handled by RAN5.</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3F952316" w14:textId="0F2D784E" w:rsidR="00945CBA" w:rsidRDefault="00D2660A" w:rsidP="00053BA2">
      <w:pPr>
        <w:spacing w:after="160" w:line="259" w:lineRule="auto"/>
        <w:rPr>
          <w:rFonts w:eastAsia="Calibri"/>
          <w:sz w:val="21"/>
          <w:szCs w:val="21"/>
          <w:lang w:val="en-GB" w:eastAsia="ja-JP"/>
        </w:rPr>
      </w:pPr>
      <w:r>
        <w:rPr>
          <w:rFonts w:eastAsia="Calibri"/>
          <w:sz w:val="21"/>
          <w:szCs w:val="21"/>
          <w:lang w:val="en-GB" w:eastAsia="ja-JP"/>
        </w:rPr>
        <w:t xml:space="preserve">As stated in </w:t>
      </w:r>
      <w:r w:rsidR="00F93942">
        <w:rPr>
          <w:rFonts w:eastAsia="Calibri"/>
          <w:sz w:val="21"/>
          <w:szCs w:val="21"/>
          <w:lang w:val="en-GB" w:eastAsia="ja-JP"/>
        </w:rPr>
        <w:t>the introduction</w:t>
      </w:r>
      <w:r>
        <w:rPr>
          <w:rFonts w:eastAsia="Calibri"/>
          <w:sz w:val="21"/>
          <w:szCs w:val="21"/>
          <w:lang w:val="en-GB" w:eastAsia="ja-JP"/>
        </w:rPr>
        <w:t xml:space="preserve">, </w:t>
      </w:r>
      <w:r w:rsidR="00F93942">
        <w:rPr>
          <w:rFonts w:eastAsia="Calibri"/>
          <w:sz w:val="21"/>
          <w:szCs w:val="21"/>
          <w:lang w:val="en-GB" w:eastAsia="ja-JP"/>
        </w:rPr>
        <w:t xml:space="preserve">in </w:t>
      </w:r>
      <w:r>
        <w:rPr>
          <w:rFonts w:eastAsia="Calibri"/>
          <w:sz w:val="21"/>
          <w:szCs w:val="21"/>
          <w:lang w:val="en-GB" w:eastAsia="ja-JP"/>
        </w:rPr>
        <w:t>the approved</w:t>
      </w:r>
      <w:r w:rsidR="00053BA2">
        <w:rPr>
          <w:rFonts w:eastAsia="Calibri"/>
          <w:sz w:val="21"/>
          <w:szCs w:val="21"/>
          <w:lang w:val="en-GB" w:eastAsia="ja-JP"/>
        </w:rPr>
        <w:t xml:space="preserve"> WF [2]</w:t>
      </w:r>
      <w:r>
        <w:rPr>
          <w:rFonts w:eastAsia="Calibri"/>
          <w:sz w:val="21"/>
          <w:szCs w:val="21"/>
          <w:lang w:val="en-GB" w:eastAsia="ja-JP"/>
        </w:rPr>
        <w:t xml:space="preserve"> the following candidate solution</w:t>
      </w:r>
      <w:r w:rsidR="00F93942">
        <w:rPr>
          <w:rFonts w:eastAsia="Calibri"/>
          <w:sz w:val="21"/>
          <w:szCs w:val="21"/>
          <w:lang w:val="en-GB" w:eastAsia="ja-JP"/>
        </w:rPr>
        <w:t xml:space="preserve"> has been captured</w:t>
      </w:r>
      <w:r>
        <w:rPr>
          <w:rFonts w:eastAsia="Calibri"/>
          <w:sz w:val="21"/>
          <w:szCs w:val="21"/>
          <w:lang w:val="en-GB" w:eastAsia="ja-JP"/>
        </w:rPr>
        <w:t xml:space="preserve">, where the details are FFS: </w:t>
      </w:r>
    </w:p>
    <w:p w14:paraId="0CD26093" w14:textId="77777777" w:rsidR="00142733" w:rsidRDefault="00142733" w:rsidP="00053BA2">
      <w:pPr>
        <w:spacing w:after="160" w:line="259" w:lineRule="auto"/>
        <w:rPr>
          <w:rFonts w:eastAsia="Calibri"/>
          <w:sz w:val="21"/>
          <w:szCs w:val="21"/>
          <w:lang w:val="en-GB" w:eastAsia="ja-JP"/>
        </w:rPr>
      </w:pPr>
    </w:p>
    <w:p w14:paraId="22C2C0E7" w14:textId="77777777" w:rsidR="00142733" w:rsidRDefault="00142733" w:rsidP="00053BA2">
      <w:pPr>
        <w:spacing w:after="160" w:line="259" w:lineRule="auto"/>
        <w:rPr>
          <w:rFonts w:eastAsia="Calibri"/>
          <w:sz w:val="21"/>
          <w:szCs w:val="21"/>
          <w:lang w:val="en-GB" w:eastAsia="ja-JP"/>
        </w:rPr>
      </w:pPr>
    </w:p>
    <w:p w14:paraId="53CD236E" w14:textId="77777777" w:rsidR="00142733" w:rsidRDefault="00142733" w:rsidP="00053BA2">
      <w:pPr>
        <w:spacing w:after="160" w:line="259" w:lineRule="auto"/>
        <w:rPr>
          <w:rFonts w:eastAsia="Calibri"/>
          <w:sz w:val="21"/>
          <w:szCs w:val="21"/>
          <w:lang w:val="en-GB" w:eastAsia="ja-JP"/>
        </w:rPr>
      </w:pPr>
    </w:p>
    <w:tbl>
      <w:tblPr>
        <w:tblStyle w:val="TableGrid"/>
        <w:tblW w:w="0" w:type="auto"/>
        <w:tblLook w:val="04A0" w:firstRow="1" w:lastRow="0" w:firstColumn="1" w:lastColumn="0" w:noHBand="0" w:noVBand="1"/>
      </w:tblPr>
      <w:tblGrid>
        <w:gridCol w:w="9631"/>
      </w:tblGrid>
      <w:tr w:rsidR="00F93942" w14:paraId="117DF92F" w14:textId="77777777" w:rsidTr="00C13125">
        <w:tc>
          <w:tcPr>
            <w:tcW w:w="9631" w:type="dxa"/>
          </w:tcPr>
          <w:p w14:paraId="23B1B04C" w14:textId="77777777" w:rsidR="00F93942" w:rsidRPr="003D6318" w:rsidRDefault="00F93942" w:rsidP="00C13125">
            <w:pPr>
              <w:pStyle w:val="ListParagraph"/>
              <w:numPr>
                <w:ilvl w:val="0"/>
                <w:numId w:val="10"/>
              </w:numPr>
              <w:overflowPunct/>
              <w:autoSpaceDE/>
              <w:autoSpaceDN/>
              <w:adjustRightInd/>
              <w:spacing w:after="120"/>
              <w:ind w:left="720" w:firstLineChars="0"/>
              <w:textAlignment w:val="auto"/>
              <w:rPr>
                <w:rFonts w:eastAsia="SimSun"/>
                <w:sz w:val="21"/>
                <w:szCs w:val="21"/>
              </w:rPr>
            </w:pPr>
            <w:r w:rsidRPr="003D6318">
              <w:rPr>
                <w:rFonts w:eastAsia="SimSun"/>
                <w:sz w:val="21"/>
                <w:szCs w:val="21"/>
              </w:rPr>
              <w:lastRenderedPageBreak/>
              <w:t>Candidate solutions</w:t>
            </w:r>
          </w:p>
          <w:p w14:paraId="72C5073B" w14:textId="77777777" w:rsidR="00F93942" w:rsidRPr="003D6318" w:rsidRDefault="00F93942" w:rsidP="00C13125">
            <w:pPr>
              <w:pStyle w:val="ListParagraph"/>
              <w:numPr>
                <w:ilvl w:val="1"/>
                <w:numId w:val="10"/>
              </w:numPr>
              <w:overflowPunct/>
              <w:autoSpaceDE/>
              <w:autoSpaceDN/>
              <w:adjustRightInd/>
              <w:spacing w:after="120"/>
              <w:ind w:left="1440" w:firstLineChars="0"/>
              <w:textAlignment w:val="auto"/>
              <w:rPr>
                <w:rFonts w:eastAsia="SimSun"/>
                <w:sz w:val="21"/>
                <w:szCs w:val="21"/>
              </w:rPr>
            </w:pPr>
            <w:r w:rsidRPr="003D6318">
              <w:rPr>
                <w:rFonts w:eastAsia="SimSun"/>
                <w:sz w:val="21"/>
                <w:szCs w:val="21"/>
              </w:rPr>
              <w:t xml:space="preserve">Option 1: </w:t>
            </w:r>
          </w:p>
          <w:p w14:paraId="0BB36869" w14:textId="6D1FBC8C" w:rsidR="00F93942" w:rsidRPr="003D6318" w:rsidRDefault="00F93942" w:rsidP="00C13125">
            <w:pPr>
              <w:pStyle w:val="ListParagraph"/>
              <w:numPr>
                <w:ilvl w:val="2"/>
                <w:numId w:val="10"/>
              </w:numPr>
              <w:overflowPunct/>
              <w:autoSpaceDE/>
              <w:autoSpaceDN/>
              <w:adjustRightInd/>
              <w:spacing w:after="120"/>
              <w:ind w:left="2340" w:firstLineChars="0"/>
              <w:textAlignment w:val="auto"/>
              <w:rPr>
                <w:rFonts w:eastAsia="SimSun"/>
                <w:sz w:val="21"/>
                <w:szCs w:val="21"/>
              </w:rPr>
            </w:pPr>
            <w:r w:rsidRPr="003D6318">
              <w:rPr>
                <w:rFonts w:eastAsia="SimSun"/>
                <w:sz w:val="21"/>
                <w:szCs w:val="21"/>
              </w:rPr>
              <w:t xml:space="preserve">UE performs self-compensation of SRS IL up to its maximum Tx power </w:t>
            </w:r>
            <w:proofErr w:type="gramStart"/>
            <w:r w:rsidRPr="003D6318">
              <w:rPr>
                <w:rFonts w:eastAsia="SimSun"/>
                <w:sz w:val="21"/>
                <w:szCs w:val="21"/>
              </w:rPr>
              <w:t>capabilities</w:t>
            </w:r>
            <w:proofErr w:type="gramEnd"/>
          </w:p>
          <w:p w14:paraId="7CB92EED" w14:textId="77777777" w:rsidR="00F93942" w:rsidRPr="003D6318" w:rsidRDefault="00F93942" w:rsidP="00C13125">
            <w:pPr>
              <w:pStyle w:val="ListParagraph"/>
              <w:numPr>
                <w:ilvl w:val="2"/>
                <w:numId w:val="10"/>
              </w:numPr>
              <w:overflowPunct/>
              <w:autoSpaceDE/>
              <w:autoSpaceDN/>
              <w:adjustRightInd/>
              <w:spacing w:after="120"/>
              <w:ind w:left="2340" w:firstLineChars="0"/>
              <w:textAlignment w:val="auto"/>
              <w:rPr>
                <w:rFonts w:eastAsia="SimSun"/>
                <w:sz w:val="21"/>
                <w:szCs w:val="21"/>
              </w:rPr>
            </w:pPr>
            <w:r w:rsidRPr="003D6318">
              <w:rPr>
                <w:rFonts w:eastAsia="SimSun"/>
                <w:sz w:val="21"/>
                <w:szCs w:val="21"/>
              </w:rPr>
              <w:t xml:space="preserve">UE </w:t>
            </w:r>
            <w:proofErr w:type="gramStart"/>
            <w:r w:rsidRPr="003D6318">
              <w:rPr>
                <w:rFonts w:eastAsia="SimSun"/>
                <w:sz w:val="21"/>
                <w:szCs w:val="21"/>
              </w:rPr>
              <w:t>provides assistance to</w:t>
            </w:r>
            <w:proofErr w:type="gramEnd"/>
            <w:r w:rsidRPr="003D6318">
              <w:rPr>
                <w:rFonts w:eastAsia="SimSun"/>
                <w:sz w:val="21"/>
                <w:szCs w:val="21"/>
              </w:rPr>
              <w:t xml:space="preserve"> the network on SRS IL compensation (semi-static and/or dynamic), e.g.</w:t>
            </w:r>
          </w:p>
          <w:p w14:paraId="674A2F6F" w14:textId="77777777" w:rsidR="00F93942" w:rsidRPr="003D6318" w:rsidRDefault="00F93942" w:rsidP="00C13125">
            <w:pPr>
              <w:pStyle w:val="ListParagraph"/>
              <w:numPr>
                <w:ilvl w:val="3"/>
                <w:numId w:val="10"/>
              </w:numPr>
              <w:overflowPunct/>
              <w:autoSpaceDE/>
              <w:autoSpaceDN/>
              <w:adjustRightInd/>
              <w:spacing w:after="120"/>
              <w:ind w:left="3060" w:firstLineChars="0"/>
              <w:textAlignment w:val="auto"/>
              <w:rPr>
                <w:rFonts w:eastAsia="SimSun"/>
                <w:sz w:val="21"/>
                <w:szCs w:val="21"/>
              </w:rPr>
            </w:pPr>
            <w:r w:rsidRPr="003D6318">
              <w:rPr>
                <w:rFonts w:eastAsia="SimSun"/>
                <w:sz w:val="21"/>
                <w:szCs w:val="21"/>
              </w:rPr>
              <w:t>Per SRS resource power headroom reporting</w:t>
            </w:r>
          </w:p>
          <w:p w14:paraId="240AA08C" w14:textId="77777777" w:rsidR="00F93942" w:rsidRPr="003D6318" w:rsidRDefault="00F93942" w:rsidP="00C13125">
            <w:pPr>
              <w:pStyle w:val="ListParagraph"/>
              <w:numPr>
                <w:ilvl w:val="3"/>
                <w:numId w:val="10"/>
              </w:numPr>
              <w:overflowPunct/>
              <w:autoSpaceDE/>
              <w:autoSpaceDN/>
              <w:adjustRightInd/>
              <w:spacing w:after="120"/>
              <w:ind w:left="3060" w:firstLineChars="0"/>
              <w:textAlignment w:val="auto"/>
              <w:rPr>
                <w:rFonts w:eastAsia="SimSun"/>
                <w:sz w:val="21"/>
                <w:szCs w:val="21"/>
              </w:rPr>
            </w:pPr>
            <w:r w:rsidRPr="003D6318">
              <w:rPr>
                <w:sz w:val="21"/>
                <w:szCs w:val="21"/>
              </w:rPr>
              <w:t xml:space="preserve">Configured maximum output power per SRS resource </w:t>
            </w:r>
            <w:proofErr w:type="gramStart"/>
            <w:r w:rsidRPr="003D6318">
              <w:rPr>
                <w:sz w:val="21"/>
                <w:szCs w:val="21"/>
              </w:rPr>
              <w:t>reporting</w:t>
            </w:r>
            <w:proofErr w:type="gramEnd"/>
          </w:p>
          <w:p w14:paraId="46BDF1ED" w14:textId="77777777" w:rsidR="00F93942" w:rsidRPr="003D6318" w:rsidRDefault="00F93942" w:rsidP="00C13125">
            <w:pPr>
              <w:pStyle w:val="ListParagraph"/>
              <w:numPr>
                <w:ilvl w:val="3"/>
                <w:numId w:val="10"/>
              </w:numPr>
              <w:overflowPunct/>
              <w:autoSpaceDE/>
              <w:autoSpaceDN/>
              <w:adjustRightInd/>
              <w:spacing w:after="120"/>
              <w:ind w:left="3060" w:firstLineChars="0"/>
              <w:textAlignment w:val="auto"/>
              <w:rPr>
                <w:rFonts w:eastAsia="SimSun"/>
                <w:sz w:val="21"/>
                <w:szCs w:val="21"/>
              </w:rPr>
            </w:pPr>
            <w:r w:rsidRPr="003D6318">
              <w:rPr>
                <w:sz w:val="21"/>
                <w:szCs w:val="21"/>
              </w:rPr>
              <w:t>SRS insertion loss value reporting (per SRS resource or per UE)</w:t>
            </w:r>
          </w:p>
          <w:p w14:paraId="7FF6ED7B" w14:textId="77777777" w:rsidR="00F93942" w:rsidRPr="003D6318" w:rsidRDefault="00F93942" w:rsidP="00C13125">
            <w:pPr>
              <w:pStyle w:val="ListParagraph"/>
              <w:numPr>
                <w:ilvl w:val="3"/>
                <w:numId w:val="10"/>
              </w:numPr>
              <w:overflowPunct/>
              <w:autoSpaceDE/>
              <w:autoSpaceDN/>
              <w:adjustRightInd/>
              <w:spacing w:after="120"/>
              <w:ind w:left="3060" w:firstLineChars="0"/>
              <w:textAlignment w:val="auto"/>
              <w:rPr>
                <w:rFonts w:eastAsia="SimSun"/>
                <w:sz w:val="21"/>
                <w:szCs w:val="21"/>
              </w:rPr>
            </w:pPr>
            <w:r w:rsidRPr="003D6318">
              <w:rPr>
                <w:sz w:val="21"/>
                <w:szCs w:val="21"/>
              </w:rPr>
              <w:t>Other</w:t>
            </w:r>
          </w:p>
          <w:p w14:paraId="1E51FEE5" w14:textId="1417D857" w:rsidR="002D4459" w:rsidRPr="00983AFE" w:rsidRDefault="00F93942" w:rsidP="00983AFE">
            <w:pPr>
              <w:pStyle w:val="ListParagraph"/>
              <w:numPr>
                <w:ilvl w:val="2"/>
                <w:numId w:val="10"/>
              </w:numPr>
              <w:overflowPunct/>
              <w:autoSpaceDE/>
              <w:autoSpaceDN/>
              <w:adjustRightInd/>
              <w:spacing w:after="120"/>
              <w:ind w:left="2340" w:firstLineChars="0"/>
              <w:textAlignment w:val="auto"/>
              <w:rPr>
                <w:sz w:val="21"/>
                <w:szCs w:val="21"/>
              </w:rPr>
            </w:pPr>
            <w:r w:rsidRPr="003D6318">
              <w:rPr>
                <w:sz w:val="21"/>
                <w:szCs w:val="21"/>
              </w:rPr>
              <w:t xml:space="preserve">Details of SRS IL self-compensation and assistance framework are </w:t>
            </w:r>
            <w:proofErr w:type="gramStart"/>
            <w:r w:rsidRPr="003D6318">
              <w:rPr>
                <w:sz w:val="21"/>
                <w:szCs w:val="21"/>
              </w:rPr>
              <w:t>FFS</w:t>
            </w:r>
            <w:proofErr w:type="gramEnd"/>
          </w:p>
          <w:p w14:paraId="38904398" w14:textId="77777777" w:rsidR="00F93942" w:rsidRPr="003D6318" w:rsidRDefault="00F93942" w:rsidP="00C13125">
            <w:pPr>
              <w:pStyle w:val="ListParagraph"/>
              <w:numPr>
                <w:ilvl w:val="1"/>
                <w:numId w:val="10"/>
              </w:numPr>
              <w:overflowPunct/>
              <w:autoSpaceDE/>
              <w:autoSpaceDN/>
              <w:adjustRightInd/>
              <w:spacing w:after="120"/>
              <w:ind w:left="1440" w:firstLineChars="0"/>
              <w:textAlignment w:val="auto"/>
              <w:rPr>
                <w:rFonts w:eastAsia="SimSun"/>
              </w:rPr>
            </w:pPr>
            <w:r w:rsidRPr="003D6318">
              <w:rPr>
                <w:sz w:val="21"/>
                <w:szCs w:val="21"/>
              </w:rPr>
              <w:t>Other options are not precluded</w:t>
            </w:r>
          </w:p>
        </w:tc>
      </w:tr>
    </w:tbl>
    <w:p w14:paraId="59E48684" w14:textId="7F6B38F4" w:rsidR="00F93942" w:rsidRDefault="00F93942" w:rsidP="00F93942">
      <w:pPr>
        <w:spacing w:after="120"/>
        <w:jc w:val="both"/>
        <w:rPr>
          <w:sz w:val="21"/>
          <w:szCs w:val="21"/>
        </w:rPr>
      </w:pPr>
      <w:r>
        <w:rPr>
          <w:sz w:val="21"/>
          <w:szCs w:val="21"/>
        </w:rPr>
        <w:t>According to the WF, c</w:t>
      </w:r>
      <w:r w:rsidRPr="009D41BB">
        <w:rPr>
          <w:sz w:val="21"/>
          <w:szCs w:val="21"/>
        </w:rPr>
        <w:t>ompanies are “encouraged to provide expected benefit/performance gains and draftCRs so that the impacts to RAN1, RAN2, and RAN4 specifications (for RAN1 and RAN2, a description of the necessary changes is sufficient if draftCRs are not possible) can be further discussed”.</w:t>
      </w:r>
    </w:p>
    <w:p w14:paraId="6774A646" w14:textId="482913F0" w:rsidR="00F93942" w:rsidRDefault="00F93942" w:rsidP="00F93942">
      <w:pPr>
        <w:spacing w:after="120"/>
        <w:jc w:val="both"/>
        <w:rPr>
          <w:sz w:val="21"/>
          <w:szCs w:val="21"/>
        </w:rPr>
      </w:pPr>
      <w:r w:rsidRPr="00F93942">
        <w:rPr>
          <w:sz w:val="21"/>
          <w:szCs w:val="21"/>
        </w:rPr>
        <w:t>In the following</w:t>
      </w:r>
      <w:r>
        <w:rPr>
          <w:sz w:val="21"/>
          <w:szCs w:val="21"/>
        </w:rPr>
        <w:t xml:space="preserve">, we will propose the details </w:t>
      </w:r>
      <w:r w:rsidRPr="00F93942">
        <w:rPr>
          <w:sz w:val="21"/>
          <w:szCs w:val="21"/>
        </w:rPr>
        <w:t xml:space="preserve">of </w:t>
      </w:r>
      <w:r>
        <w:rPr>
          <w:sz w:val="21"/>
          <w:szCs w:val="21"/>
        </w:rPr>
        <w:t xml:space="preserve">the </w:t>
      </w:r>
      <w:r w:rsidRPr="00F93942">
        <w:rPr>
          <w:sz w:val="21"/>
          <w:szCs w:val="21"/>
        </w:rPr>
        <w:t>SRS IL self-compensation and assistance framework</w:t>
      </w:r>
      <w:r>
        <w:rPr>
          <w:sz w:val="21"/>
          <w:szCs w:val="21"/>
        </w:rPr>
        <w:t>, and then we will discuss the impact on the different specifications (on high-level).</w:t>
      </w:r>
    </w:p>
    <w:p w14:paraId="08DB6AB9" w14:textId="479CA846" w:rsidR="00BA321E" w:rsidRDefault="008328A7" w:rsidP="00F93942">
      <w:pPr>
        <w:spacing w:after="120"/>
        <w:jc w:val="both"/>
        <w:rPr>
          <w:sz w:val="21"/>
          <w:szCs w:val="21"/>
        </w:rPr>
      </w:pPr>
      <w:r>
        <w:rPr>
          <w:sz w:val="21"/>
          <w:szCs w:val="21"/>
        </w:rPr>
        <w:t>F</w:t>
      </w:r>
      <w:r w:rsidR="00BA321E">
        <w:rPr>
          <w:sz w:val="21"/>
          <w:szCs w:val="21"/>
        </w:rPr>
        <w:t xml:space="preserve">irst, we </w:t>
      </w:r>
      <w:r w:rsidR="005D3ABE">
        <w:rPr>
          <w:sz w:val="21"/>
          <w:szCs w:val="21"/>
        </w:rPr>
        <w:t>make the followi</w:t>
      </w:r>
      <w:r w:rsidR="008E79CD">
        <w:rPr>
          <w:sz w:val="21"/>
          <w:szCs w:val="21"/>
        </w:rPr>
        <w:t>ng proposals:</w:t>
      </w:r>
      <w:r w:rsidR="00BA321E">
        <w:rPr>
          <w:sz w:val="21"/>
          <w:szCs w:val="21"/>
        </w:rPr>
        <w:t xml:space="preserve"> </w:t>
      </w:r>
    </w:p>
    <w:p w14:paraId="026ECAC5" w14:textId="358D1DA7" w:rsidR="00BA321E"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1: </w:t>
      </w:r>
      <w:r w:rsidR="00BA321E" w:rsidRPr="006F4BD1">
        <w:rPr>
          <w:rFonts w:ascii="Times New Roman" w:hAnsi="Times New Roman" w:cs="Times New Roman"/>
          <w:sz w:val="21"/>
          <w:szCs w:val="24"/>
        </w:rPr>
        <w:t>Introduce reporting for the SRS insertion loss imbalance issue in Rel-19.</w:t>
      </w:r>
    </w:p>
    <w:p w14:paraId="558FA30B" w14:textId="19965029" w:rsidR="00BA321E"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2: </w:t>
      </w:r>
      <w:r w:rsidR="00BA321E" w:rsidRPr="006F4BD1">
        <w:rPr>
          <w:rFonts w:ascii="Times New Roman" w:hAnsi="Times New Roman" w:cs="Times New Roman"/>
          <w:sz w:val="21"/>
          <w:szCs w:val="24"/>
        </w:rPr>
        <w:t>The introduced solution for the SRS insertion loss imbalance issue should be applicable to all 2Rx/4Rx/6Rx/8Rx cases.</w:t>
      </w:r>
    </w:p>
    <w:p w14:paraId="64CD2C27" w14:textId="77777777" w:rsidR="00BA321E" w:rsidRDefault="00F93942" w:rsidP="00F93942">
      <w:pPr>
        <w:pStyle w:val="Heading2"/>
        <w:rPr>
          <w:sz w:val="32"/>
          <w:szCs w:val="20"/>
          <w:lang w:val="en-US"/>
        </w:rPr>
      </w:pPr>
      <w:r w:rsidRPr="00F93942">
        <w:rPr>
          <w:sz w:val="32"/>
          <w:szCs w:val="20"/>
          <w:lang w:val="en-US" w:eastAsia="ko-KR"/>
        </w:rPr>
        <w:t xml:space="preserve">Details of </w:t>
      </w:r>
      <w:r w:rsidR="00BA321E">
        <w:rPr>
          <w:sz w:val="32"/>
          <w:szCs w:val="20"/>
          <w:lang w:val="en-US" w:eastAsia="ko-KR"/>
        </w:rPr>
        <w:t>the proposed candidate solution</w:t>
      </w:r>
    </w:p>
    <w:p w14:paraId="4B343EA9" w14:textId="6691BF8D" w:rsidR="00F93942" w:rsidRPr="0036129D" w:rsidRDefault="00BA321E" w:rsidP="00BA321E">
      <w:pPr>
        <w:pStyle w:val="Heading3"/>
      </w:pPr>
      <w:r>
        <w:rPr>
          <w:lang w:eastAsia="ko-KR"/>
        </w:rPr>
        <w:t xml:space="preserve">Details of the </w:t>
      </w:r>
      <w:r w:rsidR="00F93942" w:rsidRPr="00F93942">
        <w:rPr>
          <w:lang w:eastAsia="ko-KR"/>
        </w:rPr>
        <w:t xml:space="preserve">SRS IL self-compensation </w:t>
      </w:r>
      <w:r>
        <w:rPr>
          <w:lang w:eastAsia="ko-KR"/>
        </w:rPr>
        <w:t>part of solution</w:t>
      </w:r>
    </w:p>
    <w:p w14:paraId="50604684" w14:textId="7AF7CB16" w:rsidR="00D2660A" w:rsidRDefault="00D2660A" w:rsidP="00053BA2">
      <w:pPr>
        <w:spacing w:after="160" w:line="259" w:lineRule="auto"/>
        <w:rPr>
          <w:rFonts w:eastAsia="Calibri"/>
          <w:sz w:val="21"/>
          <w:szCs w:val="21"/>
          <w:lang w:eastAsia="ja-JP"/>
        </w:rPr>
      </w:pPr>
      <w:r>
        <w:rPr>
          <w:rFonts w:eastAsia="Calibri"/>
          <w:sz w:val="21"/>
          <w:szCs w:val="21"/>
          <w:lang w:eastAsia="ja-JP"/>
        </w:rPr>
        <w:t xml:space="preserve">As discussed in </w:t>
      </w:r>
      <w:r w:rsidR="00F93942">
        <w:rPr>
          <w:rFonts w:eastAsia="Calibri"/>
          <w:sz w:val="21"/>
          <w:szCs w:val="21"/>
          <w:lang w:eastAsia="ja-JP"/>
        </w:rPr>
        <w:t>the introduction</w:t>
      </w:r>
      <w:r>
        <w:rPr>
          <w:rFonts w:eastAsia="Calibri"/>
          <w:sz w:val="21"/>
          <w:szCs w:val="21"/>
          <w:lang w:eastAsia="ja-JP"/>
        </w:rPr>
        <w:t xml:space="preserve">, the UE shall perform self-compensation </w:t>
      </w:r>
      <w:r w:rsidRPr="00D2660A">
        <w:rPr>
          <w:rFonts w:eastAsia="Calibri"/>
          <w:sz w:val="21"/>
          <w:szCs w:val="21"/>
          <w:lang w:eastAsia="ja-JP"/>
        </w:rPr>
        <w:t>for the IL below the maximum configured output power for a resource, as additional Tx insertion loss is not accounted for in the SRS power control equations</w:t>
      </w:r>
      <w:r>
        <w:rPr>
          <w:rFonts w:eastAsia="Calibri"/>
          <w:sz w:val="21"/>
          <w:szCs w:val="21"/>
          <w:lang w:eastAsia="ja-JP"/>
        </w:rPr>
        <w:t>.</w:t>
      </w:r>
      <w:r w:rsidR="008E79CD">
        <w:rPr>
          <w:rFonts w:eastAsia="Calibri"/>
          <w:sz w:val="21"/>
          <w:szCs w:val="21"/>
          <w:lang w:eastAsia="ja-JP"/>
        </w:rPr>
        <w:t xml:space="preserve"> Since P</w:t>
      </w:r>
      <w:r w:rsidR="008E79CD" w:rsidRPr="008E79CD">
        <w:rPr>
          <w:rFonts w:eastAsia="Calibri"/>
          <w:sz w:val="21"/>
          <w:szCs w:val="21"/>
          <w:vertAlign w:val="subscript"/>
          <w:lang w:eastAsia="ja-JP"/>
        </w:rPr>
        <w:t>CMAX</w:t>
      </w:r>
      <w:r w:rsidR="008E79CD">
        <w:rPr>
          <w:rFonts w:eastAsia="Calibri"/>
          <w:sz w:val="21"/>
          <w:szCs w:val="21"/>
          <w:lang w:eastAsia="ja-JP"/>
        </w:rPr>
        <w:t xml:space="preserve"> </w:t>
      </w:r>
      <w:proofErr w:type="gramStart"/>
      <w:r w:rsidR="008E79CD">
        <w:rPr>
          <w:rFonts w:eastAsia="Calibri"/>
          <w:sz w:val="21"/>
          <w:szCs w:val="21"/>
          <w:lang w:eastAsia="ja-JP"/>
        </w:rPr>
        <w:t>takes into account</w:t>
      </w:r>
      <w:proofErr w:type="gramEnd"/>
      <w:r w:rsidR="008E79CD">
        <w:rPr>
          <w:rFonts w:eastAsia="Calibri"/>
          <w:sz w:val="21"/>
          <w:szCs w:val="21"/>
          <w:lang w:eastAsia="ja-JP"/>
        </w:rPr>
        <w:t xml:space="preserve"> the insertion loss by allowing the maximum relaxation</w:t>
      </w:r>
      <w:r>
        <w:rPr>
          <w:rFonts w:eastAsia="Calibri"/>
          <w:sz w:val="21"/>
          <w:szCs w:val="21"/>
          <w:lang w:eastAsia="ja-JP"/>
        </w:rPr>
        <w:t xml:space="preserve"> </w:t>
      </w:r>
      <w:r w:rsidR="008E79CD">
        <w:rPr>
          <w:rFonts w:eastAsia="Calibri"/>
          <w:sz w:val="21"/>
          <w:szCs w:val="21"/>
          <w:lang w:eastAsia="ja-JP"/>
        </w:rPr>
        <w:t>ΔT</w:t>
      </w:r>
      <w:r w:rsidR="008E79CD" w:rsidRPr="008E79CD">
        <w:rPr>
          <w:rFonts w:eastAsia="Calibri"/>
          <w:sz w:val="21"/>
          <w:szCs w:val="21"/>
          <w:vertAlign w:val="subscript"/>
          <w:lang w:eastAsia="ja-JP"/>
        </w:rPr>
        <w:t>RxSRS</w:t>
      </w:r>
      <w:r w:rsidR="008E79CD">
        <w:rPr>
          <w:rFonts w:eastAsia="Calibri"/>
          <w:sz w:val="21"/>
          <w:szCs w:val="21"/>
          <w:lang w:eastAsia="ja-JP"/>
        </w:rPr>
        <w:t xml:space="preserve"> in </w:t>
      </w:r>
      <w:r w:rsidR="008328A7">
        <w:rPr>
          <w:rFonts w:eastAsia="Calibri"/>
          <w:sz w:val="21"/>
          <w:szCs w:val="21"/>
          <w:lang w:eastAsia="ja-JP"/>
        </w:rPr>
        <w:t>its</w:t>
      </w:r>
      <w:r w:rsidR="008E79CD">
        <w:rPr>
          <w:rFonts w:eastAsia="Calibri"/>
          <w:sz w:val="21"/>
          <w:szCs w:val="21"/>
          <w:lang w:eastAsia="ja-JP"/>
        </w:rPr>
        <w:t xml:space="preserve"> lower bound</w:t>
      </w:r>
      <w:r w:rsidR="00A80A09">
        <w:rPr>
          <w:rFonts w:eastAsia="Calibri"/>
          <w:sz w:val="21"/>
          <w:szCs w:val="21"/>
          <w:lang w:eastAsia="ja-JP"/>
        </w:rPr>
        <w:t xml:space="preserve"> and is defined for each SRS resource separately</w:t>
      </w:r>
      <w:r w:rsidR="008E79CD">
        <w:rPr>
          <w:rFonts w:eastAsia="Calibri"/>
          <w:sz w:val="21"/>
          <w:szCs w:val="21"/>
          <w:lang w:eastAsia="ja-JP"/>
        </w:rPr>
        <w:t>, each SRS transmission power below P</w:t>
      </w:r>
      <w:r w:rsidR="008E79CD" w:rsidRPr="008E79CD">
        <w:rPr>
          <w:rFonts w:eastAsia="Calibri"/>
          <w:sz w:val="21"/>
          <w:szCs w:val="21"/>
          <w:vertAlign w:val="subscript"/>
          <w:lang w:eastAsia="ja-JP"/>
        </w:rPr>
        <w:t>CMAX</w:t>
      </w:r>
      <w:r w:rsidR="008E79CD">
        <w:rPr>
          <w:rFonts w:eastAsia="Calibri"/>
          <w:sz w:val="21"/>
          <w:szCs w:val="21"/>
          <w:lang w:eastAsia="ja-JP"/>
        </w:rPr>
        <w:t xml:space="preserve"> </w:t>
      </w:r>
      <w:r w:rsidR="008328A7">
        <w:rPr>
          <w:rFonts w:eastAsia="Calibri"/>
          <w:sz w:val="21"/>
          <w:szCs w:val="21"/>
          <w:lang w:eastAsia="ja-JP"/>
        </w:rPr>
        <w:t>shall be</w:t>
      </w:r>
      <w:r w:rsidR="008E79CD">
        <w:rPr>
          <w:rFonts w:eastAsia="Calibri"/>
          <w:sz w:val="21"/>
          <w:szCs w:val="21"/>
          <w:lang w:eastAsia="ja-JP"/>
        </w:rPr>
        <w:t xml:space="preserve"> feasible. Thus</w:t>
      </w:r>
      <w:r>
        <w:rPr>
          <w:rFonts w:eastAsia="Calibri"/>
          <w:sz w:val="21"/>
          <w:szCs w:val="21"/>
          <w:lang w:eastAsia="ja-JP"/>
        </w:rPr>
        <w:t xml:space="preserve">, the UE should perform </w:t>
      </w:r>
      <w:r w:rsidR="008E79CD">
        <w:rPr>
          <w:rFonts w:eastAsia="Calibri"/>
          <w:sz w:val="21"/>
          <w:szCs w:val="21"/>
          <w:lang w:eastAsia="ja-JP"/>
        </w:rPr>
        <w:t xml:space="preserve">the </w:t>
      </w:r>
      <w:r>
        <w:rPr>
          <w:rFonts w:eastAsia="Calibri"/>
          <w:sz w:val="21"/>
          <w:szCs w:val="21"/>
          <w:lang w:eastAsia="ja-JP"/>
        </w:rPr>
        <w:t xml:space="preserve">self-compensation of the SRS IL up to </w:t>
      </w:r>
      <w:r w:rsidR="004176A5">
        <w:rPr>
          <w:rFonts w:eastAsia="Calibri"/>
          <w:sz w:val="21"/>
          <w:szCs w:val="21"/>
          <w:lang w:eastAsia="ja-JP"/>
        </w:rPr>
        <w:t>the maximum configured output power</w:t>
      </w:r>
      <w:r w:rsidR="008328A7">
        <w:rPr>
          <w:rFonts w:eastAsia="Calibri"/>
          <w:sz w:val="21"/>
          <w:szCs w:val="21"/>
          <w:lang w:eastAsia="ja-JP"/>
        </w:rPr>
        <w:t xml:space="preserve"> (rather than up to its maximum Tx </w:t>
      </w:r>
      <w:r w:rsidR="00A80A09">
        <w:rPr>
          <w:rFonts w:eastAsia="Calibri"/>
          <w:sz w:val="21"/>
          <w:szCs w:val="21"/>
          <w:lang w:eastAsia="ja-JP"/>
        </w:rPr>
        <w:t xml:space="preserve">power </w:t>
      </w:r>
      <w:r w:rsidR="008328A7">
        <w:rPr>
          <w:rFonts w:eastAsia="Calibri"/>
          <w:sz w:val="21"/>
          <w:szCs w:val="21"/>
          <w:lang w:eastAsia="ja-JP"/>
        </w:rPr>
        <w:t>capability)</w:t>
      </w:r>
      <w:r>
        <w:rPr>
          <w:rFonts w:eastAsia="Calibri"/>
          <w:sz w:val="21"/>
          <w:szCs w:val="21"/>
          <w:lang w:eastAsia="ja-JP"/>
        </w:rPr>
        <w:t xml:space="preserve">. </w:t>
      </w:r>
    </w:p>
    <w:p w14:paraId="023B8499" w14:textId="69D93B3B" w:rsidR="004176A5"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Observation 1: </w:t>
      </w:r>
      <w:r w:rsidR="004176A5" w:rsidRPr="006F4BD1">
        <w:rPr>
          <w:rFonts w:ascii="Times New Roman" w:hAnsi="Times New Roman" w:cs="Times New Roman"/>
          <w:sz w:val="21"/>
          <w:szCs w:val="24"/>
        </w:rPr>
        <w:t>The proposed solution shall mandate the UE to perform the self-compensation of the SRS IL up to its configured maximum output power, which is consistent with the current specifications.</w:t>
      </w:r>
    </w:p>
    <w:p w14:paraId="50329189" w14:textId="0600C4FD" w:rsidR="00BA321E" w:rsidRPr="00BA321E" w:rsidRDefault="00BA321E" w:rsidP="00BA321E">
      <w:pPr>
        <w:pStyle w:val="Heading3"/>
      </w:pPr>
      <w:r>
        <w:rPr>
          <w:lang w:eastAsia="ko-KR"/>
        </w:rPr>
        <w:t xml:space="preserve">Details of the </w:t>
      </w:r>
      <w:r w:rsidRPr="00F93942">
        <w:rPr>
          <w:lang w:eastAsia="ko-KR"/>
        </w:rPr>
        <w:t xml:space="preserve">assistance framework </w:t>
      </w:r>
      <w:r>
        <w:rPr>
          <w:lang w:eastAsia="ko-KR"/>
        </w:rPr>
        <w:t xml:space="preserve">part of </w:t>
      </w:r>
      <w:r w:rsidRPr="0036129D">
        <w:rPr>
          <w:lang w:eastAsia="ko-KR"/>
        </w:rPr>
        <w:t>solution</w:t>
      </w:r>
    </w:p>
    <w:p w14:paraId="28EE63E0" w14:textId="0DDFE4B3" w:rsidR="008B1AEC" w:rsidRDefault="008B1AEC" w:rsidP="001F1EA1">
      <w:pPr>
        <w:spacing w:after="120"/>
        <w:rPr>
          <w:rFonts w:eastAsia="SimSun"/>
          <w:sz w:val="21"/>
          <w:szCs w:val="21"/>
        </w:rPr>
      </w:pPr>
      <w:r>
        <w:rPr>
          <w:rFonts w:eastAsia="SimSun"/>
          <w:sz w:val="21"/>
          <w:szCs w:val="21"/>
        </w:rPr>
        <w:t xml:space="preserve">Since the UE cannot compensate for the IL at the maximum configured output power, it should </w:t>
      </w:r>
      <w:proofErr w:type="gramStart"/>
      <w:r>
        <w:rPr>
          <w:rFonts w:eastAsia="SimSun"/>
          <w:sz w:val="21"/>
          <w:szCs w:val="21"/>
        </w:rPr>
        <w:t>provide assistance to</w:t>
      </w:r>
      <w:proofErr w:type="gramEnd"/>
      <w:r>
        <w:rPr>
          <w:rFonts w:eastAsia="SimSun"/>
          <w:sz w:val="21"/>
          <w:szCs w:val="21"/>
        </w:rPr>
        <w:t xml:space="preserve"> the network on </w:t>
      </w:r>
      <w:r w:rsidR="00A80A09">
        <w:rPr>
          <w:rFonts w:eastAsia="SimSun"/>
          <w:sz w:val="21"/>
          <w:szCs w:val="21"/>
        </w:rPr>
        <w:t xml:space="preserve">the </w:t>
      </w:r>
      <w:r>
        <w:rPr>
          <w:rFonts w:eastAsia="SimSun"/>
          <w:sz w:val="21"/>
          <w:szCs w:val="21"/>
        </w:rPr>
        <w:t xml:space="preserve">SRS IL compensation. </w:t>
      </w:r>
    </w:p>
    <w:p w14:paraId="3996F0C8" w14:textId="77777777" w:rsidR="007C496A" w:rsidRDefault="008B1AEC" w:rsidP="001F1EA1">
      <w:pPr>
        <w:spacing w:after="120"/>
        <w:rPr>
          <w:rFonts w:eastAsia="SimSun"/>
          <w:sz w:val="21"/>
          <w:szCs w:val="21"/>
        </w:rPr>
      </w:pPr>
      <w:r>
        <w:rPr>
          <w:rFonts w:eastAsia="SimSun"/>
          <w:sz w:val="21"/>
          <w:szCs w:val="21"/>
        </w:rPr>
        <w:t xml:space="preserve">One candidate reporting parameter is the “SRS insertion loss value (per SRS resource or per UE)”. In our understanding, this is related to the actual insertion loss of different branches/SRS ports. </w:t>
      </w:r>
      <w:r w:rsidR="007C496A">
        <w:rPr>
          <w:rFonts w:eastAsia="SimSun"/>
          <w:sz w:val="21"/>
          <w:szCs w:val="21"/>
        </w:rPr>
        <w:t xml:space="preserve">In general, this could be a promising solution </w:t>
      </w:r>
      <w:proofErr w:type="gramStart"/>
      <w:r w:rsidR="007C496A">
        <w:rPr>
          <w:rFonts w:eastAsia="SimSun"/>
          <w:sz w:val="21"/>
          <w:szCs w:val="21"/>
        </w:rPr>
        <w:t>as long as</w:t>
      </w:r>
      <w:proofErr w:type="gramEnd"/>
      <w:r w:rsidR="007C496A">
        <w:rPr>
          <w:rFonts w:eastAsia="SimSun"/>
          <w:sz w:val="21"/>
          <w:szCs w:val="21"/>
        </w:rPr>
        <w:t xml:space="preserve"> the imbalance between the actual SRS transmission powers is equal to the actual insertion loss differences, which should be the case if the UE transmits at the maximum configured output power P</w:t>
      </w:r>
      <w:r w:rsidR="007C496A" w:rsidRPr="008B1AEC">
        <w:rPr>
          <w:rFonts w:eastAsia="SimSun"/>
          <w:sz w:val="21"/>
          <w:szCs w:val="21"/>
          <w:vertAlign w:val="subscript"/>
        </w:rPr>
        <w:t>CMAX</w:t>
      </w:r>
      <w:r w:rsidR="007C496A">
        <w:rPr>
          <w:rFonts w:eastAsia="SimSun"/>
          <w:sz w:val="21"/>
          <w:szCs w:val="21"/>
        </w:rPr>
        <w:t xml:space="preserve"> at each SRS port. </w:t>
      </w:r>
    </w:p>
    <w:p w14:paraId="3AF4D178" w14:textId="77777777" w:rsidR="007C496A" w:rsidRDefault="007C496A" w:rsidP="007C496A">
      <w:pPr>
        <w:spacing w:after="120"/>
        <w:rPr>
          <w:rFonts w:eastAsia="SimSun"/>
          <w:sz w:val="21"/>
          <w:szCs w:val="21"/>
        </w:rPr>
      </w:pPr>
      <w:r>
        <w:rPr>
          <w:rFonts w:eastAsia="SimSun"/>
          <w:sz w:val="21"/>
          <w:szCs w:val="21"/>
        </w:rPr>
        <w:t xml:space="preserve">However, as it can be concluded from the online discussions, </w:t>
      </w:r>
      <w:r w:rsidRPr="001A2FDB">
        <w:rPr>
          <w:rFonts w:eastAsia="SimSun"/>
          <w:sz w:val="21"/>
          <w:szCs w:val="21"/>
        </w:rPr>
        <w:t xml:space="preserve">the UE behavior </w:t>
      </w:r>
      <w:r>
        <w:rPr>
          <w:rFonts w:eastAsia="SimSun"/>
          <w:sz w:val="21"/>
          <w:szCs w:val="21"/>
        </w:rPr>
        <w:t>in the field on</w:t>
      </w:r>
      <w:r w:rsidRPr="001A2FDB">
        <w:rPr>
          <w:rFonts w:eastAsia="SimSun"/>
          <w:sz w:val="21"/>
          <w:szCs w:val="21"/>
        </w:rPr>
        <w:t xml:space="preserve"> the </w:t>
      </w:r>
      <w:r>
        <w:rPr>
          <w:rFonts w:eastAsia="SimSun"/>
          <w:sz w:val="21"/>
          <w:szCs w:val="21"/>
        </w:rPr>
        <w:t xml:space="preserve">IL </w:t>
      </w:r>
      <w:r w:rsidRPr="001A2FDB">
        <w:rPr>
          <w:rFonts w:eastAsia="SimSun"/>
          <w:sz w:val="21"/>
          <w:szCs w:val="21"/>
        </w:rPr>
        <w:t xml:space="preserve">compensation </w:t>
      </w:r>
      <w:r>
        <w:rPr>
          <w:rFonts w:eastAsia="SimSun"/>
          <w:sz w:val="21"/>
          <w:szCs w:val="21"/>
        </w:rPr>
        <w:t xml:space="preserve">may be </w:t>
      </w:r>
      <w:r w:rsidRPr="001A2FDB">
        <w:rPr>
          <w:rFonts w:eastAsia="SimSun"/>
          <w:sz w:val="21"/>
          <w:szCs w:val="21"/>
        </w:rPr>
        <w:t>unpredictable</w:t>
      </w:r>
      <w:r>
        <w:rPr>
          <w:rFonts w:eastAsia="SimSun"/>
          <w:sz w:val="21"/>
          <w:szCs w:val="21"/>
        </w:rPr>
        <w:t xml:space="preserve">. If the network </w:t>
      </w:r>
      <w:proofErr w:type="gramStart"/>
      <w:r>
        <w:rPr>
          <w:rFonts w:eastAsia="SimSun"/>
          <w:sz w:val="21"/>
          <w:szCs w:val="21"/>
        </w:rPr>
        <w:t>takes into account</w:t>
      </w:r>
      <w:proofErr w:type="gramEnd"/>
      <w:r>
        <w:rPr>
          <w:rFonts w:eastAsia="SimSun"/>
          <w:sz w:val="21"/>
          <w:szCs w:val="21"/>
        </w:rPr>
        <w:t xml:space="preserve"> the reported actual “SRS insertion loss value” and the UE compensates for the insertion loss, that may introduce even more inaccuracy for the DL CSI estimation. </w:t>
      </w:r>
    </w:p>
    <w:p w14:paraId="5029A95E" w14:textId="51E82F0D" w:rsidR="008B1AEC" w:rsidRDefault="007C496A" w:rsidP="001F1EA1">
      <w:pPr>
        <w:spacing w:after="120"/>
        <w:rPr>
          <w:rFonts w:eastAsia="SimSun"/>
          <w:sz w:val="21"/>
          <w:szCs w:val="21"/>
        </w:rPr>
      </w:pPr>
      <w:r>
        <w:rPr>
          <w:rFonts w:eastAsia="SimSun"/>
          <w:sz w:val="21"/>
          <w:szCs w:val="21"/>
        </w:rPr>
        <w:lastRenderedPageBreak/>
        <w:t>In addition, there is no guarantee that the UE will set the maximum configured output power according to the actual insertion loss</w:t>
      </w:r>
      <w:r w:rsidR="00F52C73">
        <w:rPr>
          <w:rFonts w:eastAsia="SimSun"/>
          <w:sz w:val="21"/>
          <w:szCs w:val="21"/>
        </w:rPr>
        <w:t xml:space="preserve"> (for example, the chosen </w:t>
      </w:r>
      <w:r w:rsidR="00F52C73">
        <w:rPr>
          <w:rFonts w:eastAsia="Calibri"/>
          <w:sz w:val="21"/>
          <w:szCs w:val="21"/>
          <w:lang w:eastAsia="ja-JP"/>
        </w:rPr>
        <w:t>P</w:t>
      </w:r>
      <w:r w:rsidR="00F52C73" w:rsidRPr="008E79CD">
        <w:rPr>
          <w:rFonts w:eastAsia="Calibri"/>
          <w:sz w:val="21"/>
          <w:szCs w:val="21"/>
          <w:vertAlign w:val="subscript"/>
          <w:lang w:eastAsia="ja-JP"/>
        </w:rPr>
        <w:t>CMAX</w:t>
      </w:r>
      <w:r w:rsidR="00F52C73">
        <w:rPr>
          <w:rFonts w:eastAsia="SimSun"/>
          <w:sz w:val="21"/>
          <w:szCs w:val="21"/>
        </w:rPr>
        <w:t xml:space="preserve"> could be “overoptimistic”), and in that case only a partial compensation of the IL may occur.</w:t>
      </w:r>
      <w:r w:rsidR="0039152E">
        <w:rPr>
          <w:rFonts w:eastAsia="SimSun"/>
          <w:sz w:val="21"/>
          <w:szCs w:val="21"/>
        </w:rPr>
        <w:t xml:space="preserve"> </w:t>
      </w:r>
    </w:p>
    <w:p w14:paraId="7E8F3760" w14:textId="66DB8EC4" w:rsidR="00CC32EF" w:rsidRPr="006F4BD1" w:rsidRDefault="006F4BD1" w:rsidP="006F4BD1">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 xml:space="preserve">Observation 2: </w:t>
      </w:r>
      <w:hyperlink w:anchor="_Toc163511217" w:history="1">
        <w:r w:rsidR="00CC32EF" w:rsidRPr="006F4BD1">
          <w:rPr>
            <w:rFonts w:ascii="Times New Roman" w:eastAsia="SimSun" w:hAnsi="Times New Roman" w:cs="Times New Roman"/>
            <w:sz w:val="21"/>
            <w:szCs w:val="21"/>
          </w:rPr>
          <w:t>Reporting of the actual insertion loss (or the actual IL imbalance), i.e. “</w:t>
        </w:r>
        <w:r w:rsidR="00CC32EF" w:rsidRPr="006F4BD1">
          <w:rPr>
            <w:rFonts w:ascii="Times New Roman" w:hAnsi="Times New Roman" w:cs="Times New Roman"/>
            <w:sz w:val="21"/>
            <w:szCs w:val="21"/>
          </w:rPr>
          <w:t>SRS insertion loss value</w:t>
        </w:r>
        <w:r w:rsidRPr="006F4BD1">
          <w:rPr>
            <w:rFonts w:ascii="Times New Roman" w:hAnsi="Times New Roman" w:cs="Times New Roman"/>
            <w:sz w:val="21"/>
            <w:szCs w:val="21"/>
          </w:rPr>
          <w:t xml:space="preserve"> </w:t>
        </w:r>
        <w:r w:rsidR="00CC32EF" w:rsidRPr="006F4BD1">
          <w:rPr>
            <w:rFonts w:ascii="Times New Roman" w:hAnsi="Times New Roman" w:cs="Times New Roman"/>
            <w:sz w:val="21"/>
            <w:szCs w:val="21"/>
          </w:rPr>
          <w:t>reporting</w:t>
        </w:r>
        <w:r w:rsidR="00CC32EF" w:rsidRPr="006F4BD1">
          <w:rPr>
            <w:rFonts w:ascii="Times New Roman" w:eastAsia="SimSun" w:hAnsi="Times New Roman" w:cs="Times New Roman"/>
            <w:sz w:val="21"/>
            <w:szCs w:val="21"/>
          </w:rPr>
          <w:t xml:space="preserve">”, is in general insufficient for the accurate DL CSI estimation. </w:t>
        </w:r>
      </w:hyperlink>
    </w:p>
    <w:p w14:paraId="7D61F443" w14:textId="55D27635" w:rsidR="00E137E2" w:rsidRDefault="001E04FE" w:rsidP="001F1EA1">
      <w:pPr>
        <w:spacing w:after="120"/>
        <w:rPr>
          <w:rFonts w:eastAsia="SimSun"/>
          <w:sz w:val="21"/>
          <w:szCs w:val="21"/>
          <w:lang w:val="en-GB"/>
        </w:rPr>
      </w:pPr>
      <w:r>
        <w:rPr>
          <w:rFonts w:eastAsia="SimSun"/>
          <w:sz w:val="21"/>
          <w:szCs w:val="21"/>
          <w:lang w:val="en-GB"/>
        </w:rPr>
        <w:t>Our proposed solution</w:t>
      </w:r>
      <w:r w:rsidR="00153AEF">
        <w:rPr>
          <w:rFonts w:eastAsia="SimSun"/>
          <w:sz w:val="21"/>
          <w:szCs w:val="21"/>
          <w:lang w:val="en-GB"/>
        </w:rPr>
        <w:t xml:space="preserve"> for the “UE assistance to the network” part</w:t>
      </w:r>
      <w:r>
        <w:rPr>
          <w:rFonts w:eastAsia="SimSun"/>
          <w:sz w:val="21"/>
          <w:szCs w:val="21"/>
          <w:lang w:val="en-GB"/>
        </w:rPr>
        <w:t xml:space="preserve"> is that</w:t>
      </w:r>
      <w:r w:rsidR="001F1EA1">
        <w:rPr>
          <w:rFonts w:eastAsia="SimSun"/>
          <w:sz w:val="21"/>
          <w:szCs w:val="21"/>
          <w:lang w:val="en-GB"/>
        </w:rPr>
        <w:t xml:space="preserve"> </w:t>
      </w:r>
      <w:r w:rsidR="001F1EA1" w:rsidRPr="001A2FDB">
        <w:rPr>
          <w:rFonts w:eastAsia="SimSun"/>
          <w:sz w:val="21"/>
          <w:szCs w:val="21"/>
          <w:lang w:val="en-GB"/>
        </w:rPr>
        <w:t xml:space="preserve">reporting </w:t>
      </w:r>
      <w:r>
        <w:rPr>
          <w:rFonts w:eastAsia="SimSun"/>
          <w:sz w:val="21"/>
          <w:szCs w:val="21"/>
          <w:lang w:val="en-GB"/>
        </w:rPr>
        <w:t xml:space="preserve">should include </w:t>
      </w:r>
      <w:r w:rsidR="001F1EA1" w:rsidRPr="001A2FDB">
        <w:rPr>
          <w:rFonts w:eastAsia="SimSun"/>
          <w:sz w:val="21"/>
          <w:szCs w:val="21"/>
          <w:lang w:val="en-GB"/>
        </w:rPr>
        <w:t xml:space="preserve">the configured maximum output power per SRS resource </w:t>
      </w:r>
      <w:r>
        <w:rPr>
          <w:rFonts w:eastAsia="SimSun"/>
          <w:sz w:val="21"/>
          <w:szCs w:val="21"/>
          <w:lang w:val="en-GB"/>
        </w:rPr>
        <w:t>and</w:t>
      </w:r>
      <w:r w:rsidR="001F1EA1" w:rsidRPr="001A2FDB">
        <w:rPr>
          <w:rFonts w:eastAsia="SimSun"/>
          <w:sz w:val="21"/>
          <w:szCs w:val="21"/>
          <w:lang w:val="en-GB"/>
        </w:rPr>
        <w:t xml:space="preserve"> the power headroom (PH) </w:t>
      </w:r>
      <w:r>
        <w:rPr>
          <w:rFonts w:eastAsia="SimSun"/>
          <w:sz w:val="21"/>
          <w:szCs w:val="21"/>
          <w:lang w:val="en-GB"/>
        </w:rPr>
        <w:t>per</w:t>
      </w:r>
      <w:r w:rsidR="001F1EA1" w:rsidRPr="001A2FDB">
        <w:rPr>
          <w:rFonts w:eastAsia="SimSun"/>
          <w:sz w:val="21"/>
          <w:szCs w:val="21"/>
          <w:lang w:val="en-GB"/>
        </w:rPr>
        <w:t xml:space="preserve"> SRS resource</w:t>
      </w:r>
      <w:r w:rsidR="009A1CFF">
        <w:rPr>
          <w:rFonts w:eastAsia="SimSun"/>
          <w:sz w:val="21"/>
          <w:szCs w:val="21"/>
          <w:lang w:val="en-GB"/>
        </w:rPr>
        <w:t xml:space="preserve"> as well as </w:t>
      </w:r>
      <w:r w:rsidR="00E137E2">
        <w:rPr>
          <w:rFonts w:eastAsia="SimSun"/>
          <w:sz w:val="21"/>
          <w:szCs w:val="21"/>
          <w:lang w:val="en-GB"/>
        </w:rPr>
        <w:t>the</w:t>
      </w:r>
      <w:r w:rsidR="009A1CFF">
        <w:rPr>
          <w:rFonts w:eastAsia="SimSun"/>
          <w:sz w:val="21"/>
          <w:szCs w:val="21"/>
          <w:lang w:val="en-GB"/>
        </w:rPr>
        <w:t xml:space="preserve"> information on </w:t>
      </w:r>
      <w:r w:rsidR="00E137E2">
        <w:rPr>
          <w:rFonts w:eastAsia="SimSun"/>
          <w:sz w:val="21"/>
          <w:szCs w:val="21"/>
          <w:lang w:val="en-GB"/>
        </w:rPr>
        <w:t>the</w:t>
      </w:r>
      <w:r w:rsidR="009A1CFF">
        <w:rPr>
          <w:rFonts w:eastAsia="SimSun"/>
          <w:sz w:val="21"/>
          <w:szCs w:val="21"/>
          <w:lang w:val="en-GB"/>
        </w:rPr>
        <w:t xml:space="preserve"> power class fallback or the return to the supported power class</w:t>
      </w:r>
      <w:r w:rsidR="00F52C73">
        <w:rPr>
          <w:rFonts w:eastAsia="SimSun"/>
          <w:sz w:val="21"/>
          <w:szCs w:val="21"/>
          <w:lang w:val="en-GB"/>
        </w:rPr>
        <w:t xml:space="preserve"> (</w:t>
      </w:r>
      <w:r w:rsidR="00F52C73" w:rsidRPr="00E4577E">
        <w:rPr>
          <w:sz w:val="21"/>
          <w:szCs w:val="21"/>
          <w:lang w:eastAsia="ja-JP"/>
        </w:rPr>
        <w:t>ΔP</w:t>
      </w:r>
      <w:r w:rsidR="00F52C73" w:rsidRPr="00E4577E">
        <w:rPr>
          <w:sz w:val="21"/>
          <w:szCs w:val="21"/>
          <w:vertAlign w:val="subscript"/>
          <w:lang w:eastAsia="ja-JP"/>
        </w:rPr>
        <w:t>PowerClass</w:t>
      </w:r>
      <w:r w:rsidR="00F52C73">
        <w:rPr>
          <w:rFonts w:eastAsia="SimSun"/>
          <w:sz w:val="21"/>
          <w:szCs w:val="21"/>
          <w:lang w:val="en-GB"/>
        </w:rPr>
        <w:t>)</w:t>
      </w:r>
      <w:r>
        <w:rPr>
          <w:rFonts w:eastAsia="SimSun"/>
          <w:sz w:val="21"/>
          <w:szCs w:val="21"/>
          <w:lang w:val="en-GB"/>
        </w:rPr>
        <w:t>. In that way</w:t>
      </w:r>
      <w:r w:rsidR="001F1EA1" w:rsidRPr="001A2FDB">
        <w:rPr>
          <w:rFonts w:eastAsia="SimSun"/>
          <w:sz w:val="21"/>
          <w:szCs w:val="21"/>
          <w:lang w:val="en-GB"/>
        </w:rPr>
        <w:t xml:space="preserve"> the </w:t>
      </w:r>
      <w:r>
        <w:rPr>
          <w:rFonts w:eastAsia="SimSun"/>
          <w:sz w:val="21"/>
          <w:szCs w:val="21"/>
          <w:lang w:val="en-GB"/>
        </w:rPr>
        <w:t>network</w:t>
      </w:r>
      <w:r w:rsidR="001F1EA1" w:rsidRPr="001A2FDB">
        <w:rPr>
          <w:rFonts w:eastAsia="SimSun"/>
          <w:sz w:val="21"/>
          <w:szCs w:val="21"/>
          <w:lang w:val="en-GB"/>
        </w:rPr>
        <w:t xml:space="preserve"> can have </w:t>
      </w:r>
      <w:r w:rsidR="001F1EA1">
        <w:rPr>
          <w:rFonts w:eastAsia="SimSun"/>
          <w:sz w:val="21"/>
          <w:szCs w:val="21"/>
          <w:lang w:val="en-GB"/>
        </w:rPr>
        <w:t xml:space="preserve">a </w:t>
      </w:r>
      <w:r w:rsidR="001F1EA1" w:rsidRPr="001A2FDB">
        <w:rPr>
          <w:rFonts w:eastAsia="SimSun"/>
          <w:sz w:val="21"/>
          <w:szCs w:val="21"/>
          <w:lang w:val="en-GB"/>
        </w:rPr>
        <w:t>relatively precise information on each SRS output power at the connector</w:t>
      </w:r>
      <w:r w:rsidR="00F52C73">
        <w:rPr>
          <w:rFonts w:eastAsia="SimSun"/>
          <w:sz w:val="21"/>
          <w:szCs w:val="21"/>
          <w:lang w:val="en-GB"/>
        </w:rPr>
        <w:t>.</w:t>
      </w:r>
      <w:r w:rsidR="001F1EA1" w:rsidRPr="001A2FDB">
        <w:rPr>
          <w:rFonts w:eastAsia="SimSun"/>
          <w:sz w:val="21"/>
          <w:szCs w:val="21"/>
          <w:lang w:val="en-GB"/>
        </w:rPr>
        <w:t xml:space="preserve"> </w:t>
      </w:r>
      <w:r w:rsidR="00DC21DD">
        <w:rPr>
          <w:rFonts w:eastAsia="SimSun"/>
          <w:sz w:val="21"/>
          <w:szCs w:val="21"/>
          <w:lang w:val="en-GB"/>
        </w:rPr>
        <w:t xml:space="preserve">Note that reporting of </w:t>
      </w:r>
      <w:r w:rsidR="00087944">
        <w:rPr>
          <w:rFonts w:eastAsia="SimSun"/>
          <w:sz w:val="21"/>
          <w:szCs w:val="21"/>
          <w:lang w:val="en-GB"/>
        </w:rPr>
        <w:t>all</w:t>
      </w:r>
      <w:r w:rsidR="00DC21DD">
        <w:rPr>
          <w:rFonts w:eastAsia="SimSun"/>
          <w:sz w:val="21"/>
          <w:szCs w:val="21"/>
          <w:lang w:val="en-GB"/>
        </w:rPr>
        <w:t xml:space="preserve"> three </w:t>
      </w:r>
      <w:r w:rsidR="00087944">
        <w:rPr>
          <w:rFonts w:eastAsia="SimSun"/>
          <w:sz w:val="21"/>
          <w:szCs w:val="21"/>
          <w:lang w:val="en-GB"/>
        </w:rPr>
        <w:t xml:space="preserve">of these </w:t>
      </w:r>
      <w:r w:rsidR="00DC21DD">
        <w:rPr>
          <w:rFonts w:eastAsia="SimSun"/>
          <w:sz w:val="21"/>
          <w:szCs w:val="21"/>
          <w:lang w:val="en-GB"/>
        </w:rPr>
        <w:t xml:space="preserve">parameters is already part of “Single Entry PHR MAC CE” and “Multiple Entry PHR MAC CE”. </w:t>
      </w:r>
    </w:p>
    <w:p w14:paraId="0B793875" w14:textId="7FC96C72" w:rsidR="001F1EA1" w:rsidRDefault="001F1EA1" w:rsidP="001F1EA1">
      <w:pPr>
        <w:spacing w:after="120"/>
        <w:rPr>
          <w:rFonts w:eastAsia="SimSun"/>
          <w:sz w:val="21"/>
          <w:szCs w:val="21"/>
          <w:lang w:val="en-GB"/>
        </w:rPr>
      </w:pPr>
      <w:r w:rsidRPr="001A2FDB">
        <w:rPr>
          <w:rFonts w:eastAsia="SimSun"/>
          <w:sz w:val="21"/>
          <w:szCs w:val="21"/>
          <w:lang w:val="en-GB"/>
        </w:rPr>
        <w:t xml:space="preserve">The configured maximum output power </w:t>
      </w:r>
      <w:r w:rsidRPr="001A2FDB">
        <w:rPr>
          <w:sz w:val="21"/>
          <w:szCs w:val="21"/>
          <w:lang w:eastAsia="en-US"/>
        </w:rPr>
        <w:t>includes the actual insertion loss (T</w:t>
      </w:r>
      <w:r w:rsidR="008E79CD">
        <w:rPr>
          <w:sz w:val="21"/>
          <w:szCs w:val="21"/>
          <w:lang w:eastAsia="en-US"/>
        </w:rPr>
        <w:t>x</w:t>
      </w:r>
      <w:r w:rsidRPr="001A2FDB">
        <w:rPr>
          <w:sz w:val="21"/>
          <w:szCs w:val="21"/>
          <w:lang w:eastAsia="en-US"/>
        </w:rPr>
        <w:t>/R</w:t>
      </w:r>
      <w:r w:rsidR="008E79CD">
        <w:rPr>
          <w:sz w:val="21"/>
          <w:szCs w:val="21"/>
          <w:lang w:eastAsia="en-US"/>
        </w:rPr>
        <w:t>x</w:t>
      </w:r>
      <w:r w:rsidRPr="001A2FDB">
        <w:rPr>
          <w:sz w:val="21"/>
          <w:szCs w:val="21"/>
          <w:lang w:eastAsia="en-US"/>
        </w:rPr>
        <w:t>) imbalance (for resources for which this is allowed) on top of the MPR used for the SRS resource.</w:t>
      </w:r>
      <w:r w:rsidRPr="001A2FDB">
        <w:rPr>
          <w:rFonts w:eastAsia="SimSun"/>
          <w:sz w:val="21"/>
          <w:szCs w:val="21"/>
          <w:lang w:val="en-GB"/>
        </w:rPr>
        <w:t xml:space="preserve"> If the MPR is the same between the different ports (which is expected), by inspecting the differences between the configured maximum output power per SRS resource the information on </w:t>
      </w:r>
      <w:r w:rsidR="00E137E2">
        <w:rPr>
          <w:rFonts w:eastAsia="SimSun"/>
          <w:sz w:val="21"/>
          <w:szCs w:val="21"/>
          <w:lang w:val="en-GB"/>
        </w:rPr>
        <w:t xml:space="preserve">the </w:t>
      </w:r>
      <w:r w:rsidRPr="001A2FDB">
        <w:rPr>
          <w:rFonts w:eastAsia="SimSun"/>
          <w:sz w:val="21"/>
          <w:szCs w:val="21"/>
          <w:lang w:val="en-GB"/>
        </w:rPr>
        <w:t xml:space="preserve">IL imbalance can be obtained. On the other hand, by transmitting in addition the power headroom (PH) report per SRS resource, the </w:t>
      </w:r>
      <w:r w:rsidR="00E137E2">
        <w:rPr>
          <w:rFonts w:eastAsia="SimSun"/>
          <w:sz w:val="21"/>
          <w:szCs w:val="21"/>
          <w:lang w:val="en-GB"/>
        </w:rPr>
        <w:t>network</w:t>
      </w:r>
      <w:r w:rsidRPr="001A2FDB">
        <w:rPr>
          <w:rFonts w:eastAsia="SimSun"/>
          <w:sz w:val="21"/>
          <w:szCs w:val="21"/>
          <w:lang w:val="en-GB"/>
        </w:rPr>
        <w:t xml:space="preserve"> can</w:t>
      </w:r>
      <w:r w:rsidR="00E137E2" w:rsidRPr="00E137E2">
        <w:rPr>
          <w:rFonts w:eastAsia="SimSun"/>
          <w:sz w:val="21"/>
          <w:szCs w:val="21"/>
          <w:lang w:val="en-GB"/>
        </w:rPr>
        <w:t xml:space="preserve"> </w:t>
      </w:r>
      <w:r w:rsidR="00E137E2" w:rsidRPr="001A2FDB">
        <w:rPr>
          <w:rFonts w:eastAsia="SimSun"/>
          <w:sz w:val="21"/>
          <w:szCs w:val="21"/>
          <w:lang w:val="en-GB"/>
        </w:rPr>
        <w:t xml:space="preserve">be aware </w:t>
      </w:r>
      <w:r w:rsidR="00E137E2">
        <w:rPr>
          <w:rFonts w:eastAsia="SimSun"/>
          <w:sz w:val="21"/>
          <w:szCs w:val="21"/>
          <w:lang w:val="en-GB"/>
        </w:rPr>
        <w:t xml:space="preserve">of </w:t>
      </w:r>
      <w:r w:rsidR="00E137E2" w:rsidRPr="001A2FDB">
        <w:rPr>
          <w:rFonts w:eastAsia="SimSun"/>
          <w:sz w:val="21"/>
          <w:szCs w:val="21"/>
          <w:lang w:val="en-GB"/>
        </w:rPr>
        <w:t>whether a UE operates at its maximum power</w:t>
      </w:r>
      <w:r w:rsidR="00E137E2">
        <w:rPr>
          <w:rFonts w:eastAsia="SimSun"/>
          <w:sz w:val="21"/>
          <w:szCs w:val="21"/>
          <w:lang w:val="en-GB"/>
        </w:rPr>
        <w:t xml:space="preserve"> and it can</w:t>
      </w:r>
      <w:r w:rsidRPr="001A2FDB">
        <w:rPr>
          <w:rFonts w:eastAsia="SimSun"/>
          <w:sz w:val="21"/>
          <w:szCs w:val="21"/>
          <w:lang w:val="en-GB"/>
        </w:rPr>
        <w:t xml:space="preserve"> obtain the information on the </w:t>
      </w:r>
      <w:r w:rsidR="00D248FD">
        <w:rPr>
          <w:rFonts w:eastAsia="SimSun"/>
          <w:sz w:val="21"/>
          <w:szCs w:val="21"/>
          <w:lang w:val="en-GB"/>
        </w:rPr>
        <w:t>actual</w:t>
      </w:r>
      <w:r w:rsidRPr="001A2FDB">
        <w:rPr>
          <w:rFonts w:eastAsia="SimSun"/>
          <w:sz w:val="21"/>
          <w:szCs w:val="21"/>
          <w:lang w:val="en-GB"/>
        </w:rPr>
        <w:t xml:space="preserve"> output power per SRS resource</w:t>
      </w:r>
      <w:r w:rsidR="00153AEF">
        <w:rPr>
          <w:rFonts w:eastAsia="SimSun"/>
          <w:sz w:val="21"/>
          <w:szCs w:val="21"/>
          <w:lang w:val="en-GB"/>
        </w:rPr>
        <w:t xml:space="preserve"> by subtracting</w:t>
      </w:r>
      <w:r w:rsidR="00197F98" w:rsidRPr="00197F98">
        <w:rPr>
          <w:rFonts w:eastAsia="SimSun"/>
          <w:sz w:val="21"/>
          <w:szCs w:val="21"/>
          <w:lang w:val="en-GB"/>
        </w:rPr>
        <w:t xml:space="preserve"> </w:t>
      </w:r>
      <w:r w:rsidR="00197F98">
        <w:rPr>
          <w:rFonts w:eastAsia="SimSun"/>
          <w:sz w:val="21"/>
          <w:szCs w:val="21"/>
          <w:lang w:val="en-GB"/>
        </w:rPr>
        <w:t>the power headroom from</w:t>
      </w:r>
      <w:r w:rsidR="00153AEF">
        <w:rPr>
          <w:rFonts w:eastAsia="SimSun"/>
          <w:sz w:val="21"/>
          <w:szCs w:val="21"/>
          <w:lang w:val="en-GB"/>
        </w:rPr>
        <w:t xml:space="preserve"> </w:t>
      </w:r>
      <w:r w:rsidR="00197F98">
        <w:rPr>
          <w:rFonts w:eastAsia="SimSun"/>
          <w:sz w:val="21"/>
          <w:szCs w:val="21"/>
          <w:lang w:val="en-GB"/>
        </w:rPr>
        <w:t xml:space="preserve">the configured maximum output power </w:t>
      </w:r>
      <w:r w:rsidR="00E137E2">
        <w:rPr>
          <w:rFonts w:eastAsia="SimSun"/>
          <w:sz w:val="21"/>
          <w:szCs w:val="21"/>
          <w:lang w:val="en-GB"/>
        </w:rPr>
        <w:t>(</w:t>
      </w:r>
      <w:r w:rsidR="00197F98">
        <w:rPr>
          <w:rFonts w:eastAsia="SimSun"/>
          <w:sz w:val="21"/>
          <w:szCs w:val="21"/>
          <w:lang w:val="en-GB"/>
        </w:rPr>
        <w:t>in that way it can</w:t>
      </w:r>
      <w:r w:rsidRPr="001A2FDB">
        <w:rPr>
          <w:rFonts w:eastAsia="SimSun"/>
          <w:sz w:val="21"/>
          <w:szCs w:val="21"/>
          <w:lang w:val="en-GB"/>
        </w:rPr>
        <w:t xml:space="preserve"> observe whether the IL compensation has been performed</w:t>
      </w:r>
      <w:r w:rsidR="00E137E2">
        <w:rPr>
          <w:rFonts w:eastAsia="SimSun"/>
          <w:sz w:val="21"/>
          <w:szCs w:val="21"/>
          <w:lang w:val="en-GB"/>
        </w:rPr>
        <w:t>)</w:t>
      </w:r>
      <w:r w:rsidRPr="001A2FDB">
        <w:rPr>
          <w:rFonts w:eastAsia="SimSun"/>
          <w:sz w:val="21"/>
          <w:szCs w:val="21"/>
          <w:lang w:val="en-GB"/>
        </w:rPr>
        <w:t xml:space="preserve">. So, both cases when UEs perform or do not perform </w:t>
      </w:r>
      <w:r w:rsidR="00C23266">
        <w:rPr>
          <w:rFonts w:eastAsia="SimSun"/>
          <w:sz w:val="21"/>
          <w:szCs w:val="21"/>
          <w:lang w:val="en-GB"/>
        </w:rPr>
        <w:t xml:space="preserve">a </w:t>
      </w:r>
      <w:r w:rsidRPr="001A2FDB">
        <w:rPr>
          <w:rFonts w:eastAsia="SimSun"/>
          <w:sz w:val="21"/>
          <w:szCs w:val="21"/>
          <w:lang w:val="en-GB"/>
        </w:rPr>
        <w:t xml:space="preserve">compensation for </w:t>
      </w:r>
      <w:r w:rsidR="00E137E2">
        <w:rPr>
          <w:rFonts w:eastAsia="SimSun"/>
          <w:sz w:val="21"/>
          <w:szCs w:val="21"/>
          <w:lang w:val="en-GB"/>
        </w:rPr>
        <w:t>the ILs</w:t>
      </w:r>
      <w:r w:rsidRPr="001A2FDB">
        <w:rPr>
          <w:rFonts w:eastAsia="SimSun"/>
          <w:sz w:val="21"/>
          <w:szCs w:val="21"/>
          <w:lang w:val="en-GB"/>
        </w:rPr>
        <w:t xml:space="preserve"> are covered by the proposed solution.</w:t>
      </w:r>
    </w:p>
    <w:p w14:paraId="2A1EBFF0" w14:textId="5CDC946B" w:rsidR="00E137E2" w:rsidRDefault="00E137E2" w:rsidP="001F1EA1">
      <w:pPr>
        <w:spacing w:after="120"/>
        <w:rPr>
          <w:sz w:val="21"/>
          <w:szCs w:val="21"/>
        </w:rPr>
      </w:pPr>
      <w:r>
        <w:rPr>
          <w:rFonts w:eastAsia="SimSun"/>
          <w:sz w:val="21"/>
          <w:szCs w:val="21"/>
          <w:lang w:val="en-GB"/>
        </w:rPr>
        <w:t xml:space="preserve">One of the motivations to include </w:t>
      </w:r>
      <w:r w:rsidRPr="00E4577E">
        <w:rPr>
          <w:sz w:val="21"/>
          <w:szCs w:val="21"/>
          <w:lang w:eastAsia="ja-JP"/>
        </w:rPr>
        <w:t>ΔP</w:t>
      </w:r>
      <w:r w:rsidRPr="00E4577E">
        <w:rPr>
          <w:sz w:val="21"/>
          <w:szCs w:val="21"/>
          <w:vertAlign w:val="subscript"/>
          <w:lang w:eastAsia="ja-JP"/>
        </w:rPr>
        <w:t>PowerClass</w:t>
      </w:r>
      <w:r>
        <w:rPr>
          <w:rFonts w:eastAsia="SimSun"/>
          <w:sz w:val="21"/>
          <w:szCs w:val="21"/>
          <w:lang w:val="en-GB"/>
        </w:rPr>
        <w:t xml:space="preserve"> </w:t>
      </w:r>
      <w:r w:rsidR="008E4AB0">
        <w:rPr>
          <w:rFonts w:eastAsia="SimSun"/>
          <w:sz w:val="21"/>
          <w:szCs w:val="21"/>
          <w:lang w:val="en-GB"/>
        </w:rPr>
        <w:t xml:space="preserve">in the reporting </w:t>
      </w:r>
      <w:r>
        <w:rPr>
          <w:rFonts w:eastAsia="SimSun"/>
          <w:sz w:val="21"/>
          <w:szCs w:val="21"/>
          <w:lang w:val="en-GB"/>
        </w:rPr>
        <w:t xml:space="preserve">is the discussion </w:t>
      </w:r>
      <w:r w:rsidR="008E4AB0">
        <w:rPr>
          <w:rFonts w:eastAsia="SimSun"/>
          <w:sz w:val="21"/>
          <w:szCs w:val="21"/>
          <w:lang w:val="en-GB"/>
        </w:rPr>
        <w:t xml:space="preserve">under the Rel-18 </w:t>
      </w:r>
      <w:r w:rsidR="008E4AB0">
        <w:rPr>
          <w:sz w:val="21"/>
          <w:szCs w:val="21"/>
        </w:rPr>
        <w:t>maintenance agenda for “</w:t>
      </w:r>
      <w:r w:rsidR="008E4AB0" w:rsidRPr="00FB79E1">
        <w:rPr>
          <w:sz w:val="21"/>
          <w:szCs w:val="21"/>
        </w:rPr>
        <w:t>Further RF requirements enhancement for NR frequency range 1 (FR1)</w:t>
      </w:r>
      <w:r w:rsidR="008E4AB0">
        <w:rPr>
          <w:sz w:val="21"/>
          <w:szCs w:val="21"/>
        </w:rPr>
        <w:t>” WI, where the</w:t>
      </w:r>
      <w:r w:rsidR="008E4AB0" w:rsidRPr="008E4AB0">
        <w:rPr>
          <w:sz w:val="21"/>
          <w:szCs w:val="21"/>
        </w:rPr>
        <w:t xml:space="preserve"> </w:t>
      </w:r>
      <w:r w:rsidR="008E4AB0" w:rsidRPr="00870130">
        <w:rPr>
          <w:sz w:val="21"/>
          <w:szCs w:val="21"/>
        </w:rPr>
        <w:t>ΔP</w:t>
      </w:r>
      <w:r w:rsidR="008E4AB0" w:rsidRPr="00870130">
        <w:rPr>
          <w:sz w:val="21"/>
          <w:szCs w:val="21"/>
          <w:vertAlign w:val="subscript"/>
        </w:rPr>
        <w:t>PowerClass</w:t>
      </w:r>
      <w:r w:rsidR="008E4AB0" w:rsidRPr="00870130">
        <w:rPr>
          <w:sz w:val="21"/>
          <w:szCs w:val="21"/>
        </w:rPr>
        <w:t xml:space="preserve"> </w:t>
      </w:r>
      <w:r w:rsidR="008E4AB0">
        <w:rPr>
          <w:sz w:val="21"/>
          <w:szCs w:val="21"/>
        </w:rPr>
        <w:t xml:space="preserve">requirements for AS for 4Tx are currently still incomplete. To see a detailed argumentation from our side, one could check </w:t>
      </w:r>
      <w:r w:rsidR="00197F98">
        <w:rPr>
          <w:sz w:val="21"/>
          <w:szCs w:val="21"/>
        </w:rPr>
        <w:t>our contribution</w:t>
      </w:r>
      <w:r w:rsidR="008E4AB0">
        <w:rPr>
          <w:sz w:val="21"/>
          <w:szCs w:val="21"/>
        </w:rPr>
        <w:t xml:space="preserve"> [</w:t>
      </w:r>
      <w:r w:rsidR="00FB6760">
        <w:rPr>
          <w:sz w:val="21"/>
          <w:szCs w:val="21"/>
        </w:rPr>
        <w:t>6</w:t>
      </w:r>
      <w:r w:rsidR="008E4AB0">
        <w:rPr>
          <w:sz w:val="21"/>
          <w:szCs w:val="21"/>
        </w:rPr>
        <w:t xml:space="preserve">]. Here, we will only reiterate that the solution </w:t>
      </w:r>
      <w:proofErr w:type="gramStart"/>
      <w:r w:rsidR="008E4AB0">
        <w:rPr>
          <w:sz w:val="21"/>
          <w:szCs w:val="21"/>
        </w:rPr>
        <w:t>similar to</w:t>
      </w:r>
      <w:proofErr w:type="gramEnd"/>
      <w:r w:rsidR="008E4AB0">
        <w:rPr>
          <w:sz w:val="21"/>
          <w:szCs w:val="21"/>
        </w:rPr>
        <w:t xml:space="preserve"> the one specified for 2Tx would be sub-optimal (4Tx adds a lot of complexity compared with 2Tx) and that the issue could be optimally solved only by introducing the reporting of </w:t>
      </w:r>
      <w:r w:rsidR="008E4AB0" w:rsidRPr="00E4577E">
        <w:rPr>
          <w:sz w:val="21"/>
          <w:szCs w:val="21"/>
          <w:lang w:eastAsia="ja-JP"/>
        </w:rPr>
        <w:t>ΔP</w:t>
      </w:r>
      <w:r w:rsidR="008E4AB0" w:rsidRPr="00E4577E">
        <w:rPr>
          <w:sz w:val="21"/>
          <w:szCs w:val="21"/>
          <w:vertAlign w:val="subscript"/>
          <w:lang w:eastAsia="ja-JP"/>
        </w:rPr>
        <w:t>PowerClass</w:t>
      </w:r>
      <w:r w:rsidR="008E4AB0">
        <w:rPr>
          <w:sz w:val="21"/>
          <w:szCs w:val="21"/>
        </w:rPr>
        <w:t>.</w:t>
      </w:r>
    </w:p>
    <w:p w14:paraId="514BA8E6" w14:textId="7E85C07B" w:rsidR="00197F98" w:rsidRDefault="00197F98" w:rsidP="001F1EA1">
      <w:pPr>
        <w:spacing w:after="120"/>
        <w:rPr>
          <w:sz w:val="21"/>
          <w:szCs w:val="21"/>
        </w:rPr>
      </w:pPr>
      <w:r>
        <w:rPr>
          <w:sz w:val="21"/>
          <w:szCs w:val="21"/>
        </w:rPr>
        <w:t>The expected benefit from such solution is the maximization of the accuracy of the DL CSI estimation, which is of key importance for the performance of the DL MIMO, both Single User and Multi-User.</w:t>
      </w:r>
    </w:p>
    <w:p w14:paraId="58BA74AB" w14:textId="5D5B136E" w:rsidR="00C34E02" w:rsidRPr="00C34E02" w:rsidRDefault="00C34E02" w:rsidP="00C34E02">
      <w:pPr>
        <w:spacing w:after="120"/>
        <w:rPr>
          <w:b/>
          <w:bCs/>
          <w:sz w:val="21"/>
          <w:szCs w:val="21"/>
        </w:rPr>
      </w:pPr>
      <w:r w:rsidRPr="00C34E02">
        <w:rPr>
          <w:b/>
          <w:bCs/>
          <w:sz w:val="21"/>
          <w:szCs w:val="21"/>
        </w:rPr>
        <w:t>Propo</w:t>
      </w:r>
      <w:r>
        <w:rPr>
          <w:b/>
          <w:bCs/>
          <w:sz w:val="21"/>
          <w:szCs w:val="21"/>
        </w:rPr>
        <w:t>s</w:t>
      </w:r>
      <w:r w:rsidRPr="00C34E02">
        <w:rPr>
          <w:b/>
          <w:bCs/>
          <w:sz w:val="21"/>
          <w:szCs w:val="21"/>
        </w:rPr>
        <w:t>al 3: The following SRS IL imbalance reporting solution should be specified:</w:t>
      </w:r>
    </w:p>
    <w:p w14:paraId="0908E9ED" w14:textId="6358E0A9" w:rsidR="00C34E02" w:rsidRPr="00C34E02" w:rsidRDefault="00C34E02" w:rsidP="00C34E02">
      <w:pPr>
        <w:pStyle w:val="ListParagraph"/>
        <w:numPr>
          <w:ilvl w:val="0"/>
          <w:numId w:val="20"/>
        </w:numPr>
        <w:spacing w:after="120"/>
        <w:ind w:firstLineChars="0"/>
        <w:rPr>
          <w:b/>
          <w:bCs/>
          <w:sz w:val="21"/>
          <w:szCs w:val="21"/>
        </w:rPr>
      </w:pPr>
      <w:r w:rsidRPr="00C34E02">
        <w:rPr>
          <w:b/>
          <w:bCs/>
          <w:sz w:val="21"/>
          <w:szCs w:val="21"/>
        </w:rPr>
        <w:t xml:space="preserve">UE performs self-compensation of SRS IL up to </w:t>
      </w:r>
      <w:r w:rsidR="0026733E" w:rsidRPr="0026733E">
        <w:rPr>
          <w:b/>
          <w:bCs/>
          <w:sz w:val="21"/>
          <w:szCs w:val="21"/>
        </w:rPr>
        <w:t>its configured maximum output power</w:t>
      </w:r>
      <w:r w:rsidR="0026733E">
        <w:rPr>
          <w:b/>
          <w:bCs/>
          <w:sz w:val="21"/>
          <w:szCs w:val="21"/>
        </w:rPr>
        <w:t>.</w:t>
      </w:r>
    </w:p>
    <w:p w14:paraId="33395B56" w14:textId="565082BC" w:rsidR="00C34E02" w:rsidRPr="00C34E02" w:rsidRDefault="00C34E02" w:rsidP="00C34E02">
      <w:pPr>
        <w:pStyle w:val="ListParagraph"/>
        <w:numPr>
          <w:ilvl w:val="0"/>
          <w:numId w:val="20"/>
        </w:numPr>
        <w:ind w:firstLineChars="0"/>
        <w:rPr>
          <w:b/>
          <w:bCs/>
          <w:sz w:val="21"/>
          <w:szCs w:val="21"/>
        </w:rPr>
      </w:pPr>
      <w:r w:rsidRPr="00C34E02">
        <w:rPr>
          <w:b/>
          <w:bCs/>
          <w:sz w:val="21"/>
          <w:szCs w:val="21"/>
        </w:rPr>
        <w:t xml:space="preserve">UE provides </w:t>
      </w:r>
      <w:r>
        <w:rPr>
          <w:b/>
          <w:bCs/>
          <w:sz w:val="21"/>
          <w:szCs w:val="21"/>
        </w:rPr>
        <w:t xml:space="preserve">dynamic </w:t>
      </w:r>
      <w:r w:rsidRPr="00C34E02">
        <w:rPr>
          <w:b/>
          <w:bCs/>
          <w:sz w:val="21"/>
          <w:szCs w:val="21"/>
        </w:rPr>
        <w:t>assistance to the network on SRS IL compensation</w:t>
      </w:r>
      <w:r>
        <w:rPr>
          <w:b/>
          <w:bCs/>
          <w:sz w:val="21"/>
          <w:szCs w:val="21"/>
        </w:rPr>
        <w:t>:</w:t>
      </w:r>
    </w:p>
    <w:p w14:paraId="15BAAE65" w14:textId="77777777" w:rsidR="00C34E02" w:rsidRPr="00C34E02" w:rsidRDefault="00C34E02" w:rsidP="00C34E02">
      <w:pPr>
        <w:pStyle w:val="ListParagraph"/>
        <w:numPr>
          <w:ilvl w:val="1"/>
          <w:numId w:val="20"/>
        </w:numPr>
        <w:spacing w:after="120"/>
        <w:ind w:firstLineChars="0"/>
        <w:rPr>
          <w:b/>
          <w:bCs/>
          <w:sz w:val="21"/>
          <w:szCs w:val="21"/>
        </w:rPr>
      </w:pPr>
      <w:r w:rsidRPr="00C34E02">
        <w:rPr>
          <w:b/>
          <w:bCs/>
          <w:sz w:val="21"/>
          <w:szCs w:val="21"/>
        </w:rPr>
        <w:t>Per SRS resource power headroom reporting</w:t>
      </w:r>
    </w:p>
    <w:p w14:paraId="35C10E31" w14:textId="77777777" w:rsidR="00C34E02" w:rsidRPr="00C34E02" w:rsidRDefault="00C34E02" w:rsidP="00C34E02">
      <w:pPr>
        <w:pStyle w:val="ListParagraph"/>
        <w:numPr>
          <w:ilvl w:val="1"/>
          <w:numId w:val="20"/>
        </w:numPr>
        <w:spacing w:after="120"/>
        <w:ind w:firstLineChars="0"/>
        <w:rPr>
          <w:b/>
          <w:bCs/>
          <w:sz w:val="21"/>
          <w:szCs w:val="21"/>
        </w:rPr>
      </w:pPr>
      <w:r w:rsidRPr="00C34E02">
        <w:rPr>
          <w:b/>
          <w:bCs/>
          <w:sz w:val="21"/>
          <w:szCs w:val="21"/>
        </w:rPr>
        <w:t xml:space="preserve">Configured maximum output power per SRS resource </w:t>
      </w:r>
      <w:proofErr w:type="gramStart"/>
      <w:r w:rsidRPr="00C34E02">
        <w:rPr>
          <w:b/>
          <w:bCs/>
          <w:sz w:val="21"/>
          <w:szCs w:val="21"/>
        </w:rPr>
        <w:t>reporting</w:t>
      </w:r>
      <w:proofErr w:type="gramEnd"/>
    </w:p>
    <w:p w14:paraId="32AFCE6A" w14:textId="7FB4FD90" w:rsidR="00C34E02" w:rsidRPr="00C34E02" w:rsidRDefault="00C34E02" w:rsidP="00C34E02">
      <w:pPr>
        <w:pStyle w:val="ListParagraph"/>
        <w:numPr>
          <w:ilvl w:val="1"/>
          <w:numId w:val="20"/>
        </w:numPr>
        <w:spacing w:after="120"/>
        <w:ind w:firstLineChars="0"/>
        <w:rPr>
          <w:b/>
          <w:bCs/>
          <w:sz w:val="21"/>
          <w:szCs w:val="21"/>
        </w:rPr>
      </w:pPr>
      <w:r w:rsidRPr="00C34E02">
        <w:rPr>
          <w:b/>
          <w:bCs/>
          <w:sz w:val="21"/>
          <w:szCs w:val="21"/>
          <w:lang w:eastAsia="ja-JP"/>
        </w:rPr>
        <w:t>ΔP</w:t>
      </w:r>
      <w:r w:rsidRPr="00C34E02">
        <w:rPr>
          <w:b/>
          <w:bCs/>
          <w:sz w:val="21"/>
          <w:szCs w:val="21"/>
          <w:vertAlign w:val="subscript"/>
          <w:lang w:eastAsia="ja-JP"/>
        </w:rPr>
        <w:t>PowerClass</w:t>
      </w:r>
      <w:r>
        <w:rPr>
          <w:b/>
          <w:bCs/>
          <w:sz w:val="21"/>
          <w:szCs w:val="21"/>
          <w:lang w:eastAsia="ja-JP"/>
        </w:rPr>
        <w:t xml:space="preserve"> reporting</w:t>
      </w:r>
      <w:bookmarkStart w:id="1" w:name="_Toc179212726"/>
    </w:p>
    <w:bookmarkEnd w:id="1"/>
    <w:p w14:paraId="3A95DA8B" w14:textId="17798221" w:rsidR="00197F98" w:rsidRPr="006F4BD1" w:rsidRDefault="006F4BD1" w:rsidP="006F4BD1">
      <w:pPr>
        <w:pStyle w:val="TableofFigures"/>
        <w:tabs>
          <w:tab w:val="right" w:leader="dot" w:pos="9631"/>
        </w:tabs>
        <w:ind w:left="0" w:firstLine="0"/>
        <w:rPr>
          <w:rFonts w:ascii="Times New Roman" w:eastAsia="SimSun" w:hAnsi="Times New Roman" w:cs="Times New Roman"/>
          <w:sz w:val="21"/>
          <w:szCs w:val="21"/>
        </w:rPr>
      </w:pPr>
      <w:r w:rsidRPr="006F4BD1">
        <w:rPr>
          <w:rFonts w:ascii="Times New Roman" w:hAnsi="Times New Roman" w:cs="Times New Roman"/>
          <w:sz w:val="21"/>
          <w:szCs w:val="21"/>
        </w:rPr>
        <w:t xml:space="preserve">Observation </w:t>
      </w:r>
      <w:r w:rsidR="00983AFE">
        <w:rPr>
          <w:rFonts w:ascii="Times New Roman" w:hAnsi="Times New Roman" w:cs="Times New Roman"/>
          <w:sz w:val="21"/>
          <w:szCs w:val="21"/>
        </w:rPr>
        <w:t>3</w:t>
      </w:r>
      <w:r w:rsidRPr="006F4BD1">
        <w:rPr>
          <w:rFonts w:ascii="Times New Roman" w:hAnsi="Times New Roman" w:cs="Times New Roman"/>
          <w:sz w:val="21"/>
          <w:szCs w:val="21"/>
        </w:rPr>
        <w:t xml:space="preserve">: </w:t>
      </w:r>
      <w:hyperlink w:anchor="_Toc163511217" w:history="1">
        <w:r w:rsidR="00197F98" w:rsidRPr="006F4BD1">
          <w:rPr>
            <w:rFonts w:ascii="Times New Roman" w:eastAsia="SimSun" w:hAnsi="Times New Roman" w:cs="Times New Roman"/>
            <w:sz w:val="21"/>
            <w:szCs w:val="21"/>
          </w:rPr>
          <w:t xml:space="preserve">The expected benefit from the proposed solution is the maximization of the accuracy of the DL CSI estimation, which is of key importance for the performance of both SU and MU MIMO. </w:t>
        </w:r>
      </w:hyperlink>
    </w:p>
    <w:p w14:paraId="76D3690C" w14:textId="77777777" w:rsidR="00F02028" w:rsidRPr="00F02028" w:rsidRDefault="00F02028" w:rsidP="00F02028">
      <w:pPr>
        <w:rPr>
          <w:lang w:eastAsia="en-US"/>
        </w:rPr>
      </w:pPr>
    </w:p>
    <w:p w14:paraId="2958D587" w14:textId="131E78F3" w:rsidR="00197F98" w:rsidRPr="00197F98" w:rsidRDefault="00197F98" w:rsidP="00197F98">
      <w:pPr>
        <w:pStyle w:val="Heading3"/>
      </w:pPr>
      <w:bookmarkStart w:id="2" w:name="_Hlk174121699"/>
      <w:r w:rsidRPr="00197F98">
        <w:t>Detail</w:t>
      </w:r>
      <w:r>
        <w:t>ed</w:t>
      </w:r>
      <w:r w:rsidRPr="00197F98">
        <w:t xml:space="preserve"> </w:t>
      </w:r>
      <w:r>
        <w:t>impact on the specifications</w:t>
      </w:r>
    </w:p>
    <w:p w14:paraId="6B7E078B" w14:textId="3017436A" w:rsidR="00197F98" w:rsidRDefault="00197F98" w:rsidP="00197F98">
      <w:pPr>
        <w:pStyle w:val="Heading4"/>
      </w:pPr>
      <w:r>
        <w:t>RAN4 specifications: TS38.101-1</w:t>
      </w:r>
    </w:p>
    <w:p w14:paraId="501E62FA" w14:textId="451389CF" w:rsidR="00197F98" w:rsidRDefault="00197F98" w:rsidP="00CF74A4">
      <w:pPr>
        <w:spacing w:after="120"/>
        <w:rPr>
          <w:rFonts w:eastAsia="SimSun"/>
          <w:sz w:val="21"/>
          <w:szCs w:val="21"/>
        </w:rPr>
      </w:pPr>
      <w:r>
        <w:rPr>
          <w:rFonts w:eastAsia="SimSun"/>
          <w:sz w:val="21"/>
          <w:szCs w:val="21"/>
        </w:rPr>
        <w:t>W</w:t>
      </w:r>
      <w:r w:rsidR="00F02028">
        <w:rPr>
          <w:rFonts w:eastAsia="SimSun"/>
          <w:sz w:val="21"/>
          <w:szCs w:val="21"/>
        </w:rPr>
        <w:t xml:space="preserve">ith </w:t>
      </w:r>
      <w:r w:rsidR="00E25C9F">
        <w:rPr>
          <w:rFonts w:eastAsia="SimSun"/>
          <w:sz w:val="21"/>
          <w:szCs w:val="21"/>
        </w:rPr>
        <w:t>the</w:t>
      </w:r>
      <w:r w:rsidR="00F02028">
        <w:rPr>
          <w:rFonts w:eastAsia="SimSun"/>
          <w:sz w:val="21"/>
          <w:szCs w:val="21"/>
        </w:rPr>
        <w:t xml:space="preserve"> proposed solution </w:t>
      </w:r>
      <w:r w:rsidR="00E25C9F">
        <w:rPr>
          <w:rFonts w:eastAsia="SimSun"/>
          <w:sz w:val="21"/>
          <w:szCs w:val="21"/>
        </w:rPr>
        <w:t xml:space="preserve">(Proposal 3) </w:t>
      </w:r>
      <w:r w:rsidR="00F02028">
        <w:rPr>
          <w:rFonts w:eastAsia="SimSun"/>
          <w:sz w:val="21"/>
          <w:szCs w:val="21"/>
        </w:rPr>
        <w:t>there would be</w:t>
      </w:r>
      <w:r w:rsidR="00087944">
        <w:rPr>
          <w:rFonts w:eastAsia="SimSun"/>
          <w:sz w:val="21"/>
          <w:szCs w:val="21"/>
        </w:rPr>
        <w:t xml:space="preserve"> </w:t>
      </w:r>
      <w:r w:rsidR="00F02028">
        <w:rPr>
          <w:rFonts w:eastAsia="SimSun"/>
          <w:sz w:val="21"/>
          <w:szCs w:val="21"/>
        </w:rPr>
        <w:t>no</w:t>
      </w:r>
      <w:r w:rsidR="001F1405">
        <w:rPr>
          <w:rFonts w:eastAsia="SimSun"/>
          <w:sz w:val="21"/>
          <w:szCs w:val="21"/>
        </w:rPr>
        <w:t>/very limited</w:t>
      </w:r>
      <w:r w:rsidR="00F02028">
        <w:rPr>
          <w:rFonts w:eastAsia="SimSun"/>
          <w:sz w:val="21"/>
          <w:szCs w:val="21"/>
        </w:rPr>
        <w:t xml:space="preserve"> impact on TS38.101-1 specification.</w:t>
      </w:r>
    </w:p>
    <w:p w14:paraId="3197A437" w14:textId="000CD557" w:rsidR="00F02028" w:rsidRDefault="00F02028" w:rsidP="00F02028">
      <w:pPr>
        <w:pStyle w:val="Heading4"/>
      </w:pPr>
      <w:r>
        <w:t>RAN1 specifications: TS38.213</w:t>
      </w:r>
    </w:p>
    <w:p w14:paraId="15C3445B" w14:textId="0EB19AC8" w:rsidR="00305909" w:rsidRDefault="00661319" w:rsidP="00661319">
      <w:pPr>
        <w:spacing w:after="120"/>
        <w:rPr>
          <w:rFonts w:eastAsia="SimSun"/>
          <w:sz w:val="21"/>
          <w:szCs w:val="21"/>
        </w:rPr>
      </w:pPr>
      <w:r w:rsidRPr="00661319">
        <w:rPr>
          <w:rFonts w:eastAsia="SimSun"/>
          <w:sz w:val="21"/>
          <w:szCs w:val="21"/>
        </w:rPr>
        <w:t>The Type 3 power headroom report is defined in clause 7.7.3 of TS38.213[</w:t>
      </w:r>
      <w:r w:rsidR="00FB6760">
        <w:rPr>
          <w:rFonts w:eastAsia="SimSun"/>
          <w:sz w:val="21"/>
          <w:szCs w:val="21"/>
        </w:rPr>
        <w:t>7</w:t>
      </w:r>
      <w:r w:rsidRPr="00661319">
        <w:rPr>
          <w:rFonts w:eastAsia="SimSun"/>
          <w:sz w:val="21"/>
          <w:szCs w:val="21"/>
        </w:rPr>
        <w:t>]</w:t>
      </w:r>
      <w:r>
        <w:rPr>
          <w:rFonts w:eastAsia="SimSun"/>
          <w:sz w:val="21"/>
          <w:szCs w:val="21"/>
        </w:rPr>
        <w:t xml:space="preserve">. </w:t>
      </w:r>
    </w:p>
    <w:p w14:paraId="3ED737E4" w14:textId="63A1B50B" w:rsidR="00661319" w:rsidRPr="00661319" w:rsidRDefault="00305909" w:rsidP="00661319">
      <w:pPr>
        <w:spacing w:after="120"/>
        <w:rPr>
          <w:rFonts w:eastAsia="SimSun"/>
          <w:sz w:val="21"/>
          <w:szCs w:val="21"/>
        </w:rPr>
      </w:pPr>
      <w:r w:rsidRPr="00C55C8B">
        <w:rPr>
          <w:rFonts w:eastAsia="SimSun"/>
          <w:sz w:val="21"/>
          <w:szCs w:val="21"/>
        </w:rPr>
        <w:t>The</w:t>
      </w:r>
      <w:r>
        <w:rPr>
          <w:rFonts w:eastAsia="SimSun"/>
          <w:sz w:val="21"/>
          <w:szCs w:val="21"/>
        </w:rPr>
        <w:t xml:space="preserve"> only </w:t>
      </w:r>
      <w:r w:rsidR="00C34E02">
        <w:rPr>
          <w:rFonts w:eastAsia="SimSun"/>
          <w:sz w:val="21"/>
          <w:szCs w:val="21"/>
        </w:rPr>
        <w:t xml:space="preserve">required </w:t>
      </w:r>
      <w:r>
        <w:rPr>
          <w:rFonts w:eastAsia="SimSun"/>
          <w:sz w:val="21"/>
          <w:szCs w:val="21"/>
        </w:rPr>
        <w:t xml:space="preserve">change </w:t>
      </w:r>
      <w:r w:rsidR="00C34E02">
        <w:rPr>
          <w:rFonts w:eastAsia="SimSun"/>
          <w:sz w:val="21"/>
          <w:szCs w:val="21"/>
        </w:rPr>
        <w:t xml:space="preserve">would be to allow Type 3 power headroom report for the UE configured for PUSCH transmissions on carrier </w:t>
      </w:r>
      <w:r w:rsidR="00C34E02" w:rsidRPr="00C34E02">
        <w:rPr>
          <w:rFonts w:eastAsia="SimSun"/>
          <w:i/>
          <w:iCs/>
          <w:sz w:val="21"/>
          <w:szCs w:val="21"/>
        </w:rPr>
        <w:t>f</w:t>
      </w:r>
      <w:r w:rsidR="00C34E02">
        <w:rPr>
          <w:rFonts w:eastAsia="SimSun"/>
          <w:sz w:val="21"/>
          <w:szCs w:val="21"/>
        </w:rPr>
        <w:t xml:space="preserve"> of serving cell </w:t>
      </w:r>
      <w:r w:rsidR="00C34E02" w:rsidRPr="00C34E02">
        <w:rPr>
          <w:rFonts w:eastAsia="SimSun"/>
          <w:i/>
          <w:iCs/>
          <w:sz w:val="21"/>
          <w:szCs w:val="21"/>
        </w:rPr>
        <w:t>c</w:t>
      </w:r>
      <w:r w:rsidR="00C34E02">
        <w:rPr>
          <w:rFonts w:eastAsia="SimSun"/>
          <w:sz w:val="21"/>
          <w:szCs w:val="21"/>
        </w:rPr>
        <w:t xml:space="preserve"> (for both an actual and a reference SRS transmission). In the following, we </w:t>
      </w:r>
      <w:r w:rsidR="0026733E">
        <w:rPr>
          <w:rFonts w:eastAsia="SimSun"/>
          <w:sz w:val="21"/>
          <w:szCs w:val="21"/>
        </w:rPr>
        <w:t>highlight</w:t>
      </w:r>
      <w:r w:rsidR="00C34E02">
        <w:rPr>
          <w:rFonts w:eastAsia="SimSun"/>
          <w:sz w:val="21"/>
          <w:szCs w:val="21"/>
        </w:rPr>
        <w:t xml:space="preserve"> the exact </w:t>
      </w:r>
      <w:r w:rsidR="0026733E">
        <w:rPr>
          <w:rFonts w:eastAsia="SimSun"/>
          <w:sz w:val="21"/>
          <w:szCs w:val="21"/>
        </w:rPr>
        <w:t xml:space="preserve">places in the specifications where the </w:t>
      </w:r>
      <w:r w:rsidR="006B5C6E">
        <w:rPr>
          <w:rFonts w:eastAsia="SimSun"/>
          <w:sz w:val="21"/>
          <w:szCs w:val="21"/>
        </w:rPr>
        <w:t xml:space="preserve">applicability of </w:t>
      </w:r>
      <w:r w:rsidR="0026733E">
        <w:rPr>
          <w:rFonts w:eastAsia="SimSun"/>
          <w:sz w:val="21"/>
          <w:szCs w:val="21"/>
        </w:rPr>
        <w:t xml:space="preserve">Type 3 power headroom is </w:t>
      </w:r>
      <w:r w:rsidR="006B5C6E">
        <w:rPr>
          <w:rFonts w:eastAsia="SimSun"/>
          <w:sz w:val="21"/>
          <w:szCs w:val="21"/>
        </w:rPr>
        <w:t>limited only to “PUSCH-less” carriers, e.g. SDL. This restriction should be lifted at least for a new MAC-CE, named for example “</w:t>
      </w:r>
      <w:r w:rsidR="006B5C6E" w:rsidRPr="00C55C8B">
        <w:rPr>
          <w:rFonts w:eastAsia="SimSun"/>
          <w:sz w:val="21"/>
          <w:szCs w:val="21"/>
        </w:rPr>
        <w:t xml:space="preserve">SRS resource </w:t>
      </w:r>
      <w:r w:rsidR="006B5C6E">
        <w:rPr>
          <w:rFonts w:eastAsia="SimSun"/>
          <w:sz w:val="21"/>
          <w:szCs w:val="21"/>
        </w:rPr>
        <w:t>PHR</w:t>
      </w:r>
      <w:r w:rsidR="006B5C6E" w:rsidRPr="00C55C8B">
        <w:rPr>
          <w:rFonts w:eastAsia="SimSun"/>
          <w:sz w:val="21"/>
          <w:szCs w:val="21"/>
        </w:rPr>
        <w:t>”</w:t>
      </w:r>
      <w:r w:rsidR="006B5C6E">
        <w:rPr>
          <w:rFonts w:eastAsia="SimSun"/>
          <w:sz w:val="21"/>
          <w:szCs w:val="21"/>
        </w:rPr>
        <w:t xml:space="preserve"> (see clause 2.1.3.3), which should be </w:t>
      </w:r>
      <w:r w:rsidR="00087944">
        <w:rPr>
          <w:rFonts w:eastAsia="SimSun"/>
          <w:sz w:val="21"/>
          <w:szCs w:val="21"/>
        </w:rPr>
        <w:t>straightforward to</w:t>
      </w:r>
      <w:r w:rsidR="006B5C6E">
        <w:rPr>
          <w:rFonts w:eastAsia="SimSun"/>
          <w:sz w:val="21"/>
          <w:szCs w:val="21"/>
        </w:rPr>
        <w:t xml:space="preserve"> incorporate into the text. </w:t>
      </w:r>
    </w:p>
    <w:tbl>
      <w:tblPr>
        <w:tblStyle w:val="TableGrid"/>
        <w:tblW w:w="0" w:type="auto"/>
        <w:tblLook w:val="04A0" w:firstRow="1" w:lastRow="0" w:firstColumn="1" w:lastColumn="0" w:noHBand="0" w:noVBand="1"/>
      </w:tblPr>
      <w:tblGrid>
        <w:gridCol w:w="9631"/>
      </w:tblGrid>
      <w:tr w:rsidR="00661319" w:rsidRPr="00661319" w14:paraId="5BDEBC0F" w14:textId="77777777" w:rsidTr="00C13125">
        <w:tc>
          <w:tcPr>
            <w:tcW w:w="9631" w:type="dxa"/>
          </w:tcPr>
          <w:p w14:paraId="1D667C86" w14:textId="4126F5A4" w:rsidR="00661319" w:rsidRPr="00661319" w:rsidRDefault="00661319" w:rsidP="00661319">
            <w:pPr>
              <w:rPr>
                <w:sz w:val="20"/>
                <w:szCs w:val="20"/>
              </w:rPr>
            </w:pPr>
            <w:r w:rsidRPr="00661319">
              <w:rPr>
                <w:sz w:val="20"/>
                <w:szCs w:val="20"/>
              </w:rPr>
              <w:lastRenderedPageBreak/>
              <w:t xml:space="preserve">If a UE determines that </w:t>
            </w:r>
            <w:r w:rsidRPr="00661319">
              <w:rPr>
                <w:sz w:val="20"/>
                <w:szCs w:val="20"/>
                <w:lang w:eastAsia="ko-KR"/>
              </w:rPr>
              <w:t>a Type 3 power headroom report for an activated serving cell is based on an actual SRS transmission</w:t>
            </w:r>
            <w:r w:rsidRPr="00661319">
              <w:rPr>
                <w:sz w:val="20"/>
                <w:szCs w:val="20"/>
              </w:rPr>
              <w:t xml:space="preserve"> then, for SRS transmission occasion </w:t>
            </w:r>
            <w:r w:rsidRPr="00661319">
              <w:rPr>
                <w:noProof/>
                <w:position w:val="-6"/>
                <w:sz w:val="20"/>
                <w:szCs w:val="20"/>
              </w:rPr>
              <w:drawing>
                <wp:inline distT="0" distB="0" distL="0" distR="0" wp14:anchorId="536CFE52" wp14:editId="176577F1">
                  <wp:extent cx="95250" cy="180975"/>
                  <wp:effectExtent l="0" t="0" r="0" b="0"/>
                  <wp:docPr id="88"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61319">
              <w:rPr>
                <w:sz w:val="20"/>
                <w:szCs w:val="20"/>
              </w:rPr>
              <w:t xml:space="preserve"> on active UL BWP </w:t>
            </w:r>
            <w:r w:rsidRPr="00661319">
              <w:rPr>
                <w:iCs/>
                <w:noProof/>
                <w:position w:val="-6"/>
                <w:sz w:val="20"/>
                <w:szCs w:val="20"/>
              </w:rPr>
              <w:drawing>
                <wp:inline distT="0" distB="0" distL="0" distR="0" wp14:anchorId="2AB71E76" wp14:editId="4E185A66">
                  <wp:extent cx="180975" cy="180975"/>
                  <wp:effectExtent l="0" t="0" r="0" b="0"/>
                  <wp:docPr id="89"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61319">
              <w:rPr>
                <w:iCs/>
                <w:sz w:val="20"/>
                <w:szCs w:val="20"/>
              </w:rPr>
              <w:t xml:space="preserve"> of </w:t>
            </w:r>
            <w:r w:rsidRPr="00661319">
              <w:rPr>
                <w:sz w:val="20"/>
                <w:szCs w:val="20"/>
              </w:rPr>
              <w:t xml:space="preserve">carrier </w:t>
            </w:r>
            <w:r w:rsidRPr="00661319">
              <w:rPr>
                <w:noProof/>
                <w:position w:val="-10"/>
                <w:sz w:val="20"/>
                <w:szCs w:val="20"/>
              </w:rPr>
              <w:drawing>
                <wp:inline distT="0" distB="0" distL="0" distR="0" wp14:anchorId="1750EA7A" wp14:editId="1640019F">
                  <wp:extent cx="180975" cy="180975"/>
                  <wp:effectExtent l="0" t="0" r="0" b="0"/>
                  <wp:docPr id="90"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61319">
              <w:rPr>
                <w:iCs/>
                <w:sz w:val="20"/>
                <w:szCs w:val="20"/>
              </w:rPr>
              <w:t xml:space="preserve"> of</w:t>
            </w:r>
            <w:r w:rsidRPr="00661319">
              <w:rPr>
                <w:sz w:val="20"/>
                <w:szCs w:val="20"/>
              </w:rPr>
              <w:t xml:space="preserve"> serving cell </w:t>
            </w:r>
            <m:oMath>
              <m:r>
                <w:rPr>
                  <w:rFonts w:ascii="Cambria Math" w:hAnsi="Cambria Math"/>
                  <w:sz w:val="20"/>
                  <w:szCs w:val="20"/>
                </w:rPr>
                <m:t>c</m:t>
              </m:r>
            </m:oMath>
            <w:r w:rsidRPr="00661319">
              <w:rPr>
                <w:sz w:val="20"/>
                <w:szCs w:val="20"/>
              </w:rPr>
              <w:t xml:space="preserve"> </w:t>
            </w:r>
            <w:r w:rsidRPr="0026733E">
              <w:rPr>
                <w:sz w:val="20"/>
                <w:szCs w:val="20"/>
                <w:highlight w:val="yellow"/>
              </w:rPr>
              <w:t xml:space="preserve">and if the UE is not configured for PUSCH transmissions on carrier </w:t>
            </w:r>
            <w:r w:rsidRPr="0026733E">
              <w:rPr>
                <w:noProof/>
                <w:position w:val="-10"/>
                <w:sz w:val="20"/>
                <w:szCs w:val="20"/>
                <w:highlight w:val="yellow"/>
              </w:rPr>
              <w:drawing>
                <wp:inline distT="0" distB="0" distL="0" distR="0" wp14:anchorId="308AE630" wp14:editId="5BAD8678">
                  <wp:extent cx="180975" cy="180975"/>
                  <wp:effectExtent l="0" t="0" r="0" b="0"/>
                  <wp:docPr id="91"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w:t>
            </w:r>
            <w:r w:rsidRPr="0026733E">
              <w:rPr>
                <w:sz w:val="20"/>
                <w:szCs w:val="20"/>
                <w:highlight w:val="yellow"/>
              </w:rPr>
              <w:t xml:space="preserve"> serving cell </w:t>
            </w:r>
            <m:oMath>
              <m:r>
                <w:rPr>
                  <w:rFonts w:ascii="Cambria Math" w:hAnsi="Cambria Math"/>
                  <w:sz w:val="20"/>
                  <w:szCs w:val="20"/>
                  <w:highlight w:val="yellow"/>
                </w:rPr>
                <m:t>c</m:t>
              </m:r>
            </m:oMath>
            <w:r w:rsidRPr="0026733E">
              <w:rPr>
                <w:sz w:val="20"/>
                <w:szCs w:val="20"/>
              </w:rPr>
              <w:t xml:space="preserve"> and</w:t>
            </w:r>
            <w:r w:rsidRPr="00661319">
              <w:rPr>
                <w:rFonts w:hint="eastAsia"/>
                <w:sz w:val="20"/>
                <w:szCs w:val="20"/>
              </w:rPr>
              <w:t xml:space="preserve"> the </w:t>
            </w:r>
            <w:r w:rsidRPr="00661319">
              <w:rPr>
                <w:rFonts w:eastAsia="DengXian"/>
                <w:sz w:val="20"/>
                <w:szCs w:val="20"/>
              </w:rPr>
              <w:t xml:space="preserve">resource for the SRS transmission is provided by </w:t>
            </w:r>
            <w:r w:rsidRPr="00661319">
              <w:rPr>
                <w:rFonts w:eastAsia="DengXian"/>
                <w:i/>
                <w:sz w:val="20"/>
                <w:szCs w:val="20"/>
                <w:lang w:bidi="ar"/>
              </w:rPr>
              <w:t>SRS-Resource</w:t>
            </w:r>
            <w:r w:rsidRPr="00661319">
              <w:rPr>
                <w:sz w:val="20"/>
                <w:szCs w:val="20"/>
              </w:rPr>
              <w:t xml:space="preserve">, the UE computes a Type 3 power headroom report as </w:t>
            </w:r>
          </w:p>
          <w:p w14:paraId="7FC3E8AF" w14:textId="77777777" w:rsidR="00661319" w:rsidRPr="00661319" w:rsidRDefault="00661319" w:rsidP="00661319">
            <w:pPr>
              <w:pStyle w:val="EQ"/>
              <w:jc w:val="center"/>
              <w:rPr>
                <w:sz w:val="20"/>
                <w:szCs w:val="20"/>
              </w:rPr>
            </w:pPr>
            <w:r w:rsidRPr="00661319">
              <w:rPr>
                <w:noProof/>
                <w:position w:val="-16"/>
                <w:sz w:val="20"/>
                <w:szCs w:val="20"/>
              </w:rPr>
              <w:drawing>
                <wp:inline distT="0" distB="0" distL="0" distR="0" wp14:anchorId="2B0C8AED" wp14:editId="1B3A7E11">
                  <wp:extent cx="5953125" cy="276225"/>
                  <wp:effectExtent l="0" t="0" r="0" b="0"/>
                  <wp:docPr id="9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661319">
              <w:rPr>
                <w:sz w:val="20"/>
                <w:szCs w:val="20"/>
              </w:rPr>
              <w:t xml:space="preserve"> [dB]</w:t>
            </w:r>
          </w:p>
          <w:p w14:paraId="5DC707DB" w14:textId="77777777" w:rsidR="00661319" w:rsidRDefault="00661319" w:rsidP="00C13125">
            <w:pPr>
              <w:rPr>
                <w:sz w:val="20"/>
                <w:szCs w:val="20"/>
              </w:rPr>
            </w:pPr>
            <w:r w:rsidRPr="00661319">
              <w:rPr>
                <w:sz w:val="20"/>
                <w:szCs w:val="20"/>
              </w:rPr>
              <w:t xml:space="preserve">where </w:t>
            </w:r>
            <w:r w:rsidRPr="00661319">
              <w:rPr>
                <w:noProof/>
                <w:position w:val="-14"/>
                <w:sz w:val="20"/>
                <w:szCs w:val="20"/>
              </w:rPr>
              <w:drawing>
                <wp:inline distT="0" distB="0" distL="0" distR="0" wp14:anchorId="2E030F18" wp14:editId="4666D90B">
                  <wp:extent cx="704850" cy="238125"/>
                  <wp:effectExtent l="0" t="0" r="0" b="0"/>
                  <wp:docPr id="93"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72A16637" wp14:editId="34DB4969">
                  <wp:extent cx="819150" cy="180975"/>
                  <wp:effectExtent l="0" t="0" r="0" b="0"/>
                  <wp:docPr id="94"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5B9C1DAE" wp14:editId="0F2B8291">
                  <wp:extent cx="638175" cy="180975"/>
                  <wp:effectExtent l="0" t="0" r="0" b="0"/>
                  <wp:docPr id="95"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133CACCD" wp14:editId="19BDE9D3">
                  <wp:extent cx="733425" cy="238125"/>
                  <wp:effectExtent l="0" t="0" r="0" b="0"/>
                  <wp:docPr id="96"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25C003B8" wp14:editId="525B68EF">
                  <wp:extent cx="638175" cy="180975"/>
                  <wp:effectExtent l="0" t="0" r="0" b="0"/>
                  <wp:docPr id="97"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61319">
              <w:rPr>
                <w:rFonts w:hint="eastAsia"/>
                <w:sz w:val="20"/>
                <w:szCs w:val="20"/>
              </w:rPr>
              <w:t xml:space="preserve"> </w:t>
            </w:r>
            <w:r w:rsidRPr="00661319">
              <w:rPr>
                <w:sz w:val="20"/>
                <w:szCs w:val="20"/>
              </w:rPr>
              <w:t xml:space="preserve">and </w:t>
            </w:r>
            <w:r w:rsidRPr="00661319">
              <w:rPr>
                <w:noProof/>
                <w:position w:val="-12"/>
                <w:sz w:val="20"/>
                <w:szCs w:val="20"/>
              </w:rPr>
              <w:drawing>
                <wp:inline distT="0" distB="0" distL="0" distR="0" wp14:anchorId="17D5706B" wp14:editId="7246794F">
                  <wp:extent cx="466725" cy="180975"/>
                  <wp:effectExtent l="0" t="0" r="0" b="0"/>
                  <wp:docPr id="98"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661319">
              <w:rPr>
                <w:sz w:val="20"/>
                <w:szCs w:val="20"/>
              </w:rPr>
              <w:t xml:space="preserve"> are defined in clause 7.3.1 with corresponding values provided by </w:t>
            </w:r>
            <w:r w:rsidRPr="00661319">
              <w:rPr>
                <w:i/>
                <w:sz w:val="20"/>
                <w:szCs w:val="20"/>
              </w:rPr>
              <w:t>SRS-ResourceSet</w:t>
            </w:r>
            <w:r w:rsidRPr="00661319">
              <w:rPr>
                <w:sz w:val="20"/>
                <w:szCs w:val="20"/>
              </w:rPr>
              <w:t>.</w:t>
            </w:r>
          </w:p>
          <w:p w14:paraId="3E1AC7CA" w14:textId="77777777" w:rsidR="00305909" w:rsidRDefault="00305909" w:rsidP="00C13125">
            <w:pPr>
              <w:rPr>
                <w:sz w:val="20"/>
                <w:szCs w:val="20"/>
              </w:rPr>
            </w:pPr>
          </w:p>
          <w:p w14:paraId="5AE0E1F0" w14:textId="25871E81" w:rsidR="00305909" w:rsidRPr="00305909" w:rsidRDefault="00305909" w:rsidP="00305909">
            <w:pPr>
              <w:rPr>
                <w:sz w:val="20"/>
                <w:szCs w:val="20"/>
              </w:rPr>
            </w:pPr>
            <w:r w:rsidRPr="00305909">
              <w:rPr>
                <w:sz w:val="20"/>
                <w:szCs w:val="20"/>
              </w:rPr>
              <w:t xml:space="preserve">If the UE determines that </w:t>
            </w:r>
            <w:r w:rsidRPr="00305909">
              <w:rPr>
                <w:sz w:val="20"/>
                <w:szCs w:val="20"/>
                <w:lang w:eastAsia="ko-KR"/>
              </w:rPr>
              <w:t xml:space="preserve">a Type 3 power headroom report for an activated serving cell is based on a reference SRS transmission </w:t>
            </w:r>
            <w:r w:rsidRPr="00305909">
              <w:rPr>
                <w:sz w:val="20"/>
                <w:szCs w:val="20"/>
              </w:rPr>
              <w:t xml:space="preserve">then, for SRS transmission occasion </w:t>
            </w:r>
            <w:r w:rsidRPr="00305909">
              <w:rPr>
                <w:noProof/>
                <w:position w:val="-6"/>
                <w:sz w:val="20"/>
                <w:szCs w:val="20"/>
              </w:rPr>
              <w:drawing>
                <wp:inline distT="0" distB="0" distL="0" distR="0" wp14:anchorId="0FDE9737" wp14:editId="695BDEE3">
                  <wp:extent cx="95250" cy="180975"/>
                  <wp:effectExtent l="0" t="0" r="0" b="0"/>
                  <wp:docPr id="99"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05909">
              <w:rPr>
                <w:sz w:val="20"/>
                <w:szCs w:val="20"/>
              </w:rPr>
              <w:t xml:space="preserve"> on UL BWP </w:t>
            </w:r>
            <w:r w:rsidRPr="00305909">
              <w:rPr>
                <w:iCs/>
                <w:noProof/>
                <w:position w:val="-6"/>
                <w:sz w:val="20"/>
                <w:szCs w:val="20"/>
              </w:rPr>
              <w:drawing>
                <wp:inline distT="0" distB="0" distL="0" distR="0" wp14:anchorId="0482965E" wp14:editId="20CF36D8">
                  <wp:extent cx="180975" cy="180975"/>
                  <wp:effectExtent l="0" t="0" r="0" b="0"/>
                  <wp:docPr id="100"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of</w:t>
            </w:r>
            <w:r w:rsidRPr="00305909">
              <w:rPr>
                <w:sz w:val="20"/>
                <w:szCs w:val="20"/>
              </w:rPr>
              <w:t xml:space="preserve"> carrier </w:t>
            </w:r>
            <w:r w:rsidRPr="00305909">
              <w:rPr>
                <w:noProof/>
                <w:position w:val="-10"/>
                <w:sz w:val="20"/>
                <w:szCs w:val="20"/>
              </w:rPr>
              <w:drawing>
                <wp:inline distT="0" distB="0" distL="0" distR="0" wp14:anchorId="4877B3C4" wp14:editId="333841FE">
                  <wp:extent cx="180975" cy="180975"/>
                  <wp:effectExtent l="0" t="0" r="0" b="0"/>
                  <wp:docPr id="101"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of</w:t>
            </w:r>
            <w:r w:rsidRPr="00305909">
              <w:rPr>
                <w:sz w:val="20"/>
                <w:szCs w:val="20"/>
              </w:rPr>
              <w:t xml:space="preserve"> serving cell </w:t>
            </w:r>
            <m:oMath>
              <m:r>
                <w:rPr>
                  <w:rFonts w:ascii="Cambria Math" w:hAnsi="Cambria Math"/>
                  <w:sz w:val="20"/>
                  <w:szCs w:val="20"/>
                </w:rPr>
                <m:t>c</m:t>
              </m:r>
            </m:oMath>
            <w:r w:rsidRPr="00305909">
              <w:rPr>
                <w:sz w:val="20"/>
                <w:szCs w:val="20"/>
              </w:rPr>
              <w:t xml:space="preserve">, </w:t>
            </w:r>
            <w:r w:rsidRPr="0026733E">
              <w:rPr>
                <w:sz w:val="20"/>
                <w:szCs w:val="20"/>
                <w:highlight w:val="yellow"/>
              </w:rPr>
              <w:t xml:space="preserve">and if the UE is not configured for PUSCH transmissions on UL BWP </w:t>
            </w:r>
            <w:r w:rsidRPr="0026733E">
              <w:rPr>
                <w:iCs/>
                <w:noProof/>
                <w:position w:val="-6"/>
                <w:sz w:val="20"/>
                <w:szCs w:val="20"/>
                <w:highlight w:val="yellow"/>
              </w:rPr>
              <w:drawing>
                <wp:inline distT="0" distB="0" distL="0" distR="0" wp14:anchorId="1048744F" wp14:editId="46A2B5AB">
                  <wp:extent cx="180975" cy="180975"/>
                  <wp:effectExtent l="0" t="0" r="0" b="0"/>
                  <wp:docPr id="102"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 </w:t>
            </w:r>
            <w:r w:rsidRPr="0026733E">
              <w:rPr>
                <w:sz w:val="20"/>
                <w:szCs w:val="20"/>
                <w:highlight w:val="yellow"/>
              </w:rPr>
              <w:t xml:space="preserve">carrier </w:t>
            </w:r>
            <w:r w:rsidRPr="0026733E">
              <w:rPr>
                <w:noProof/>
                <w:position w:val="-10"/>
                <w:sz w:val="20"/>
                <w:szCs w:val="20"/>
                <w:highlight w:val="yellow"/>
              </w:rPr>
              <w:drawing>
                <wp:inline distT="0" distB="0" distL="0" distR="0" wp14:anchorId="6B203916" wp14:editId="4E3AE446">
                  <wp:extent cx="180975" cy="180975"/>
                  <wp:effectExtent l="0" t="0" r="0" b="0"/>
                  <wp:docPr id="103"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w:t>
            </w:r>
            <w:r w:rsidRPr="0026733E">
              <w:rPr>
                <w:sz w:val="20"/>
                <w:szCs w:val="20"/>
                <w:highlight w:val="yellow"/>
              </w:rPr>
              <w:t xml:space="preserve"> serving cell </w:t>
            </w:r>
            <m:oMath>
              <m:r>
                <w:rPr>
                  <w:rFonts w:ascii="Cambria Math" w:hAnsi="Cambria Math"/>
                  <w:sz w:val="20"/>
                  <w:szCs w:val="20"/>
                  <w:highlight w:val="yellow"/>
                </w:rPr>
                <m:t>c</m:t>
              </m:r>
            </m:oMath>
            <w:r w:rsidRPr="00305909">
              <w:rPr>
                <w:rFonts w:hint="eastAsia"/>
                <w:sz w:val="20"/>
                <w:szCs w:val="20"/>
              </w:rPr>
              <w:t xml:space="preserve"> and </w:t>
            </w:r>
            <w:r w:rsidRPr="00305909">
              <w:rPr>
                <w:sz w:val="20"/>
                <w:szCs w:val="20"/>
              </w:rPr>
              <w:t xml:space="preserve">a resource for </w:t>
            </w:r>
            <w:r w:rsidRPr="00305909">
              <w:rPr>
                <w:rFonts w:hint="eastAsia"/>
                <w:sz w:val="20"/>
                <w:szCs w:val="20"/>
              </w:rPr>
              <w:t xml:space="preserve">the </w:t>
            </w:r>
            <w:r w:rsidRPr="00305909">
              <w:rPr>
                <w:sz w:val="20"/>
                <w:szCs w:val="20"/>
                <w:lang w:eastAsia="ko-KR"/>
              </w:rPr>
              <w:t xml:space="preserve">reference </w:t>
            </w:r>
            <w:r w:rsidRPr="00305909">
              <w:rPr>
                <w:rFonts w:eastAsia="DengXian"/>
                <w:sz w:val="20"/>
                <w:szCs w:val="20"/>
              </w:rPr>
              <w:t xml:space="preserve">SRS transmission is provided by </w:t>
            </w:r>
            <w:r w:rsidRPr="00305909">
              <w:rPr>
                <w:rFonts w:eastAsia="DengXian"/>
                <w:i/>
                <w:sz w:val="20"/>
                <w:szCs w:val="20"/>
                <w:lang w:bidi="ar"/>
              </w:rPr>
              <w:t>SRS-Resource</w:t>
            </w:r>
            <w:r w:rsidRPr="00305909">
              <w:rPr>
                <w:sz w:val="20"/>
                <w:szCs w:val="20"/>
              </w:rPr>
              <w:t xml:space="preserve">, the UE computes a Type 3 power headroom report as </w:t>
            </w:r>
          </w:p>
          <w:p w14:paraId="0048A82E" w14:textId="77777777" w:rsidR="00305909" w:rsidRPr="00305909" w:rsidRDefault="00305909" w:rsidP="00305909">
            <w:pPr>
              <w:pStyle w:val="EQ"/>
              <w:rPr>
                <w:sz w:val="20"/>
                <w:szCs w:val="20"/>
              </w:rPr>
            </w:pPr>
            <w:r w:rsidRPr="00305909">
              <w:rPr>
                <w:sz w:val="20"/>
                <w:szCs w:val="20"/>
              </w:rPr>
              <w:tab/>
            </w:r>
            <w:r w:rsidRPr="00305909">
              <w:rPr>
                <w:noProof/>
                <w:position w:val="-12"/>
                <w:sz w:val="20"/>
                <w:szCs w:val="20"/>
              </w:rPr>
              <w:drawing>
                <wp:inline distT="0" distB="0" distL="0" distR="0" wp14:anchorId="44541ED5" wp14:editId="6A2F9D34">
                  <wp:extent cx="4467225" cy="238125"/>
                  <wp:effectExtent l="0" t="0" r="0" b="0"/>
                  <wp:docPr id="104"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7225" cy="238125"/>
                          </a:xfrm>
                          <a:prstGeom prst="rect">
                            <a:avLst/>
                          </a:prstGeom>
                          <a:noFill/>
                          <a:ln>
                            <a:noFill/>
                          </a:ln>
                        </pic:spPr>
                      </pic:pic>
                    </a:graphicData>
                  </a:graphic>
                </wp:inline>
              </w:drawing>
            </w:r>
            <w:r w:rsidRPr="00305909">
              <w:rPr>
                <w:sz w:val="20"/>
                <w:szCs w:val="20"/>
              </w:rPr>
              <w:t xml:space="preserve"> [dB]</w:t>
            </w:r>
          </w:p>
          <w:p w14:paraId="6AF88A4E" w14:textId="1003031B" w:rsidR="00305909" w:rsidRPr="00661319" w:rsidRDefault="00305909" w:rsidP="00C13125">
            <w:r w:rsidRPr="00305909">
              <w:rPr>
                <w:sz w:val="20"/>
                <w:szCs w:val="20"/>
              </w:rPr>
              <w:t xml:space="preserve">where </w:t>
            </w:r>
            <w:r w:rsidRPr="00305909">
              <w:rPr>
                <w:noProof/>
                <w:position w:val="-10"/>
                <w:sz w:val="20"/>
                <w:szCs w:val="20"/>
              </w:rPr>
              <w:drawing>
                <wp:inline distT="0" distB="0" distL="0" distR="0" wp14:anchorId="3FAECD33" wp14:editId="3002FA4A">
                  <wp:extent cx="180975" cy="238125"/>
                  <wp:effectExtent l="0" t="0" r="0" b="0"/>
                  <wp:docPr id="105"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05909">
              <w:rPr>
                <w:sz w:val="20"/>
                <w:szCs w:val="20"/>
              </w:rPr>
              <w:t xml:space="preserve"> is an SRS resource set corresponding to </w:t>
            </w:r>
            <w:r w:rsidRPr="00305909">
              <w:rPr>
                <w:i/>
                <w:sz w:val="20"/>
                <w:szCs w:val="20"/>
              </w:rPr>
              <w:t>SRS-ResourceSetId = 0</w:t>
            </w:r>
            <w:r w:rsidRPr="00305909">
              <w:rPr>
                <w:sz w:val="20"/>
                <w:szCs w:val="20"/>
              </w:rPr>
              <w:t xml:space="preserve"> for UL BWP </w:t>
            </w:r>
            <w:r w:rsidRPr="00305909">
              <w:rPr>
                <w:iCs/>
                <w:noProof/>
                <w:position w:val="-6"/>
                <w:sz w:val="20"/>
                <w:szCs w:val="20"/>
              </w:rPr>
              <w:drawing>
                <wp:inline distT="0" distB="0" distL="0" distR="0" wp14:anchorId="7D48BDC6" wp14:editId="6AA54D69">
                  <wp:extent cx="180975" cy="180975"/>
                  <wp:effectExtent l="0" t="0" r="0" b="0"/>
                  <wp:docPr id="106"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w:t>
            </w:r>
            <w:r w:rsidRPr="00305909">
              <w:rPr>
                <w:sz w:val="20"/>
                <w:szCs w:val="20"/>
              </w:rPr>
              <w:t xml:space="preserve">and </w:t>
            </w:r>
            <w:r w:rsidRPr="00305909">
              <w:rPr>
                <w:noProof/>
                <w:position w:val="-12"/>
                <w:sz w:val="20"/>
                <w:szCs w:val="20"/>
              </w:rPr>
              <w:drawing>
                <wp:inline distT="0" distB="0" distL="0" distR="0" wp14:anchorId="6297B858" wp14:editId="7187E3D4">
                  <wp:extent cx="819150" cy="238125"/>
                  <wp:effectExtent l="0" t="0" r="0" b="0"/>
                  <wp:docPr id="107"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053C3062" wp14:editId="7118D685">
                  <wp:extent cx="733425" cy="238125"/>
                  <wp:effectExtent l="0" t="0" r="0" b="0"/>
                  <wp:docPr id="108"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60EAB1FD" wp14:editId="26BB128D">
                  <wp:extent cx="638175" cy="238125"/>
                  <wp:effectExtent l="0" t="0" r="0" b="0"/>
                  <wp:docPr id="109"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305909">
              <w:rPr>
                <w:sz w:val="20"/>
                <w:szCs w:val="20"/>
              </w:rPr>
              <w:t xml:space="preserve"> and </w:t>
            </w:r>
            <w:r w:rsidRPr="00305909">
              <w:rPr>
                <w:noProof/>
                <w:position w:val="-12"/>
                <w:sz w:val="20"/>
                <w:szCs w:val="20"/>
              </w:rPr>
              <w:drawing>
                <wp:inline distT="0" distB="0" distL="0" distR="0" wp14:anchorId="71C36451" wp14:editId="6FEC60FF">
                  <wp:extent cx="466725" cy="238125"/>
                  <wp:effectExtent l="0" t="0" r="0" b="0"/>
                  <wp:docPr id="110"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305909">
              <w:rPr>
                <w:sz w:val="20"/>
                <w:szCs w:val="20"/>
              </w:rPr>
              <w:t xml:space="preserve"> are defined in clause 7.3.1 with corresponding values obtained from </w:t>
            </w:r>
            <w:r w:rsidRPr="00305909">
              <w:rPr>
                <w:i/>
                <w:sz w:val="20"/>
                <w:szCs w:val="20"/>
              </w:rPr>
              <w:t>SRS-ResourceSetId = 0</w:t>
            </w:r>
            <w:r w:rsidRPr="00305909">
              <w:rPr>
                <w:sz w:val="20"/>
                <w:szCs w:val="20"/>
              </w:rPr>
              <w:t xml:space="preserve"> for UL BWP </w:t>
            </w:r>
            <w:r w:rsidRPr="00305909">
              <w:rPr>
                <w:iCs/>
                <w:noProof/>
                <w:position w:val="-6"/>
                <w:sz w:val="20"/>
                <w:szCs w:val="20"/>
              </w:rPr>
              <w:drawing>
                <wp:inline distT="0" distB="0" distL="0" distR="0" wp14:anchorId="5A52144A" wp14:editId="19E14C41">
                  <wp:extent cx="180975" cy="180975"/>
                  <wp:effectExtent l="0" t="0" r="0" b="0"/>
                  <wp:docPr id="111"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73370645" wp14:editId="20F868CC">
                  <wp:extent cx="733425" cy="238125"/>
                  <wp:effectExtent l="0" t="0" r="0" b="0"/>
                  <wp:docPr id="112"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5909">
              <w:rPr>
                <w:sz w:val="20"/>
                <w:szCs w:val="20"/>
              </w:rPr>
              <w:t xml:space="preserve"> is computed assuming MPR=0 dB, A-MPR=0 dB, P-MPR=0 dB and </w:t>
            </w:r>
            <w:r w:rsidRPr="00305909">
              <w:rPr>
                <w:rFonts w:ascii="Symbol" w:hAnsi="Symbol"/>
                <w:sz w:val="20"/>
                <w:szCs w:val="20"/>
                <w:lang w:bidi="bn-IN"/>
              </w:rPr>
              <w:t></w:t>
            </w:r>
            <w:r w:rsidRPr="00305909">
              <w:rPr>
                <w:sz w:val="20"/>
                <w:szCs w:val="20"/>
                <w:lang w:bidi="bn-IN"/>
              </w:rPr>
              <w:t>T</w:t>
            </w:r>
            <w:r w:rsidRPr="00305909">
              <w:rPr>
                <w:sz w:val="20"/>
                <w:szCs w:val="20"/>
                <w:vertAlign w:val="subscript"/>
                <w:lang w:bidi="bn-IN"/>
              </w:rPr>
              <w:t>C</w:t>
            </w:r>
            <w:r w:rsidRPr="00305909">
              <w:rPr>
                <w:sz w:val="20"/>
                <w:szCs w:val="20"/>
              </w:rPr>
              <w:t xml:space="preserve"> =0 dB. MPR, A-MPR, P-MPR and </w:t>
            </w:r>
            <w:r w:rsidRPr="00305909">
              <w:rPr>
                <w:rFonts w:ascii="Symbol" w:hAnsi="Symbol"/>
                <w:sz w:val="20"/>
                <w:szCs w:val="20"/>
                <w:lang w:bidi="bn-IN"/>
              </w:rPr>
              <w:t></w:t>
            </w:r>
            <w:r w:rsidRPr="00305909">
              <w:rPr>
                <w:sz w:val="20"/>
                <w:szCs w:val="20"/>
                <w:lang w:bidi="bn-IN"/>
              </w:rPr>
              <w:t>T</w:t>
            </w:r>
            <w:r w:rsidRPr="00305909">
              <w:rPr>
                <w:sz w:val="20"/>
                <w:szCs w:val="20"/>
                <w:vertAlign w:val="subscript"/>
                <w:lang w:bidi="bn-IN"/>
              </w:rPr>
              <w:t>C</w:t>
            </w:r>
            <w:r w:rsidRPr="00305909">
              <w:rPr>
                <w:sz w:val="20"/>
                <w:szCs w:val="20"/>
              </w:rPr>
              <w:t xml:space="preserve"> are defined in [8-1, TS 38.101-1], [8-2, TS 38.101-2], [8-3, TS 38.101-3] and [8-5, TS 38.101-5].</w:t>
            </w:r>
            <w:r w:rsidRPr="00B916EC" w:rsidDel="00A0699B">
              <w:t xml:space="preserve"> </w:t>
            </w:r>
          </w:p>
        </w:tc>
      </w:tr>
    </w:tbl>
    <w:p w14:paraId="0AE170AE" w14:textId="77777777" w:rsidR="00661319" w:rsidRPr="00087944" w:rsidRDefault="00661319" w:rsidP="00661319">
      <w:pPr>
        <w:spacing w:after="120"/>
        <w:rPr>
          <w:rFonts w:eastAsia="SimSun"/>
          <w:sz w:val="21"/>
          <w:szCs w:val="21"/>
        </w:rPr>
      </w:pPr>
    </w:p>
    <w:p w14:paraId="3DD1E431" w14:textId="1B0B3512" w:rsidR="00087944" w:rsidRDefault="00087944" w:rsidP="00661319">
      <w:pPr>
        <w:spacing w:after="120"/>
        <w:rPr>
          <w:rFonts w:eastAsia="SimSun"/>
          <w:sz w:val="21"/>
          <w:szCs w:val="21"/>
        </w:rPr>
      </w:pPr>
      <w:r w:rsidRPr="00087944">
        <w:rPr>
          <w:rFonts w:eastAsia="SimSun"/>
          <w:sz w:val="21"/>
          <w:szCs w:val="21"/>
        </w:rPr>
        <w:t xml:space="preserve">One </w:t>
      </w:r>
      <w:r>
        <w:rPr>
          <w:rFonts w:eastAsia="SimSun"/>
          <w:sz w:val="21"/>
          <w:szCs w:val="21"/>
        </w:rPr>
        <w:t>possible way to do it is the following:</w:t>
      </w:r>
    </w:p>
    <w:tbl>
      <w:tblPr>
        <w:tblStyle w:val="TableGrid"/>
        <w:tblW w:w="0" w:type="auto"/>
        <w:tblLook w:val="04A0" w:firstRow="1" w:lastRow="0" w:firstColumn="1" w:lastColumn="0" w:noHBand="0" w:noVBand="1"/>
      </w:tblPr>
      <w:tblGrid>
        <w:gridCol w:w="9631"/>
      </w:tblGrid>
      <w:tr w:rsidR="00087944" w14:paraId="04D4B053" w14:textId="77777777" w:rsidTr="00087944">
        <w:tc>
          <w:tcPr>
            <w:tcW w:w="9631" w:type="dxa"/>
          </w:tcPr>
          <w:p w14:paraId="3482466E" w14:textId="70B96B52" w:rsidR="00087944" w:rsidRPr="00087944" w:rsidRDefault="00087944" w:rsidP="00661319">
            <w:pPr>
              <w:spacing w:after="120"/>
              <w:rPr>
                <w:rFonts w:eastAsia="SimSun"/>
                <w:sz w:val="21"/>
                <w:szCs w:val="21"/>
              </w:rPr>
            </w:pPr>
            <w:r w:rsidRPr="00087944">
              <w:rPr>
                <w:rFonts w:eastAsia="SimSun"/>
                <w:sz w:val="21"/>
                <w:szCs w:val="21"/>
              </w:rPr>
              <w:t>If a UE determines that a Type 3 power headroom report for an activated serving cell is based on an actual SRS transmission then, for SRS transmission occasion  on active UL BWP  of carrier f of serving cell c and if the UE is not configured for PUSCH transmissions on carrier f of serving cell c and the resource for the SRS transmission is provided by </w:t>
            </w:r>
            <w:r w:rsidRPr="00087944">
              <w:rPr>
                <w:rFonts w:eastAsia="SimSun"/>
                <w:i/>
                <w:iCs/>
                <w:sz w:val="21"/>
                <w:szCs w:val="21"/>
              </w:rPr>
              <w:t>SRS-Resource</w:t>
            </w:r>
            <w:r>
              <w:rPr>
                <w:rFonts w:eastAsia="SimSun"/>
                <w:sz w:val="21"/>
                <w:szCs w:val="21"/>
              </w:rPr>
              <w:t xml:space="preserve"> </w:t>
            </w:r>
            <w:ins w:id="3" w:author="Stefan Cerovic" w:date="2024-11-08T15:52:00Z">
              <w:r w:rsidRPr="00087944">
                <w:rPr>
                  <w:rFonts w:eastAsia="SimSun"/>
                  <w:sz w:val="21"/>
                  <w:szCs w:val="21"/>
                </w:rPr>
                <w:t>[or if the UE is configured for PUSCH transmissions on carrier c of serving cell f and the resource for the SRS transmission is provided by </w:t>
              </w:r>
              <w:r w:rsidRPr="00087944">
                <w:rPr>
                  <w:rFonts w:eastAsia="SimSun"/>
                  <w:i/>
                  <w:iCs/>
                  <w:sz w:val="21"/>
                  <w:szCs w:val="21"/>
                </w:rPr>
                <w:t>SRS-Resource</w:t>
              </w:r>
              <w:r w:rsidRPr="00087944">
                <w:rPr>
                  <w:rFonts w:eastAsia="SimSun"/>
                  <w:sz w:val="21"/>
                  <w:szCs w:val="21"/>
                </w:rPr>
                <w:t xml:space="preserve"> with usage antennaSwitching], </w:t>
              </w:r>
            </w:ins>
            <w:r w:rsidRPr="00087944">
              <w:rPr>
                <w:rFonts w:eastAsia="SimSun"/>
                <w:sz w:val="21"/>
                <w:szCs w:val="21"/>
              </w:rPr>
              <w:t>the UE computes a Type 3 power headroom report as </w:t>
            </w:r>
          </w:p>
        </w:tc>
      </w:tr>
    </w:tbl>
    <w:p w14:paraId="3D1C7E4B" w14:textId="77777777" w:rsidR="00087944" w:rsidRDefault="00087944" w:rsidP="00661319">
      <w:pPr>
        <w:spacing w:after="120"/>
        <w:rPr>
          <w:rFonts w:eastAsia="SimSun"/>
          <w:sz w:val="21"/>
          <w:szCs w:val="21"/>
        </w:rPr>
      </w:pPr>
    </w:p>
    <w:p w14:paraId="46F907A4" w14:textId="77777777" w:rsidR="00087944" w:rsidRPr="00087944" w:rsidRDefault="00087944" w:rsidP="00661319">
      <w:pPr>
        <w:spacing w:after="120"/>
        <w:rPr>
          <w:rFonts w:eastAsia="SimSun"/>
          <w:sz w:val="21"/>
          <w:szCs w:val="21"/>
        </w:rPr>
      </w:pPr>
    </w:p>
    <w:p w14:paraId="0E71129F" w14:textId="5396705D" w:rsidR="00C34E02" w:rsidRDefault="00C34E02" w:rsidP="00C34E02">
      <w:pPr>
        <w:pStyle w:val="Heading4"/>
      </w:pPr>
      <w:r>
        <w:t>RAN2 specifications: TS38.321</w:t>
      </w:r>
    </w:p>
    <w:p w14:paraId="72D495BC" w14:textId="6F42E4AC" w:rsidR="00C34E02" w:rsidRDefault="00A00506" w:rsidP="00CF74A4">
      <w:pPr>
        <w:spacing w:after="120"/>
        <w:rPr>
          <w:rFonts w:eastAsia="SimSun"/>
          <w:sz w:val="21"/>
          <w:szCs w:val="21"/>
        </w:rPr>
      </w:pPr>
      <w:r>
        <w:rPr>
          <w:rFonts w:eastAsia="SimSun"/>
          <w:sz w:val="21"/>
          <w:szCs w:val="21"/>
        </w:rPr>
        <w:t xml:space="preserve">Power Headroom (PH) framework </w:t>
      </w:r>
      <w:r w:rsidR="00281612">
        <w:rPr>
          <w:rFonts w:eastAsia="SimSun"/>
          <w:sz w:val="21"/>
          <w:szCs w:val="21"/>
        </w:rPr>
        <w:t>specified in TS38.321</w:t>
      </w:r>
      <w:r w:rsidR="00983AFE">
        <w:rPr>
          <w:rFonts w:eastAsia="SimSun"/>
          <w:sz w:val="21"/>
          <w:szCs w:val="21"/>
        </w:rPr>
        <w:t xml:space="preserve"> [</w:t>
      </w:r>
      <w:r w:rsidR="00FB6760">
        <w:rPr>
          <w:rFonts w:eastAsia="SimSun"/>
          <w:sz w:val="21"/>
          <w:szCs w:val="21"/>
        </w:rPr>
        <w:t>8</w:t>
      </w:r>
      <w:r w:rsidR="00983AFE">
        <w:rPr>
          <w:rFonts w:eastAsia="SimSun"/>
          <w:sz w:val="21"/>
          <w:szCs w:val="21"/>
        </w:rPr>
        <w:t>]</w:t>
      </w:r>
      <w:r w:rsidR="00281612">
        <w:rPr>
          <w:rFonts w:eastAsia="SimSun"/>
          <w:sz w:val="21"/>
          <w:szCs w:val="21"/>
        </w:rPr>
        <w:t xml:space="preserve"> </w:t>
      </w:r>
      <w:r>
        <w:rPr>
          <w:rFonts w:eastAsia="SimSun"/>
          <w:sz w:val="21"/>
          <w:szCs w:val="21"/>
        </w:rPr>
        <w:t xml:space="preserve">could be used </w:t>
      </w:r>
      <w:r w:rsidR="00281612">
        <w:rPr>
          <w:rFonts w:eastAsia="SimSun"/>
          <w:sz w:val="21"/>
          <w:szCs w:val="21"/>
        </w:rPr>
        <w:t xml:space="preserve">for the proposed reporting solution. </w:t>
      </w:r>
      <w:r w:rsidR="00C34E02" w:rsidRPr="00C55C8B">
        <w:rPr>
          <w:rFonts w:eastAsia="SimSun"/>
          <w:sz w:val="21"/>
          <w:szCs w:val="21"/>
        </w:rPr>
        <w:t>PH used for the SRS resource can be a Type 3 but used for a new MAC-CE</w:t>
      </w:r>
      <w:r w:rsidR="002D4165">
        <w:rPr>
          <w:rFonts w:eastAsia="SimSun"/>
          <w:sz w:val="21"/>
          <w:szCs w:val="21"/>
        </w:rPr>
        <w:t>, for example called</w:t>
      </w:r>
      <w:r w:rsidR="00C34E02" w:rsidRPr="00C55C8B">
        <w:rPr>
          <w:rFonts w:eastAsia="SimSun"/>
          <w:sz w:val="21"/>
          <w:szCs w:val="21"/>
        </w:rPr>
        <w:t xml:space="preserve"> “SRS resource </w:t>
      </w:r>
      <w:r w:rsidR="00055BA3">
        <w:rPr>
          <w:rFonts w:eastAsia="SimSun"/>
          <w:sz w:val="21"/>
          <w:szCs w:val="21"/>
        </w:rPr>
        <w:t>PHR</w:t>
      </w:r>
      <w:r w:rsidR="00C34E02" w:rsidRPr="00C55C8B">
        <w:rPr>
          <w:rFonts w:eastAsia="SimSun"/>
          <w:sz w:val="21"/>
          <w:szCs w:val="21"/>
        </w:rPr>
        <w:t>”</w:t>
      </w:r>
      <w:r w:rsidR="002D4165">
        <w:rPr>
          <w:rFonts w:eastAsia="SimSun"/>
          <w:sz w:val="21"/>
          <w:szCs w:val="21"/>
        </w:rPr>
        <w:t>. A similar approach as for the</w:t>
      </w:r>
      <w:r w:rsidR="00C34E02">
        <w:rPr>
          <w:rFonts w:eastAsia="SimSun"/>
          <w:sz w:val="21"/>
          <w:szCs w:val="21"/>
        </w:rPr>
        <w:t xml:space="preserve"> “</w:t>
      </w:r>
      <w:r w:rsidR="002D4165">
        <w:rPr>
          <w:rFonts w:eastAsia="SimSun"/>
          <w:sz w:val="21"/>
          <w:szCs w:val="21"/>
        </w:rPr>
        <w:t>Multiple</w:t>
      </w:r>
      <w:r w:rsidR="00C34E02" w:rsidRPr="003330E4">
        <w:rPr>
          <w:rFonts w:eastAsia="SimSun"/>
          <w:sz w:val="21"/>
          <w:szCs w:val="21"/>
        </w:rPr>
        <w:t xml:space="preserve"> Entry PHR MAC CE</w:t>
      </w:r>
      <w:r w:rsidR="00C34E02">
        <w:rPr>
          <w:rFonts w:eastAsia="SimSun"/>
          <w:sz w:val="21"/>
          <w:szCs w:val="21"/>
        </w:rPr>
        <w:t>”</w:t>
      </w:r>
      <w:r w:rsidR="002D4165">
        <w:rPr>
          <w:rFonts w:eastAsia="SimSun"/>
          <w:sz w:val="21"/>
          <w:szCs w:val="21"/>
        </w:rPr>
        <w:t xml:space="preserve"> could be used</w:t>
      </w:r>
      <w:r w:rsidR="00D20A6F">
        <w:rPr>
          <w:rFonts w:eastAsia="SimSun"/>
          <w:sz w:val="21"/>
          <w:szCs w:val="21"/>
        </w:rPr>
        <w:t xml:space="preserve"> (clause 6.1.3.9 in </w:t>
      </w:r>
      <w:r w:rsidR="00190A2C">
        <w:rPr>
          <w:rFonts w:eastAsia="SimSun"/>
          <w:sz w:val="21"/>
          <w:szCs w:val="21"/>
        </w:rPr>
        <w:t>[</w:t>
      </w:r>
      <w:r w:rsidR="00FB6760">
        <w:rPr>
          <w:rFonts w:eastAsia="SimSun"/>
          <w:sz w:val="21"/>
          <w:szCs w:val="21"/>
        </w:rPr>
        <w:t>8</w:t>
      </w:r>
      <w:r w:rsidR="00190A2C">
        <w:rPr>
          <w:rFonts w:eastAsia="SimSun"/>
          <w:sz w:val="21"/>
          <w:szCs w:val="21"/>
        </w:rPr>
        <w:t>]</w:t>
      </w:r>
      <w:r w:rsidR="00D20A6F">
        <w:rPr>
          <w:rFonts w:eastAsia="SimSun"/>
          <w:sz w:val="21"/>
          <w:szCs w:val="21"/>
        </w:rPr>
        <w:t>)</w:t>
      </w:r>
      <w:r w:rsidR="002D4165">
        <w:rPr>
          <w:rFonts w:eastAsia="SimSun"/>
          <w:sz w:val="21"/>
          <w:szCs w:val="21"/>
        </w:rPr>
        <w:t>, where multiple PH (power headroom), P</w:t>
      </w:r>
      <w:r w:rsidR="002D4165" w:rsidRPr="002D4165">
        <w:rPr>
          <w:rFonts w:eastAsia="SimSun"/>
          <w:sz w:val="21"/>
          <w:szCs w:val="21"/>
          <w:vertAlign w:val="subscript"/>
        </w:rPr>
        <w:t>CMAX</w:t>
      </w:r>
      <w:r w:rsidR="002D4165">
        <w:rPr>
          <w:rFonts w:eastAsia="SimSun"/>
          <w:sz w:val="21"/>
          <w:szCs w:val="21"/>
        </w:rPr>
        <w:t xml:space="preserve"> (maximum configured output power) and DPC (</w:t>
      </w:r>
      <w:r w:rsidR="002D4165" w:rsidRPr="00E4577E">
        <w:rPr>
          <w:sz w:val="21"/>
          <w:szCs w:val="21"/>
          <w:lang w:eastAsia="ja-JP"/>
        </w:rPr>
        <w:t>ΔP</w:t>
      </w:r>
      <w:r w:rsidR="002D4165" w:rsidRPr="00E4577E">
        <w:rPr>
          <w:sz w:val="21"/>
          <w:szCs w:val="21"/>
          <w:vertAlign w:val="subscript"/>
          <w:lang w:eastAsia="ja-JP"/>
        </w:rPr>
        <w:t>PowerClass</w:t>
      </w:r>
      <w:r w:rsidR="002D4165">
        <w:rPr>
          <w:rFonts w:eastAsia="SimSun"/>
          <w:sz w:val="21"/>
          <w:szCs w:val="21"/>
        </w:rPr>
        <w:t xml:space="preserve">) fields (each </w:t>
      </w:r>
      <w:r w:rsidR="00983AFE">
        <w:rPr>
          <w:rFonts w:eastAsia="SimSun"/>
          <w:sz w:val="21"/>
          <w:szCs w:val="21"/>
        </w:rPr>
        <w:t>set corresponding to a different SRS resource</w:t>
      </w:r>
      <w:r w:rsidR="002D4165">
        <w:rPr>
          <w:rFonts w:eastAsia="SimSun"/>
          <w:sz w:val="21"/>
          <w:szCs w:val="21"/>
        </w:rPr>
        <w:t>) could be transmitted in a single MAC CE</w:t>
      </w:r>
      <w:r w:rsidR="00C34E02">
        <w:rPr>
          <w:rFonts w:eastAsia="SimSun"/>
          <w:sz w:val="21"/>
          <w:szCs w:val="21"/>
        </w:rPr>
        <w:t>.</w:t>
      </w:r>
      <w:r>
        <w:rPr>
          <w:rFonts w:eastAsia="SimSun"/>
          <w:sz w:val="21"/>
          <w:szCs w:val="21"/>
        </w:rPr>
        <w:t xml:space="preserve"> The maximum number of entries could be eight, which corresponds to 8 Rx case and 1T8R AS, where an SRS Resource Set consists of eight single port SRS resources.</w:t>
      </w:r>
      <w:r w:rsidR="00C34E02">
        <w:rPr>
          <w:rFonts w:eastAsia="SimSun"/>
          <w:sz w:val="21"/>
          <w:szCs w:val="21"/>
        </w:rPr>
        <w:t xml:space="preserve"> </w:t>
      </w:r>
      <w:r w:rsidR="00C34E02" w:rsidRPr="00C55C8B">
        <w:rPr>
          <w:rFonts w:eastAsia="SimSun"/>
          <w:sz w:val="21"/>
          <w:szCs w:val="21"/>
        </w:rPr>
        <w:t>A new MAC-CE specified for SRS power reporting should be dynamic since SRS AS power levels can change.</w:t>
      </w:r>
    </w:p>
    <w:p w14:paraId="1C34B77B" w14:textId="13152423" w:rsidR="000D1FF7" w:rsidRDefault="00595F1A" w:rsidP="00CF74A4">
      <w:pPr>
        <w:spacing w:after="120"/>
        <w:rPr>
          <w:rFonts w:eastAsia="SimSun"/>
          <w:sz w:val="21"/>
          <w:szCs w:val="21"/>
        </w:rPr>
      </w:pPr>
      <w:r>
        <w:rPr>
          <w:rFonts w:eastAsia="SimSun"/>
          <w:sz w:val="21"/>
          <w:szCs w:val="21"/>
        </w:rPr>
        <w:t xml:space="preserve">The </w:t>
      </w:r>
      <w:r w:rsidR="00190A2C" w:rsidRPr="00C55C8B">
        <w:rPr>
          <w:rFonts w:eastAsia="SimSun"/>
          <w:sz w:val="21"/>
          <w:szCs w:val="21"/>
        </w:rPr>
        <w:t xml:space="preserve">“SRS resource </w:t>
      </w:r>
      <w:r w:rsidR="00190A2C">
        <w:rPr>
          <w:rFonts w:eastAsia="SimSun"/>
          <w:sz w:val="21"/>
          <w:szCs w:val="21"/>
        </w:rPr>
        <w:t xml:space="preserve">PHR MAC CE” could be defined </w:t>
      </w:r>
      <w:proofErr w:type="gramStart"/>
      <w:r w:rsidR="00A00506">
        <w:rPr>
          <w:rFonts w:eastAsia="SimSun"/>
          <w:sz w:val="21"/>
          <w:szCs w:val="21"/>
        </w:rPr>
        <w:t>similar to</w:t>
      </w:r>
      <w:proofErr w:type="gramEnd"/>
      <w:r w:rsidR="00190A2C">
        <w:rPr>
          <w:rFonts w:eastAsia="SimSun"/>
          <w:sz w:val="21"/>
          <w:szCs w:val="21"/>
        </w:rPr>
        <w:t xml:space="preserve"> </w:t>
      </w:r>
      <w:r w:rsidR="000D1FF7">
        <w:rPr>
          <w:rFonts w:eastAsia="SimSun"/>
          <w:sz w:val="21"/>
          <w:szCs w:val="21"/>
        </w:rPr>
        <w:t>follow</w:t>
      </w:r>
      <w:r w:rsidR="00A00506">
        <w:rPr>
          <w:rFonts w:eastAsia="SimSun"/>
          <w:sz w:val="21"/>
          <w:szCs w:val="21"/>
        </w:rPr>
        <w:t>ing</w:t>
      </w:r>
      <w:r w:rsidR="000D1FF7">
        <w:rPr>
          <w:rFonts w:eastAsia="SimSun"/>
          <w:sz w:val="21"/>
          <w:szCs w:val="21"/>
        </w:rPr>
        <w:t>:</w:t>
      </w:r>
    </w:p>
    <w:p w14:paraId="3BC3550A" w14:textId="5FFFA97A"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C</w:t>
      </w:r>
      <w:r w:rsidRPr="00595F1A">
        <w:rPr>
          <w:sz w:val="21"/>
          <w:szCs w:val="21"/>
          <w:vertAlign w:val="subscript"/>
          <w:lang w:val="en-GB" w:eastAsia="ko-KR"/>
        </w:rPr>
        <w:t>i</w:t>
      </w:r>
      <w:r w:rsidRPr="00595F1A">
        <w:rPr>
          <w:sz w:val="21"/>
          <w:szCs w:val="21"/>
          <w:lang w:val="en-GB" w:eastAsia="ko-KR"/>
        </w:rPr>
        <w:t xml:space="preserve">: This field indicates the presence of a PH field for the </w:t>
      </w:r>
      <w:r w:rsidR="006A75C5">
        <w:rPr>
          <w:sz w:val="21"/>
          <w:szCs w:val="21"/>
          <w:lang w:val="en-GB" w:eastAsia="ko-KR"/>
        </w:rPr>
        <w:t xml:space="preserve">SRS resource with index </w:t>
      </w:r>
      <w:r w:rsidRPr="00595F1A">
        <w:rPr>
          <w:sz w:val="21"/>
          <w:szCs w:val="21"/>
          <w:lang w:val="en-GB" w:eastAsia="ko-KR"/>
        </w:rPr>
        <w:t>i. The C</w:t>
      </w:r>
      <w:r w:rsidRPr="00595F1A">
        <w:rPr>
          <w:sz w:val="21"/>
          <w:szCs w:val="21"/>
          <w:vertAlign w:val="subscript"/>
          <w:lang w:val="en-GB" w:eastAsia="ko-KR"/>
        </w:rPr>
        <w:t>i</w:t>
      </w:r>
      <w:r w:rsidRPr="00595F1A">
        <w:rPr>
          <w:sz w:val="21"/>
          <w:szCs w:val="21"/>
          <w:lang w:val="en-GB" w:eastAsia="ko-KR"/>
        </w:rPr>
        <w:t xml:space="preserve"> field set to 1 indicates that a PH field </w:t>
      </w:r>
      <w:r w:rsidR="006A75C5">
        <w:rPr>
          <w:sz w:val="21"/>
          <w:szCs w:val="21"/>
          <w:lang w:val="en-GB" w:eastAsia="ko-KR"/>
        </w:rPr>
        <w:t xml:space="preserve">for the SRS resource with index </w:t>
      </w:r>
      <w:r w:rsidR="006A75C5" w:rsidRPr="00595F1A">
        <w:rPr>
          <w:sz w:val="21"/>
          <w:szCs w:val="21"/>
          <w:lang w:val="en-GB" w:eastAsia="ko-KR"/>
        </w:rPr>
        <w:t xml:space="preserve">i </w:t>
      </w:r>
      <w:r w:rsidRPr="00595F1A">
        <w:rPr>
          <w:sz w:val="21"/>
          <w:szCs w:val="21"/>
          <w:lang w:val="en-GB" w:eastAsia="ko-KR"/>
        </w:rPr>
        <w:t>is reported. The C</w:t>
      </w:r>
      <w:r w:rsidRPr="00595F1A">
        <w:rPr>
          <w:sz w:val="21"/>
          <w:szCs w:val="21"/>
          <w:vertAlign w:val="subscript"/>
          <w:lang w:val="en-GB" w:eastAsia="ko-KR"/>
        </w:rPr>
        <w:t>i</w:t>
      </w:r>
      <w:r w:rsidRPr="00595F1A">
        <w:rPr>
          <w:sz w:val="21"/>
          <w:szCs w:val="21"/>
          <w:lang w:val="en-GB" w:eastAsia="ko-KR"/>
        </w:rPr>
        <w:t xml:space="preserve"> field set to 0 indicates that a PH field </w:t>
      </w:r>
      <w:r w:rsidR="006A75C5">
        <w:rPr>
          <w:sz w:val="21"/>
          <w:szCs w:val="21"/>
          <w:lang w:val="en-GB" w:eastAsia="ko-KR"/>
        </w:rPr>
        <w:t xml:space="preserve">the SRS resource with index </w:t>
      </w:r>
      <w:r w:rsidR="006A75C5" w:rsidRPr="00595F1A">
        <w:rPr>
          <w:sz w:val="21"/>
          <w:szCs w:val="21"/>
          <w:lang w:val="en-GB" w:eastAsia="ko-KR"/>
        </w:rPr>
        <w:t xml:space="preserve">i </w:t>
      </w:r>
      <w:r w:rsidRPr="00595F1A">
        <w:rPr>
          <w:sz w:val="21"/>
          <w:szCs w:val="21"/>
          <w:lang w:val="en-GB" w:eastAsia="ko-KR"/>
        </w:rPr>
        <w:t xml:space="preserve">is not </w:t>
      </w:r>
      <w:proofErr w:type="gramStart"/>
      <w:r w:rsidRPr="00595F1A">
        <w:rPr>
          <w:sz w:val="21"/>
          <w:szCs w:val="21"/>
          <w:lang w:val="en-GB" w:eastAsia="ko-KR"/>
        </w:rPr>
        <w:t>reported;</w:t>
      </w:r>
      <w:proofErr w:type="gramEnd"/>
    </w:p>
    <w:p w14:paraId="660997BE" w14:textId="6609C83E"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V: This field indicates if the PH value is based on a real transmission or a reference format.</w:t>
      </w:r>
      <w:r w:rsidR="006A75C5">
        <w:rPr>
          <w:sz w:val="21"/>
          <w:szCs w:val="21"/>
          <w:lang w:val="en-GB" w:eastAsia="ko-KR"/>
        </w:rPr>
        <w:t xml:space="preserve"> T</w:t>
      </w:r>
      <w:r w:rsidRPr="00595F1A">
        <w:rPr>
          <w:sz w:val="21"/>
          <w:szCs w:val="21"/>
          <w:lang w:val="en-GB" w:eastAsia="ko-KR"/>
        </w:rPr>
        <w:t xml:space="preserve">he V field set to 0 indicates real transmission on SRS and the V field set to 1 indicates that an SRS reference format is used. Furthermore, the V field set to 0 indicates the presence of the octet containing the associated </w:t>
      </w:r>
      <w:proofErr w:type="gramStart"/>
      <w:r w:rsidRPr="00595F1A">
        <w:rPr>
          <w:sz w:val="21"/>
          <w:szCs w:val="21"/>
          <w:lang w:val="en-GB" w:eastAsia="ko-KR"/>
        </w:rPr>
        <w:t>P</w:t>
      </w:r>
      <w:r w:rsidRPr="00595F1A">
        <w:rPr>
          <w:sz w:val="21"/>
          <w:szCs w:val="21"/>
          <w:vertAlign w:val="subscript"/>
          <w:lang w:val="en-GB" w:eastAsia="ko-KR"/>
        </w:rPr>
        <w:t>CMAX,f</w:t>
      </w:r>
      <w:proofErr w:type="gramEnd"/>
      <w:r w:rsidRPr="00595F1A">
        <w:rPr>
          <w:sz w:val="21"/>
          <w:szCs w:val="21"/>
          <w:vertAlign w:val="subscript"/>
          <w:lang w:val="en-GB" w:eastAsia="ko-KR"/>
        </w:rPr>
        <w:t>,c</w:t>
      </w:r>
      <w:r w:rsidRPr="00595F1A">
        <w:rPr>
          <w:sz w:val="21"/>
          <w:szCs w:val="21"/>
          <w:lang w:val="en-GB" w:eastAsia="ko-KR"/>
        </w:rPr>
        <w:t xml:space="preserve"> field and the DPC field, and the V field set to 1 indicates that the octet containing the associated P</w:t>
      </w:r>
      <w:r w:rsidRPr="00595F1A">
        <w:rPr>
          <w:sz w:val="21"/>
          <w:szCs w:val="21"/>
          <w:vertAlign w:val="subscript"/>
          <w:lang w:val="en-GB" w:eastAsia="ko-KR"/>
        </w:rPr>
        <w:t>CMAX,f,c</w:t>
      </w:r>
      <w:r w:rsidRPr="00595F1A">
        <w:rPr>
          <w:sz w:val="21"/>
          <w:szCs w:val="21"/>
          <w:lang w:val="en-GB" w:eastAsia="ko-KR"/>
        </w:rPr>
        <w:t xml:space="preserve"> field and the DPC field is omitted;</w:t>
      </w:r>
    </w:p>
    <w:p w14:paraId="190F3270" w14:textId="738EF67F"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lastRenderedPageBreak/>
        <w:t>-</w:t>
      </w:r>
      <w:r w:rsidRPr="00595F1A">
        <w:rPr>
          <w:sz w:val="21"/>
          <w:szCs w:val="21"/>
          <w:lang w:val="en-GB" w:eastAsia="ko-KR"/>
        </w:rPr>
        <w:tab/>
        <w:t>Power Headroom (PH): This field indicates the power headroom level</w:t>
      </w:r>
      <w:r w:rsidR="00A00506">
        <w:rPr>
          <w:sz w:val="21"/>
          <w:szCs w:val="21"/>
          <w:lang w:val="en-GB" w:eastAsia="ko-KR"/>
        </w:rPr>
        <w:t xml:space="preserve"> for the SRS resource i</w:t>
      </w:r>
      <w:r w:rsidRPr="00595F1A">
        <w:rPr>
          <w:sz w:val="21"/>
          <w:szCs w:val="21"/>
          <w:lang w:val="en-GB" w:eastAsia="ko-KR"/>
        </w:rPr>
        <w:t>. The length of the field is 6 bits. The reported PH and the corresponding power headroom levels are shown in</w:t>
      </w:r>
      <w:r w:rsidR="006A75C5">
        <w:rPr>
          <w:sz w:val="21"/>
          <w:szCs w:val="21"/>
          <w:lang w:val="en-GB" w:eastAsia="ko-KR"/>
        </w:rPr>
        <w:t xml:space="preserve"> </w:t>
      </w:r>
      <w:proofErr w:type="gramStart"/>
      <w:r w:rsidR="006A75C5" w:rsidRPr="006A75C5">
        <w:rPr>
          <w:i/>
          <w:iCs/>
          <w:sz w:val="21"/>
          <w:szCs w:val="21"/>
          <w:lang w:val="en-GB" w:eastAsia="ko-KR"/>
        </w:rPr>
        <w:t>TBD</w:t>
      </w:r>
      <w:r w:rsidRPr="00595F1A">
        <w:rPr>
          <w:sz w:val="21"/>
          <w:szCs w:val="21"/>
          <w:lang w:val="en-GB" w:eastAsia="ko-KR"/>
        </w:rPr>
        <w:t>;</w:t>
      </w:r>
      <w:proofErr w:type="gramEnd"/>
    </w:p>
    <w:p w14:paraId="770EA111" w14:textId="4F6696E3"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P:</w:t>
      </w:r>
      <w:r w:rsidRPr="00595F1A">
        <w:rPr>
          <w:noProof/>
          <w:sz w:val="21"/>
          <w:szCs w:val="21"/>
          <w:lang w:val="en-GB" w:eastAsia="ja-JP"/>
        </w:rPr>
        <w:t xml:space="preserve"> </w:t>
      </w:r>
      <w:r w:rsidR="006A75C5">
        <w:rPr>
          <w:sz w:val="21"/>
          <w:szCs w:val="21"/>
          <w:lang w:val="en-GB" w:eastAsia="ko-KR"/>
        </w:rPr>
        <w:t>T</w:t>
      </w:r>
      <w:r w:rsidRPr="00595F1A">
        <w:rPr>
          <w:sz w:val="21"/>
          <w:szCs w:val="21"/>
          <w:lang w:val="en-GB" w:eastAsia="ko-KR"/>
        </w:rPr>
        <w:t>his field indicates whether power backoff is applied due to power management (as allowed by P-MPR</w:t>
      </w:r>
      <w:r w:rsidRPr="00595F1A">
        <w:rPr>
          <w:sz w:val="21"/>
          <w:szCs w:val="21"/>
          <w:vertAlign w:val="subscript"/>
          <w:lang w:val="en-GB" w:eastAsia="ko-KR"/>
        </w:rPr>
        <w:t>c</w:t>
      </w:r>
      <w:r w:rsidRPr="00595F1A">
        <w:rPr>
          <w:sz w:val="21"/>
          <w:szCs w:val="21"/>
          <w:lang w:val="en-GB" w:eastAsia="ko-KR"/>
        </w:rPr>
        <w:t xml:space="preserve"> as specified in TS 38.101-1, TS 38.101-2, and TS 38.101-3). The MAC entity shall set the P field to 1 if the corresponding </w:t>
      </w:r>
      <w:proofErr w:type="gramStart"/>
      <w:r w:rsidRPr="00595F1A">
        <w:rPr>
          <w:sz w:val="21"/>
          <w:szCs w:val="21"/>
          <w:lang w:val="en-GB" w:eastAsia="ko-KR"/>
        </w:rPr>
        <w:t>P</w:t>
      </w:r>
      <w:r w:rsidRPr="00595F1A">
        <w:rPr>
          <w:sz w:val="21"/>
          <w:szCs w:val="21"/>
          <w:vertAlign w:val="subscript"/>
          <w:lang w:val="en-GB" w:eastAsia="ko-KR"/>
        </w:rPr>
        <w:t>CMAX,f</w:t>
      </w:r>
      <w:proofErr w:type="gramEnd"/>
      <w:r w:rsidRPr="00595F1A">
        <w:rPr>
          <w:sz w:val="21"/>
          <w:szCs w:val="21"/>
          <w:vertAlign w:val="subscript"/>
          <w:lang w:val="en-GB" w:eastAsia="ko-KR"/>
        </w:rPr>
        <w:t>,c</w:t>
      </w:r>
      <w:r w:rsidRPr="00595F1A">
        <w:rPr>
          <w:sz w:val="21"/>
          <w:szCs w:val="21"/>
          <w:lang w:val="en-GB" w:eastAsia="ko-KR"/>
        </w:rPr>
        <w:t xml:space="preserve"> field would have had a different value if no power backoff due to power management had been applied;</w:t>
      </w:r>
    </w:p>
    <w:p w14:paraId="0745F3BA" w14:textId="2287B17C"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r>
      <w:proofErr w:type="gramStart"/>
      <w:r w:rsidRPr="00595F1A">
        <w:rPr>
          <w:sz w:val="21"/>
          <w:szCs w:val="21"/>
          <w:lang w:val="en-GB" w:eastAsia="ko-KR"/>
        </w:rPr>
        <w:t>P</w:t>
      </w:r>
      <w:r w:rsidRPr="00595F1A">
        <w:rPr>
          <w:sz w:val="21"/>
          <w:szCs w:val="21"/>
          <w:vertAlign w:val="subscript"/>
          <w:lang w:val="en-GB" w:eastAsia="ko-KR"/>
        </w:rPr>
        <w:t>CMAX,f</w:t>
      </w:r>
      <w:proofErr w:type="gramEnd"/>
      <w:r w:rsidRPr="00595F1A">
        <w:rPr>
          <w:sz w:val="21"/>
          <w:szCs w:val="21"/>
          <w:vertAlign w:val="subscript"/>
          <w:lang w:val="en-GB" w:eastAsia="ko-KR"/>
        </w:rPr>
        <w:t>,c</w:t>
      </w:r>
      <w:r w:rsidR="00281612">
        <w:rPr>
          <w:sz w:val="21"/>
          <w:szCs w:val="21"/>
          <w:vertAlign w:val="subscript"/>
          <w:lang w:val="en-GB" w:eastAsia="ko-KR"/>
        </w:rPr>
        <w:t xml:space="preserve"> </w:t>
      </w:r>
      <w:r w:rsidR="00281612" w:rsidRPr="00281612">
        <w:rPr>
          <w:sz w:val="21"/>
          <w:szCs w:val="21"/>
          <w:lang w:val="en-GB" w:eastAsia="ko-KR"/>
        </w:rPr>
        <w:t>i</w:t>
      </w:r>
      <w:r w:rsidRPr="00595F1A">
        <w:rPr>
          <w:sz w:val="21"/>
          <w:szCs w:val="21"/>
          <w:lang w:val="en-GB" w:eastAsia="ko-KR"/>
        </w:rPr>
        <w:t>: If present, this field indicates the P</w:t>
      </w:r>
      <w:r w:rsidRPr="00595F1A">
        <w:rPr>
          <w:sz w:val="21"/>
          <w:szCs w:val="21"/>
          <w:vertAlign w:val="subscript"/>
          <w:lang w:val="en-GB" w:eastAsia="ko-KR"/>
        </w:rPr>
        <w:t>CMAX,f,c</w:t>
      </w:r>
      <w:r w:rsidRPr="00595F1A">
        <w:rPr>
          <w:sz w:val="21"/>
          <w:szCs w:val="21"/>
          <w:lang w:val="en-GB" w:eastAsia="ko-KR"/>
        </w:rPr>
        <w:t xml:space="preserve"> (as specified in TS 38.213) for the </w:t>
      </w:r>
      <w:r w:rsidR="00A00506">
        <w:rPr>
          <w:sz w:val="21"/>
          <w:szCs w:val="21"/>
          <w:lang w:val="en-GB" w:eastAsia="ko-KR"/>
        </w:rPr>
        <w:t>SRS resource i</w:t>
      </w:r>
      <w:r w:rsidRPr="00595F1A">
        <w:rPr>
          <w:sz w:val="21"/>
          <w:szCs w:val="21"/>
          <w:lang w:val="en-GB" w:eastAsia="ko-KR"/>
        </w:rPr>
        <w:t xml:space="preserve"> used for calculation of the preceding PH field. The reported </w:t>
      </w:r>
      <w:proofErr w:type="gramStart"/>
      <w:r w:rsidRPr="00595F1A">
        <w:rPr>
          <w:sz w:val="21"/>
          <w:szCs w:val="21"/>
          <w:lang w:val="en-GB" w:eastAsia="ko-KR"/>
        </w:rPr>
        <w:t>P</w:t>
      </w:r>
      <w:r w:rsidRPr="00595F1A">
        <w:rPr>
          <w:sz w:val="21"/>
          <w:szCs w:val="21"/>
          <w:vertAlign w:val="subscript"/>
          <w:lang w:val="en-GB" w:eastAsia="ko-KR"/>
        </w:rPr>
        <w:t>CMAX,f</w:t>
      </w:r>
      <w:proofErr w:type="gramEnd"/>
      <w:r w:rsidRPr="00595F1A">
        <w:rPr>
          <w:sz w:val="21"/>
          <w:szCs w:val="21"/>
          <w:vertAlign w:val="subscript"/>
          <w:lang w:val="en-GB" w:eastAsia="ko-KR"/>
        </w:rPr>
        <w:t>,c</w:t>
      </w:r>
      <w:r w:rsidRPr="00595F1A">
        <w:rPr>
          <w:sz w:val="21"/>
          <w:szCs w:val="21"/>
          <w:lang w:val="en-GB" w:eastAsia="ko-KR"/>
        </w:rPr>
        <w:t xml:space="preserve"> and the corresponding nominal UE transmit power levels are shown in </w:t>
      </w:r>
      <w:r w:rsidR="00A00506" w:rsidRPr="00A00506">
        <w:rPr>
          <w:i/>
          <w:iCs/>
          <w:sz w:val="21"/>
          <w:szCs w:val="21"/>
          <w:lang w:val="en-GB" w:eastAsia="ko-KR"/>
        </w:rPr>
        <w:t>TBD</w:t>
      </w:r>
      <w:r w:rsidRPr="00595F1A">
        <w:rPr>
          <w:sz w:val="21"/>
          <w:szCs w:val="21"/>
          <w:lang w:val="en-GB" w:eastAsia="ko-KR"/>
        </w:rPr>
        <w:t xml:space="preserve"> (the corresponding measured values in dBm for the NR Serving Cell are specified in TS 38.133);</w:t>
      </w:r>
    </w:p>
    <w:p w14:paraId="27A5BC60" w14:textId="737185D4"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 xml:space="preserve">DPC: If </w:t>
      </w:r>
      <w:r w:rsidRPr="00595F1A">
        <w:rPr>
          <w:i/>
          <w:iCs/>
          <w:sz w:val="21"/>
          <w:szCs w:val="21"/>
          <w:lang w:val="en-GB" w:eastAsia="ko-KR"/>
        </w:rPr>
        <w:t>dpc-Reporting-FR1</w:t>
      </w:r>
      <w:r w:rsidRPr="00595F1A">
        <w:rPr>
          <w:sz w:val="21"/>
          <w:szCs w:val="21"/>
          <w:lang w:val="en-GB" w:eastAsia="ko-KR"/>
        </w:rPr>
        <w:t xml:space="preserve"> is configured, and the Serving Cell operates on FR1, this field indicates the </w:t>
      </w:r>
      <w:r w:rsidRPr="00595F1A">
        <w:rPr>
          <w:sz w:val="21"/>
          <w:szCs w:val="21"/>
          <w:lang w:val="en-GB" w:eastAsia="ja-JP"/>
        </w:rPr>
        <w:t>ΔP</w:t>
      </w:r>
      <w:r w:rsidRPr="00595F1A">
        <w:rPr>
          <w:sz w:val="21"/>
          <w:szCs w:val="21"/>
          <w:vertAlign w:val="subscript"/>
          <w:lang w:val="en-GB" w:eastAsia="ja-JP"/>
        </w:rPr>
        <w:t>PowerClass</w:t>
      </w:r>
      <w:r w:rsidR="00FB6760">
        <w:rPr>
          <w:sz w:val="21"/>
          <w:szCs w:val="21"/>
          <w:lang w:val="en-GB" w:eastAsia="ja-JP"/>
        </w:rPr>
        <w:t xml:space="preserve"> for SRS resource i</w:t>
      </w:r>
      <w:r w:rsidRPr="00595F1A">
        <w:rPr>
          <w:sz w:val="21"/>
          <w:szCs w:val="21"/>
          <w:lang w:val="en-GB" w:eastAsia="ko-KR"/>
        </w:rPr>
        <w:t xml:space="preserve">, as specified in TS 38.101-1[14] and </w:t>
      </w:r>
      <w:r w:rsidRPr="00595F1A">
        <w:rPr>
          <w:rFonts w:eastAsia="DengXian"/>
          <w:sz w:val="21"/>
          <w:szCs w:val="21"/>
          <w:lang w:val="en-GB"/>
        </w:rPr>
        <w:t>TS 38.101-</w:t>
      </w:r>
      <w:r w:rsidRPr="00595F1A">
        <w:rPr>
          <w:rFonts w:eastAsia="Yu Mincho"/>
          <w:sz w:val="21"/>
          <w:szCs w:val="21"/>
          <w:lang w:val="en-GB" w:eastAsia="ja-JP"/>
        </w:rPr>
        <w:t>3</w:t>
      </w:r>
      <w:r w:rsidRPr="00595F1A">
        <w:rPr>
          <w:sz w:val="21"/>
          <w:szCs w:val="21"/>
          <w:lang w:val="en-GB" w:eastAsia="ja-JP"/>
        </w:rPr>
        <w:t xml:space="preserve"> [</w:t>
      </w:r>
      <w:r w:rsidRPr="00595F1A">
        <w:rPr>
          <w:rFonts w:eastAsia="Yu Mincho"/>
          <w:sz w:val="21"/>
          <w:szCs w:val="21"/>
          <w:lang w:val="en-GB" w:eastAsia="ja-JP"/>
        </w:rPr>
        <w:t>16</w:t>
      </w:r>
      <w:r w:rsidRPr="00595F1A">
        <w:rPr>
          <w:sz w:val="21"/>
          <w:szCs w:val="21"/>
          <w:lang w:val="en-GB" w:eastAsia="ja-JP"/>
        </w:rPr>
        <w:t xml:space="preserve">]. </w:t>
      </w:r>
      <w:r w:rsidRPr="00595F1A">
        <w:rPr>
          <w:sz w:val="21"/>
          <w:szCs w:val="21"/>
          <w:lang w:val="en-GB" w:eastAsia="ko-KR"/>
        </w:rPr>
        <w:t>This field indicates an index to Table 6.1.3.8-4 and the corresponding measured values of DPC levels in dB are specified in TS 38.133 [11], the DPC field is set to 0 if the criteria to report DPC is not met. The length of the field is 2 bits.</w:t>
      </w:r>
    </w:p>
    <w:p w14:paraId="098DC889" w14:textId="77777777" w:rsidR="00595F1A" w:rsidRDefault="00595F1A" w:rsidP="00CF74A4">
      <w:pPr>
        <w:spacing w:after="120"/>
        <w:rPr>
          <w:rFonts w:eastAsia="SimSun"/>
          <w:sz w:val="21"/>
          <w:szCs w:val="21"/>
        </w:rPr>
      </w:pPr>
    </w:p>
    <w:tbl>
      <w:tblPr>
        <w:tblStyle w:val="TableGrid"/>
        <w:tblW w:w="0" w:type="auto"/>
        <w:jc w:val="center"/>
        <w:tblLook w:val="04A0" w:firstRow="1" w:lastRow="0" w:firstColumn="1" w:lastColumn="0" w:noHBand="0" w:noVBand="1"/>
      </w:tblPr>
      <w:tblGrid>
        <w:gridCol w:w="496"/>
        <w:gridCol w:w="497"/>
        <w:gridCol w:w="496"/>
        <w:gridCol w:w="496"/>
        <w:gridCol w:w="496"/>
        <w:gridCol w:w="496"/>
        <w:gridCol w:w="496"/>
        <w:gridCol w:w="518"/>
      </w:tblGrid>
      <w:tr w:rsidR="00D20A6F" w14:paraId="78D3388E" w14:textId="77777777" w:rsidTr="00F47708">
        <w:trPr>
          <w:trHeight w:val="412"/>
          <w:jc w:val="center"/>
        </w:trPr>
        <w:tc>
          <w:tcPr>
            <w:tcW w:w="496" w:type="dxa"/>
            <w:vAlign w:val="center"/>
          </w:tcPr>
          <w:p w14:paraId="6E8C0FED" w14:textId="6C5804A7" w:rsidR="00D20A6F" w:rsidRDefault="00D20A6F" w:rsidP="00F47708">
            <w:pPr>
              <w:spacing w:after="120"/>
              <w:jc w:val="center"/>
              <w:rPr>
                <w:rFonts w:eastAsia="SimSun"/>
                <w:sz w:val="21"/>
                <w:szCs w:val="21"/>
              </w:rPr>
            </w:pPr>
            <w:r>
              <w:rPr>
                <w:rFonts w:eastAsia="SimSun"/>
                <w:sz w:val="21"/>
                <w:szCs w:val="21"/>
              </w:rPr>
              <w:t>C</w:t>
            </w:r>
            <w:r w:rsidRPr="00D20A6F">
              <w:rPr>
                <w:rFonts w:eastAsia="SimSun"/>
                <w:sz w:val="21"/>
                <w:szCs w:val="21"/>
                <w:vertAlign w:val="subscript"/>
              </w:rPr>
              <w:t>7</w:t>
            </w:r>
          </w:p>
        </w:tc>
        <w:tc>
          <w:tcPr>
            <w:tcW w:w="496" w:type="dxa"/>
            <w:vAlign w:val="center"/>
          </w:tcPr>
          <w:p w14:paraId="0E4BE5EC" w14:textId="5A272B8A"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6</w:t>
            </w:r>
          </w:p>
        </w:tc>
        <w:tc>
          <w:tcPr>
            <w:tcW w:w="496" w:type="dxa"/>
            <w:vAlign w:val="center"/>
          </w:tcPr>
          <w:p w14:paraId="10C034BA" w14:textId="4BE10BAF"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5</w:t>
            </w:r>
          </w:p>
        </w:tc>
        <w:tc>
          <w:tcPr>
            <w:tcW w:w="496" w:type="dxa"/>
            <w:vAlign w:val="center"/>
          </w:tcPr>
          <w:p w14:paraId="38B37A92" w14:textId="03F06513"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4</w:t>
            </w:r>
          </w:p>
        </w:tc>
        <w:tc>
          <w:tcPr>
            <w:tcW w:w="496" w:type="dxa"/>
            <w:vAlign w:val="center"/>
          </w:tcPr>
          <w:p w14:paraId="5871F2F4" w14:textId="7539F54E"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3</w:t>
            </w:r>
          </w:p>
        </w:tc>
        <w:tc>
          <w:tcPr>
            <w:tcW w:w="496" w:type="dxa"/>
            <w:vAlign w:val="center"/>
          </w:tcPr>
          <w:p w14:paraId="26825229" w14:textId="1AE92B14"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2</w:t>
            </w:r>
          </w:p>
        </w:tc>
        <w:tc>
          <w:tcPr>
            <w:tcW w:w="496" w:type="dxa"/>
            <w:vAlign w:val="center"/>
          </w:tcPr>
          <w:p w14:paraId="7096A85D" w14:textId="676F46C6"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1</w:t>
            </w:r>
          </w:p>
        </w:tc>
        <w:tc>
          <w:tcPr>
            <w:tcW w:w="514" w:type="dxa"/>
            <w:vAlign w:val="center"/>
          </w:tcPr>
          <w:p w14:paraId="5EC5DDD6" w14:textId="1F0BD2DC" w:rsidR="00D20A6F" w:rsidRDefault="00D20A6F" w:rsidP="00F47708">
            <w:pPr>
              <w:spacing w:after="120"/>
              <w:jc w:val="center"/>
              <w:rPr>
                <w:rFonts w:eastAsia="SimSun"/>
                <w:sz w:val="21"/>
                <w:szCs w:val="21"/>
              </w:rPr>
            </w:pPr>
            <w:r>
              <w:rPr>
                <w:rFonts w:eastAsia="SimSun"/>
                <w:sz w:val="21"/>
                <w:szCs w:val="21"/>
              </w:rPr>
              <w:t>C</w:t>
            </w:r>
            <w:r w:rsidRPr="00A92DA7">
              <w:rPr>
                <w:rFonts w:eastAsia="SimSun"/>
                <w:sz w:val="21"/>
                <w:szCs w:val="21"/>
                <w:vertAlign w:val="subscript"/>
              </w:rPr>
              <w:t>0</w:t>
            </w:r>
          </w:p>
        </w:tc>
      </w:tr>
      <w:tr w:rsidR="00D20A6F" w14:paraId="1029EABD" w14:textId="77777777" w:rsidTr="00F47708">
        <w:trPr>
          <w:trHeight w:val="412"/>
          <w:jc w:val="center"/>
        </w:trPr>
        <w:tc>
          <w:tcPr>
            <w:tcW w:w="496" w:type="dxa"/>
            <w:vAlign w:val="center"/>
          </w:tcPr>
          <w:p w14:paraId="5A2D93E0" w14:textId="3DB3CEAD" w:rsidR="00D20A6F"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218ECE9F" w14:textId="386D6D37" w:rsidR="00D20A6F"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005DD344" w14:textId="358B2DF3" w:rsidR="00D20A6F" w:rsidRDefault="00A92DA7" w:rsidP="00F47708">
            <w:pPr>
              <w:spacing w:after="120"/>
              <w:jc w:val="center"/>
              <w:rPr>
                <w:rFonts w:eastAsia="SimSun"/>
                <w:sz w:val="21"/>
                <w:szCs w:val="21"/>
              </w:rPr>
            </w:pPr>
            <w:r>
              <w:rPr>
                <w:rFonts w:eastAsia="SimSun"/>
                <w:sz w:val="21"/>
                <w:szCs w:val="21"/>
              </w:rPr>
              <w:t>PH</w:t>
            </w:r>
            <w:r w:rsidR="00FB6760">
              <w:rPr>
                <w:rFonts w:eastAsia="SimSun"/>
                <w:sz w:val="21"/>
                <w:szCs w:val="21"/>
              </w:rPr>
              <w:t xml:space="preserve"> </w:t>
            </w:r>
            <w:r>
              <w:rPr>
                <w:rFonts w:eastAsia="SimSun"/>
                <w:sz w:val="21"/>
                <w:szCs w:val="21"/>
              </w:rPr>
              <w:t>(Type 3, SRS Resource 0)</w:t>
            </w:r>
          </w:p>
        </w:tc>
      </w:tr>
      <w:tr w:rsidR="00D20A6F" w14:paraId="2FDB6BEE" w14:textId="77777777" w:rsidTr="00F47708">
        <w:trPr>
          <w:trHeight w:val="412"/>
          <w:jc w:val="center"/>
        </w:trPr>
        <w:tc>
          <w:tcPr>
            <w:tcW w:w="993" w:type="dxa"/>
            <w:gridSpan w:val="2"/>
            <w:vAlign w:val="center"/>
          </w:tcPr>
          <w:p w14:paraId="4BF1D112" w14:textId="199DB4A5" w:rsidR="00D20A6F" w:rsidRDefault="00A92DA7" w:rsidP="00F47708">
            <w:pPr>
              <w:spacing w:after="120"/>
              <w:jc w:val="center"/>
              <w:rPr>
                <w:rFonts w:eastAsia="SimSun"/>
                <w:sz w:val="21"/>
                <w:szCs w:val="21"/>
              </w:rPr>
            </w:pPr>
            <w:r>
              <w:rPr>
                <w:rFonts w:eastAsia="SimSun"/>
                <w:sz w:val="21"/>
                <w:szCs w:val="21"/>
              </w:rPr>
              <w:t>DPC</w:t>
            </w:r>
            <w:r w:rsidRPr="00A92DA7">
              <w:rPr>
                <w:rFonts w:eastAsia="SimSun"/>
                <w:sz w:val="21"/>
                <w:szCs w:val="21"/>
                <w:vertAlign w:val="subscript"/>
              </w:rPr>
              <w:t>0</w:t>
            </w:r>
          </w:p>
        </w:tc>
        <w:tc>
          <w:tcPr>
            <w:tcW w:w="2998" w:type="dxa"/>
            <w:gridSpan w:val="6"/>
            <w:vAlign w:val="center"/>
          </w:tcPr>
          <w:p w14:paraId="5039DFEE" w14:textId="22542CEE" w:rsidR="00D20A6F" w:rsidRDefault="00A92DA7" w:rsidP="00F47708">
            <w:pPr>
              <w:spacing w:after="120"/>
              <w:jc w:val="center"/>
              <w:rPr>
                <w:rFonts w:eastAsia="SimSun"/>
                <w:sz w:val="21"/>
                <w:szCs w:val="21"/>
              </w:rPr>
            </w:pPr>
            <w:proofErr w:type="gramStart"/>
            <w:r>
              <w:rPr>
                <w:rFonts w:eastAsia="SimSun"/>
                <w:sz w:val="21"/>
                <w:szCs w:val="21"/>
              </w:rPr>
              <w:t>P</w:t>
            </w:r>
            <w:r w:rsidRPr="00A92DA7">
              <w:rPr>
                <w:rFonts w:eastAsia="SimSun"/>
                <w:sz w:val="21"/>
                <w:szCs w:val="21"/>
                <w:vertAlign w:val="subscript"/>
              </w:rPr>
              <w:t>CMAX,f</w:t>
            </w:r>
            <w:proofErr w:type="gramEnd"/>
            <w:r w:rsidRPr="00A92DA7">
              <w:rPr>
                <w:rFonts w:eastAsia="SimSun"/>
                <w:sz w:val="21"/>
                <w:szCs w:val="21"/>
                <w:vertAlign w:val="subscript"/>
              </w:rPr>
              <w:t>,c</w:t>
            </w:r>
            <w:r w:rsidRPr="00A92DA7">
              <w:rPr>
                <w:rFonts w:eastAsia="SimSun"/>
                <w:sz w:val="21"/>
                <w:szCs w:val="21"/>
              </w:rPr>
              <w:t xml:space="preserve"> </w:t>
            </w:r>
            <w:r>
              <w:rPr>
                <w:rFonts w:eastAsia="SimSun"/>
                <w:sz w:val="21"/>
                <w:szCs w:val="21"/>
              </w:rPr>
              <w:t>0</w:t>
            </w:r>
          </w:p>
        </w:tc>
      </w:tr>
      <w:tr w:rsidR="00A92DA7" w14:paraId="78023274" w14:textId="77777777" w:rsidTr="00F47708">
        <w:trPr>
          <w:trHeight w:val="424"/>
          <w:jc w:val="center"/>
        </w:trPr>
        <w:tc>
          <w:tcPr>
            <w:tcW w:w="496" w:type="dxa"/>
            <w:vAlign w:val="center"/>
          </w:tcPr>
          <w:p w14:paraId="0FC863C1" w14:textId="2DB1F60C" w:rsidR="00A92DA7"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15A791DF" w14:textId="1F390793" w:rsidR="00A92DA7"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1F442EAE" w14:textId="72312B1D" w:rsidR="00A92DA7" w:rsidRDefault="00A92DA7" w:rsidP="00F47708">
            <w:pPr>
              <w:spacing w:after="120"/>
              <w:jc w:val="center"/>
              <w:rPr>
                <w:rFonts w:eastAsia="SimSun"/>
                <w:sz w:val="21"/>
                <w:szCs w:val="21"/>
              </w:rPr>
            </w:pPr>
            <w:r>
              <w:rPr>
                <w:rFonts w:eastAsia="SimSun"/>
                <w:sz w:val="21"/>
                <w:szCs w:val="21"/>
              </w:rPr>
              <w:t>PH (Type 3, SRS Resource 1)</w:t>
            </w:r>
          </w:p>
        </w:tc>
      </w:tr>
      <w:tr w:rsidR="00A92DA7" w14:paraId="5F7E13B9" w14:textId="77777777" w:rsidTr="00F47708">
        <w:trPr>
          <w:trHeight w:val="412"/>
          <w:jc w:val="center"/>
        </w:trPr>
        <w:tc>
          <w:tcPr>
            <w:tcW w:w="993" w:type="dxa"/>
            <w:gridSpan w:val="2"/>
            <w:vAlign w:val="center"/>
          </w:tcPr>
          <w:p w14:paraId="1BEE9957" w14:textId="07BC6215" w:rsidR="00A92DA7" w:rsidRDefault="00A92DA7" w:rsidP="00F47708">
            <w:pPr>
              <w:spacing w:after="120"/>
              <w:jc w:val="center"/>
              <w:rPr>
                <w:rFonts w:eastAsia="SimSun"/>
                <w:sz w:val="21"/>
                <w:szCs w:val="21"/>
              </w:rPr>
            </w:pPr>
            <w:r>
              <w:rPr>
                <w:rFonts w:eastAsia="SimSun"/>
                <w:sz w:val="21"/>
                <w:szCs w:val="21"/>
              </w:rPr>
              <w:t>DPC</w:t>
            </w:r>
            <w:r w:rsidRPr="00A92DA7">
              <w:rPr>
                <w:rFonts w:eastAsia="SimSun"/>
                <w:sz w:val="21"/>
                <w:szCs w:val="21"/>
                <w:vertAlign w:val="subscript"/>
              </w:rPr>
              <w:t>1</w:t>
            </w:r>
          </w:p>
        </w:tc>
        <w:tc>
          <w:tcPr>
            <w:tcW w:w="2998" w:type="dxa"/>
            <w:gridSpan w:val="6"/>
            <w:vAlign w:val="center"/>
          </w:tcPr>
          <w:p w14:paraId="32D96D4D" w14:textId="612B756F" w:rsidR="00A92DA7" w:rsidRDefault="00A92DA7" w:rsidP="00F47708">
            <w:pPr>
              <w:spacing w:after="120"/>
              <w:jc w:val="center"/>
              <w:rPr>
                <w:rFonts w:eastAsia="SimSun"/>
                <w:sz w:val="21"/>
                <w:szCs w:val="21"/>
              </w:rPr>
            </w:pPr>
            <w:proofErr w:type="gramStart"/>
            <w:r>
              <w:rPr>
                <w:rFonts w:eastAsia="SimSun"/>
                <w:sz w:val="21"/>
                <w:szCs w:val="21"/>
              </w:rPr>
              <w:t>P</w:t>
            </w:r>
            <w:r w:rsidRPr="00A92DA7">
              <w:rPr>
                <w:rFonts w:eastAsia="SimSun"/>
                <w:sz w:val="21"/>
                <w:szCs w:val="21"/>
                <w:vertAlign w:val="subscript"/>
              </w:rPr>
              <w:t>CMAX,f</w:t>
            </w:r>
            <w:proofErr w:type="gramEnd"/>
            <w:r w:rsidRPr="00A92DA7">
              <w:rPr>
                <w:rFonts w:eastAsia="SimSun"/>
                <w:sz w:val="21"/>
                <w:szCs w:val="21"/>
                <w:vertAlign w:val="subscript"/>
              </w:rPr>
              <w:t>,c</w:t>
            </w:r>
            <w:r>
              <w:rPr>
                <w:rFonts w:eastAsia="SimSun"/>
                <w:sz w:val="21"/>
                <w:szCs w:val="21"/>
                <w:vertAlign w:val="subscript"/>
              </w:rPr>
              <w:t xml:space="preserve"> </w:t>
            </w:r>
            <w:r>
              <w:rPr>
                <w:rFonts w:eastAsia="SimSun"/>
                <w:sz w:val="21"/>
                <w:szCs w:val="21"/>
              </w:rPr>
              <w:t>1</w:t>
            </w:r>
          </w:p>
        </w:tc>
      </w:tr>
      <w:tr w:rsidR="00A92DA7" w14:paraId="4D73DC9F" w14:textId="77777777" w:rsidTr="00F47708">
        <w:trPr>
          <w:trHeight w:val="412"/>
          <w:jc w:val="center"/>
        </w:trPr>
        <w:tc>
          <w:tcPr>
            <w:tcW w:w="496" w:type="dxa"/>
            <w:vAlign w:val="center"/>
          </w:tcPr>
          <w:p w14:paraId="02C793AD" w14:textId="2B29A3EC" w:rsidR="00A92DA7"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3D7903CD" w14:textId="77825FE2" w:rsidR="00A92DA7"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797AD779" w14:textId="7A669299" w:rsidR="00A92DA7" w:rsidRDefault="00A92DA7" w:rsidP="00F47708">
            <w:pPr>
              <w:spacing w:after="120"/>
              <w:jc w:val="center"/>
              <w:rPr>
                <w:rFonts w:eastAsia="SimSun"/>
                <w:sz w:val="21"/>
                <w:szCs w:val="21"/>
              </w:rPr>
            </w:pPr>
            <w:r>
              <w:rPr>
                <w:rFonts w:eastAsia="SimSun"/>
                <w:sz w:val="21"/>
                <w:szCs w:val="21"/>
              </w:rPr>
              <w:t>PH (Type 3, SRS Resource 2)</w:t>
            </w:r>
          </w:p>
        </w:tc>
      </w:tr>
      <w:tr w:rsidR="00A92DA7" w14:paraId="21E053D5" w14:textId="77777777" w:rsidTr="00F47708">
        <w:trPr>
          <w:trHeight w:val="412"/>
          <w:jc w:val="center"/>
        </w:trPr>
        <w:tc>
          <w:tcPr>
            <w:tcW w:w="993" w:type="dxa"/>
            <w:gridSpan w:val="2"/>
            <w:vAlign w:val="center"/>
          </w:tcPr>
          <w:p w14:paraId="65C50369" w14:textId="7E81A2D8" w:rsidR="00A92DA7" w:rsidRDefault="00A92DA7" w:rsidP="00F47708">
            <w:pPr>
              <w:spacing w:after="120"/>
              <w:jc w:val="center"/>
              <w:rPr>
                <w:rFonts w:eastAsia="SimSun"/>
                <w:sz w:val="21"/>
                <w:szCs w:val="21"/>
              </w:rPr>
            </w:pPr>
            <w:r>
              <w:rPr>
                <w:rFonts w:eastAsia="SimSun"/>
                <w:sz w:val="21"/>
                <w:szCs w:val="21"/>
              </w:rPr>
              <w:t>DPC</w:t>
            </w:r>
            <w:r>
              <w:rPr>
                <w:rFonts w:eastAsia="SimSun"/>
                <w:sz w:val="21"/>
                <w:szCs w:val="21"/>
                <w:vertAlign w:val="subscript"/>
              </w:rPr>
              <w:t>2</w:t>
            </w:r>
          </w:p>
        </w:tc>
        <w:tc>
          <w:tcPr>
            <w:tcW w:w="2998" w:type="dxa"/>
            <w:gridSpan w:val="6"/>
            <w:vAlign w:val="center"/>
          </w:tcPr>
          <w:p w14:paraId="479273B3" w14:textId="4C06923F" w:rsidR="00A92DA7" w:rsidRDefault="00A92DA7" w:rsidP="00F47708">
            <w:pPr>
              <w:spacing w:after="120"/>
              <w:jc w:val="center"/>
              <w:rPr>
                <w:rFonts w:eastAsia="SimSun"/>
                <w:sz w:val="21"/>
                <w:szCs w:val="21"/>
              </w:rPr>
            </w:pPr>
            <w:proofErr w:type="gramStart"/>
            <w:r>
              <w:rPr>
                <w:rFonts w:eastAsia="SimSun"/>
                <w:sz w:val="21"/>
                <w:szCs w:val="21"/>
              </w:rPr>
              <w:t>P</w:t>
            </w:r>
            <w:r w:rsidRPr="00A92DA7">
              <w:rPr>
                <w:rFonts w:eastAsia="SimSun"/>
                <w:sz w:val="21"/>
                <w:szCs w:val="21"/>
                <w:vertAlign w:val="subscript"/>
              </w:rPr>
              <w:t>CMAX,f</w:t>
            </w:r>
            <w:proofErr w:type="gramEnd"/>
            <w:r w:rsidRPr="00A92DA7">
              <w:rPr>
                <w:rFonts w:eastAsia="SimSun"/>
                <w:sz w:val="21"/>
                <w:szCs w:val="21"/>
                <w:vertAlign w:val="subscript"/>
              </w:rPr>
              <w:t>,c</w:t>
            </w:r>
            <w:r>
              <w:rPr>
                <w:rFonts w:eastAsia="SimSun"/>
                <w:sz w:val="21"/>
                <w:szCs w:val="21"/>
                <w:vertAlign w:val="subscript"/>
              </w:rPr>
              <w:t xml:space="preserve"> </w:t>
            </w:r>
            <w:r>
              <w:rPr>
                <w:rFonts w:eastAsia="SimSun"/>
                <w:sz w:val="21"/>
                <w:szCs w:val="21"/>
              </w:rPr>
              <w:t>2</w:t>
            </w:r>
          </w:p>
        </w:tc>
      </w:tr>
    </w:tbl>
    <w:p w14:paraId="0809D1CC" w14:textId="18B32D9E" w:rsidR="00D20A6F" w:rsidRDefault="00F47708" w:rsidP="00F47708">
      <w:pPr>
        <w:spacing w:after="120"/>
        <w:jc w:val="center"/>
        <w:rPr>
          <w:rFonts w:eastAsia="SimSun"/>
          <w:sz w:val="21"/>
          <w:szCs w:val="21"/>
        </w:rPr>
      </w:pPr>
      <w:r>
        <w:rPr>
          <w:rFonts w:eastAsia="SimSun"/>
          <w:sz w:val="21"/>
          <w:szCs w:val="21"/>
        </w:rPr>
        <w:t>…</w:t>
      </w:r>
    </w:p>
    <w:tbl>
      <w:tblPr>
        <w:tblStyle w:val="TableGrid"/>
        <w:tblW w:w="0" w:type="auto"/>
        <w:jc w:val="center"/>
        <w:tblLook w:val="04A0" w:firstRow="1" w:lastRow="0" w:firstColumn="1" w:lastColumn="0" w:noHBand="0" w:noVBand="1"/>
      </w:tblPr>
      <w:tblGrid>
        <w:gridCol w:w="496"/>
        <w:gridCol w:w="497"/>
        <w:gridCol w:w="2998"/>
      </w:tblGrid>
      <w:tr w:rsidR="00F47708" w14:paraId="0D319150" w14:textId="77777777" w:rsidTr="00F47708">
        <w:trPr>
          <w:trHeight w:val="412"/>
          <w:jc w:val="center"/>
        </w:trPr>
        <w:tc>
          <w:tcPr>
            <w:tcW w:w="496" w:type="dxa"/>
            <w:vAlign w:val="center"/>
          </w:tcPr>
          <w:p w14:paraId="666053D4" w14:textId="77777777" w:rsidR="00F47708" w:rsidRDefault="00F47708" w:rsidP="00F47708">
            <w:pPr>
              <w:spacing w:after="120"/>
              <w:jc w:val="center"/>
              <w:rPr>
                <w:rFonts w:eastAsia="SimSun"/>
                <w:sz w:val="21"/>
                <w:szCs w:val="21"/>
              </w:rPr>
            </w:pPr>
            <w:r>
              <w:rPr>
                <w:rFonts w:eastAsia="SimSun"/>
                <w:sz w:val="21"/>
                <w:szCs w:val="21"/>
              </w:rPr>
              <w:t>P</w:t>
            </w:r>
          </w:p>
        </w:tc>
        <w:tc>
          <w:tcPr>
            <w:tcW w:w="497" w:type="dxa"/>
            <w:vAlign w:val="center"/>
          </w:tcPr>
          <w:p w14:paraId="187CCC60" w14:textId="77777777" w:rsidR="00F47708" w:rsidRDefault="00F47708" w:rsidP="00F47708">
            <w:pPr>
              <w:spacing w:after="120"/>
              <w:jc w:val="center"/>
              <w:rPr>
                <w:rFonts w:eastAsia="SimSun"/>
                <w:sz w:val="21"/>
                <w:szCs w:val="21"/>
              </w:rPr>
            </w:pPr>
            <w:r>
              <w:rPr>
                <w:rFonts w:eastAsia="SimSun"/>
                <w:sz w:val="21"/>
                <w:szCs w:val="21"/>
              </w:rPr>
              <w:t>V</w:t>
            </w:r>
          </w:p>
        </w:tc>
        <w:tc>
          <w:tcPr>
            <w:tcW w:w="2998" w:type="dxa"/>
            <w:vAlign w:val="center"/>
          </w:tcPr>
          <w:p w14:paraId="06B948FC" w14:textId="783F3BA4" w:rsidR="00F47708" w:rsidRDefault="00F47708" w:rsidP="00F47708">
            <w:pPr>
              <w:spacing w:after="120"/>
              <w:jc w:val="center"/>
              <w:rPr>
                <w:rFonts w:eastAsia="SimSun"/>
                <w:sz w:val="21"/>
                <w:szCs w:val="21"/>
              </w:rPr>
            </w:pPr>
            <w:r>
              <w:rPr>
                <w:rFonts w:eastAsia="SimSun"/>
                <w:sz w:val="21"/>
                <w:szCs w:val="21"/>
              </w:rPr>
              <w:t>PH (Type 3, SRS Resource 7)</w:t>
            </w:r>
          </w:p>
        </w:tc>
      </w:tr>
      <w:tr w:rsidR="00F47708" w14:paraId="5AC6B19C" w14:textId="77777777" w:rsidTr="00F47708">
        <w:trPr>
          <w:trHeight w:val="412"/>
          <w:jc w:val="center"/>
        </w:trPr>
        <w:tc>
          <w:tcPr>
            <w:tcW w:w="993" w:type="dxa"/>
            <w:gridSpan w:val="2"/>
            <w:vAlign w:val="center"/>
          </w:tcPr>
          <w:p w14:paraId="41A07285" w14:textId="18DD9565" w:rsidR="00F47708" w:rsidRDefault="00F47708" w:rsidP="00F47708">
            <w:pPr>
              <w:spacing w:after="120"/>
              <w:jc w:val="center"/>
              <w:rPr>
                <w:rFonts w:eastAsia="SimSun"/>
                <w:sz w:val="21"/>
                <w:szCs w:val="21"/>
              </w:rPr>
            </w:pPr>
            <w:r>
              <w:rPr>
                <w:rFonts w:eastAsia="SimSun"/>
                <w:sz w:val="21"/>
                <w:szCs w:val="21"/>
              </w:rPr>
              <w:t>DPC</w:t>
            </w:r>
            <w:r>
              <w:rPr>
                <w:rFonts w:eastAsia="SimSun"/>
                <w:sz w:val="21"/>
                <w:szCs w:val="21"/>
                <w:vertAlign w:val="subscript"/>
              </w:rPr>
              <w:t>7</w:t>
            </w:r>
          </w:p>
        </w:tc>
        <w:tc>
          <w:tcPr>
            <w:tcW w:w="2998" w:type="dxa"/>
            <w:vAlign w:val="center"/>
          </w:tcPr>
          <w:p w14:paraId="43562498" w14:textId="785F9A0D" w:rsidR="00F47708" w:rsidRDefault="00F47708" w:rsidP="00F47708">
            <w:pPr>
              <w:spacing w:after="120"/>
              <w:jc w:val="center"/>
              <w:rPr>
                <w:rFonts w:eastAsia="SimSun"/>
                <w:sz w:val="21"/>
                <w:szCs w:val="21"/>
              </w:rPr>
            </w:pPr>
            <w:proofErr w:type="gramStart"/>
            <w:r>
              <w:rPr>
                <w:rFonts w:eastAsia="SimSun"/>
                <w:sz w:val="21"/>
                <w:szCs w:val="21"/>
              </w:rPr>
              <w:t>P</w:t>
            </w:r>
            <w:r w:rsidRPr="00A92DA7">
              <w:rPr>
                <w:rFonts w:eastAsia="SimSun"/>
                <w:sz w:val="21"/>
                <w:szCs w:val="21"/>
                <w:vertAlign w:val="subscript"/>
              </w:rPr>
              <w:t>CMAX,f</w:t>
            </w:r>
            <w:proofErr w:type="gramEnd"/>
            <w:r w:rsidRPr="00A92DA7">
              <w:rPr>
                <w:rFonts w:eastAsia="SimSun"/>
                <w:sz w:val="21"/>
                <w:szCs w:val="21"/>
                <w:vertAlign w:val="subscript"/>
              </w:rPr>
              <w:t>,c</w:t>
            </w:r>
            <w:r w:rsidRPr="00A92DA7">
              <w:rPr>
                <w:rFonts w:eastAsia="SimSun"/>
                <w:sz w:val="21"/>
                <w:szCs w:val="21"/>
              </w:rPr>
              <w:t xml:space="preserve"> </w:t>
            </w:r>
            <w:r>
              <w:rPr>
                <w:rFonts w:eastAsia="SimSun"/>
                <w:sz w:val="21"/>
                <w:szCs w:val="21"/>
              </w:rPr>
              <w:t>7</w:t>
            </w:r>
          </w:p>
        </w:tc>
      </w:tr>
    </w:tbl>
    <w:p w14:paraId="1FC46639" w14:textId="56E2525F" w:rsidR="00A00506" w:rsidRPr="00A00506" w:rsidRDefault="00A00506" w:rsidP="00A00506">
      <w:pPr>
        <w:pStyle w:val="TF"/>
        <w:rPr>
          <w:rFonts w:ascii="Times New Roman" w:hAnsi="Times New Roman"/>
          <w:noProof/>
          <w:sz w:val="21"/>
          <w:szCs w:val="21"/>
          <w:lang w:val="en-US"/>
        </w:rPr>
      </w:pPr>
      <w:r w:rsidRPr="00A00506">
        <w:rPr>
          <w:rFonts w:ascii="Times New Roman" w:hAnsi="Times New Roman"/>
          <w:noProof/>
          <w:sz w:val="21"/>
          <w:szCs w:val="21"/>
        </w:rPr>
        <w:t xml:space="preserve">Figure </w:t>
      </w:r>
      <w:r>
        <w:rPr>
          <w:rFonts w:ascii="Times New Roman" w:hAnsi="Times New Roman"/>
          <w:noProof/>
          <w:sz w:val="21"/>
          <w:szCs w:val="21"/>
          <w:lang w:val="en-US"/>
        </w:rPr>
        <w:t>1</w:t>
      </w:r>
      <w:r w:rsidRPr="00A00506">
        <w:rPr>
          <w:rFonts w:ascii="Times New Roman" w:hAnsi="Times New Roman"/>
          <w:noProof/>
          <w:sz w:val="21"/>
          <w:szCs w:val="21"/>
        </w:rPr>
        <w:t xml:space="preserve">: </w:t>
      </w:r>
      <w:r>
        <w:rPr>
          <w:rFonts w:ascii="Times New Roman" w:hAnsi="Times New Roman"/>
          <w:noProof/>
          <w:sz w:val="21"/>
          <w:szCs w:val="21"/>
          <w:lang w:val="en-US"/>
        </w:rPr>
        <w:t>Possible configuration of “</w:t>
      </w:r>
      <w:r>
        <w:rPr>
          <w:rFonts w:ascii="Times New Roman" w:hAnsi="Times New Roman"/>
          <w:noProof/>
          <w:sz w:val="21"/>
          <w:szCs w:val="21"/>
          <w:lang w:val="en-US" w:eastAsia="ko-KR"/>
        </w:rPr>
        <w:t>SRS resource</w:t>
      </w:r>
      <w:r w:rsidRPr="00A00506">
        <w:rPr>
          <w:rFonts w:ascii="Times New Roman" w:hAnsi="Times New Roman"/>
          <w:noProof/>
          <w:sz w:val="21"/>
          <w:szCs w:val="21"/>
          <w:lang w:eastAsia="ko-KR"/>
        </w:rPr>
        <w:t xml:space="preserve"> </w:t>
      </w:r>
      <w:r w:rsidRPr="00A00506">
        <w:rPr>
          <w:rFonts w:ascii="Times New Roman" w:hAnsi="Times New Roman"/>
          <w:noProof/>
          <w:sz w:val="21"/>
          <w:szCs w:val="21"/>
        </w:rPr>
        <w:t xml:space="preserve">PHR MAC </w:t>
      </w:r>
      <w:r w:rsidRPr="00A00506">
        <w:rPr>
          <w:rFonts w:ascii="Times New Roman" w:hAnsi="Times New Roman"/>
          <w:noProof/>
          <w:sz w:val="21"/>
          <w:szCs w:val="21"/>
          <w:lang w:eastAsia="ko-KR"/>
        </w:rPr>
        <w:t>CE</w:t>
      </w:r>
      <w:r>
        <w:rPr>
          <w:rFonts w:ascii="Times New Roman" w:hAnsi="Times New Roman"/>
          <w:noProof/>
          <w:sz w:val="21"/>
          <w:szCs w:val="21"/>
          <w:lang w:val="en-US" w:eastAsia="ko-KR"/>
        </w:rPr>
        <w:t>”</w:t>
      </w:r>
      <w:r w:rsidRPr="00A00506">
        <w:rPr>
          <w:rFonts w:ascii="Times New Roman" w:hAnsi="Times New Roman"/>
          <w:noProof/>
          <w:sz w:val="21"/>
          <w:szCs w:val="21"/>
        </w:rPr>
        <w:t xml:space="preserve"> with the hig</w:t>
      </w:r>
      <w:r w:rsidRPr="00A00506">
        <w:rPr>
          <w:rFonts w:ascii="Times New Roman" w:hAnsi="Times New Roman"/>
          <w:noProof/>
          <w:sz w:val="21"/>
          <w:szCs w:val="21"/>
          <w:lang w:eastAsia="ko-KR"/>
        </w:rPr>
        <w:t>h</w:t>
      </w:r>
      <w:r w:rsidRPr="00A00506">
        <w:rPr>
          <w:rFonts w:ascii="Times New Roman" w:hAnsi="Times New Roman"/>
          <w:noProof/>
          <w:sz w:val="21"/>
          <w:szCs w:val="21"/>
        </w:rPr>
        <w:t>es</w:t>
      </w:r>
      <w:r>
        <w:rPr>
          <w:rFonts w:ascii="Times New Roman" w:hAnsi="Times New Roman"/>
          <w:noProof/>
          <w:sz w:val="21"/>
          <w:szCs w:val="21"/>
          <w:lang w:val="en-US"/>
        </w:rPr>
        <w:t>t number of SRS resources equal to</w:t>
      </w:r>
      <w:r w:rsidRPr="00A00506">
        <w:rPr>
          <w:rFonts w:ascii="Times New Roman" w:hAnsi="Times New Roman"/>
          <w:noProof/>
          <w:sz w:val="21"/>
          <w:szCs w:val="21"/>
        </w:rPr>
        <w:t xml:space="preserve"> 8</w:t>
      </w:r>
      <w:r>
        <w:rPr>
          <w:rFonts w:ascii="Times New Roman" w:hAnsi="Times New Roman"/>
          <w:noProof/>
          <w:sz w:val="21"/>
          <w:szCs w:val="21"/>
          <w:lang w:val="en-US"/>
        </w:rPr>
        <w:t xml:space="preserve"> (corresponding to 1T8R AS)</w:t>
      </w:r>
    </w:p>
    <w:p w14:paraId="1102D335" w14:textId="59595D9D" w:rsidR="000D1FF7" w:rsidRDefault="00281612" w:rsidP="00CF74A4">
      <w:pPr>
        <w:spacing w:after="120"/>
        <w:rPr>
          <w:rFonts w:eastAsia="SimSun"/>
          <w:sz w:val="21"/>
          <w:szCs w:val="21"/>
        </w:rPr>
      </w:pPr>
      <w:r>
        <w:rPr>
          <w:rFonts w:eastAsia="SimSun"/>
          <w:sz w:val="21"/>
          <w:szCs w:val="21"/>
        </w:rPr>
        <w:t>The exact details of the PHR triggering conditions would also have to be discussed.</w:t>
      </w:r>
    </w:p>
    <w:bookmarkEnd w:id="2"/>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5C837FCB" w14:textId="77777777" w:rsidR="00983AFE" w:rsidRPr="006F4BD1" w:rsidRDefault="00983AFE" w:rsidP="00983AFE">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Observation 1: The proposed solution shall mandate the UE to perform the self-compensation of the SRS IL up to its configured maximum output power, which is consistent with the current specifications.</w:t>
      </w:r>
    </w:p>
    <w:p w14:paraId="2C628084" w14:textId="3F165882" w:rsidR="00983AFE" w:rsidRPr="00983AFE" w:rsidRDefault="00983AFE" w:rsidP="00983AFE">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 xml:space="preserve">Observation 2: </w:t>
      </w:r>
      <w:hyperlink w:anchor="_Toc163511217" w:history="1">
        <w:r w:rsidRPr="006F4BD1">
          <w:rPr>
            <w:rFonts w:ascii="Times New Roman" w:eastAsia="SimSun" w:hAnsi="Times New Roman" w:cs="Times New Roman"/>
            <w:sz w:val="21"/>
            <w:szCs w:val="21"/>
          </w:rPr>
          <w:t>Reporting of the actual insertion loss (or the actual IL imbalance), i.e. “</w:t>
        </w:r>
        <w:r w:rsidRPr="006F4BD1">
          <w:rPr>
            <w:rFonts w:ascii="Times New Roman" w:hAnsi="Times New Roman" w:cs="Times New Roman"/>
            <w:sz w:val="21"/>
            <w:szCs w:val="21"/>
          </w:rPr>
          <w:t>SRS insertion loss value reporting</w:t>
        </w:r>
        <w:r w:rsidRPr="006F4BD1">
          <w:rPr>
            <w:rFonts w:ascii="Times New Roman" w:eastAsia="SimSun" w:hAnsi="Times New Roman" w:cs="Times New Roman"/>
            <w:sz w:val="21"/>
            <w:szCs w:val="21"/>
          </w:rPr>
          <w:t xml:space="preserve">”, is in general insufficient for the accurate DL CSI estimation. </w:t>
        </w:r>
      </w:hyperlink>
    </w:p>
    <w:p w14:paraId="316696EB" w14:textId="636B7488" w:rsidR="00983AFE" w:rsidRPr="00983AFE" w:rsidRDefault="00983AFE" w:rsidP="00983AFE">
      <w:pPr>
        <w:pStyle w:val="TableofFigures"/>
        <w:tabs>
          <w:tab w:val="right" w:leader="dot" w:pos="9631"/>
        </w:tabs>
        <w:ind w:left="0" w:firstLine="0"/>
        <w:rPr>
          <w:rFonts w:ascii="Times New Roman" w:eastAsia="SimSun" w:hAnsi="Times New Roman" w:cs="Times New Roman"/>
          <w:sz w:val="21"/>
          <w:szCs w:val="21"/>
        </w:rPr>
      </w:pPr>
      <w:r w:rsidRPr="006F4BD1">
        <w:rPr>
          <w:rFonts w:ascii="Times New Roman" w:hAnsi="Times New Roman" w:cs="Times New Roman"/>
          <w:sz w:val="21"/>
          <w:szCs w:val="21"/>
        </w:rPr>
        <w:t xml:space="preserve">Observation </w:t>
      </w:r>
      <w:r>
        <w:rPr>
          <w:rFonts w:ascii="Times New Roman" w:hAnsi="Times New Roman" w:cs="Times New Roman"/>
          <w:sz w:val="21"/>
          <w:szCs w:val="21"/>
        </w:rPr>
        <w:t>3</w:t>
      </w:r>
      <w:r w:rsidRPr="006F4BD1">
        <w:rPr>
          <w:rFonts w:ascii="Times New Roman" w:hAnsi="Times New Roman" w:cs="Times New Roman"/>
          <w:sz w:val="21"/>
          <w:szCs w:val="21"/>
        </w:rPr>
        <w:t xml:space="preserve">: </w:t>
      </w:r>
      <w:hyperlink w:anchor="_Toc163511217" w:history="1">
        <w:r w:rsidRPr="006F4BD1">
          <w:rPr>
            <w:rFonts w:ascii="Times New Roman" w:eastAsia="SimSun" w:hAnsi="Times New Roman" w:cs="Times New Roman"/>
            <w:sz w:val="21"/>
            <w:szCs w:val="21"/>
          </w:rPr>
          <w:t xml:space="preserve">The expected benefit from the proposed solution is the maximization of the accuracy of the DL CSI estimation, which is of key importance for the performance of both SU and MU MIMO. </w:t>
        </w:r>
      </w:hyperlink>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684C2E0C" w14:textId="77777777" w:rsidR="00983AFE" w:rsidRPr="006F4BD1" w:rsidRDefault="00983AFE" w:rsidP="00983AFE">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Proposal 1: Introduce reporting for the SRS insertion loss imbalance issue in Rel-19.</w:t>
      </w:r>
    </w:p>
    <w:p w14:paraId="4D8F61E4" w14:textId="77777777" w:rsidR="00983AFE" w:rsidRPr="006F4BD1" w:rsidRDefault="00983AFE" w:rsidP="00983AFE">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lastRenderedPageBreak/>
        <w:t>Proposal 2: The introduced solution for the SRS insertion loss imbalance issue should be applicable to all 2Rx/4Rx/6Rx/8Rx cases.</w:t>
      </w:r>
    </w:p>
    <w:p w14:paraId="014DDE68" w14:textId="77777777" w:rsidR="00983AFE" w:rsidRPr="00C34E02" w:rsidRDefault="00983AFE" w:rsidP="00983AFE">
      <w:pPr>
        <w:spacing w:after="120"/>
        <w:rPr>
          <w:b/>
          <w:bCs/>
          <w:sz w:val="21"/>
          <w:szCs w:val="21"/>
        </w:rPr>
      </w:pPr>
      <w:r w:rsidRPr="00C34E02">
        <w:rPr>
          <w:b/>
          <w:bCs/>
          <w:sz w:val="21"/>
          <w:szCs w:val="21"/>
        </w:rPr>
        <w:t>Propo</w:t>
      </w:r>
      <w:r>
        <w:rPr>
          <w:b/>
          <w:bCs/>
          <w:sz w:val="21"/>
          <w:szCs w:val="21"/>
        </w:rPr>
        <w:t>s</w:t>
      </w:r>
      <w:r w:rsidRPr="00C34E02">
        <w:rPr>
          <w:b/>
          <w:bCs/>
          <w:sz w:val="21"/>
          <w:szCs w:val="21"/>
        </w:rPr>
        <w:t>al 3: The following SRS IL imbalance reporting solution should be specified:</w:t>
      </w:r>
    </w:p>
    <w:p w14:paraId="2359E18C" w14:textId="77777777" w:rsidR="00983AFE" w:rsidRPr="00C34E02" w:rsidRDefault="00983AFE" w:rsidP="00983AFE">
      <w:pPr>
        <w:pStyle w:val="ListParagraph"/>
        <w:numPr>
          <w:ilvl w:val="0"/>
          <w:numId w:val="20"/>
        </w:numPr>
        <w:spacing w:after="120"/>
        <w:ind w:firstLineChars="0"/>
        <w:rPr>
          <w:b/>
          <w:bCs/>
          <w:sz w:val="21"/>
          <w:szCs w:val="21"/>
        </w:rPr>
      </w:pPr>
      <w:r w:rsidRPr="00C34E02">
        <w:rPr>
          <w:b/>
          <w:bCs/>
          <w:sz w:val="21"/>
          <w:szCs w:val="21"/>
        </w:rPr>
        <w:t xml:space="preserve">UE performs self-compensation of SRS IL up to </w:t>
      </w:r>
      <w:r w:rsidRPr="0026733E">
        <w:rPr>
          <w:b/>
          <w:bCs/>
          <w:sz w:val="21"/>
          <w:szCs w:val="21"/>
        </w:rPr>
        <w:t>its configured maximum output power</w:t>
      </w:r>
      <w:r>
        <w:rPr>
          <w:b/>
          <w:bCs/>
          <w:sz w:val="21"/>
          <w:szCs w:val="21"/>
        </w:rPr>
        <w:t>.</w:t>
      </w:r>
    </w:p>
    <w:p w14:paraId="4A2E8051" w14:textId="77777777" w:rsidR="00983AFE" w:rsidRPr="00C34E02" w:rsidRDefault="00983AFE" w:rsidP="00983AFE">
      <w:pPr>
        <w:pStyle w:val="ListParagraph"/>
        <w:numPr>
          <w:ilvl w:val="0"/>
          <w:numId w:val="20"/>
        </w:numPr>
        <w:ind w:firstLineChars="0"/>
        <w:rPr>
          <w:b/>
          <w:bCs/>
          <w:sz w:val="21"/>
          <w:szCs w:val="21"/>
        </w:rPr>
      </w:pPr>
      <w:r w:rsidRPr="00C34E02">
        <w:rPr>
          <w:b/>
          <w:bCs/>
          <w:sz w:val="21"/>
          <w:szCs w:val="21"/>
        </w:rPr>
        <w:t xml:space="preserve">UE provides </w:t>
      </w:r>
      <w:r>
        <w:rPr>
          <w:b/>
          <w:bCs/>
          <w:sz w:val="21"/>
          <w:szCs w:val="21"/>
        </w:rPr>
        <w:t xml:space="preserve">dynamic </w:t>
      </w:r>
      <w:r w:rsidRPr="00C34E02">
        <w:rPr>
          <w:b/>
          <w:bCs/>
          <w:sz w:val="21"/>
          <w:szCs w:val="21"/>
        </w:rPr>
        <w:t>assistance to the network on SRS IL compensation</w:t>
      </w:r>
      <w:r>
        <w:rPr>
          <w:b/>
          <w:bCs/>
          <w:sz w:val="21"/>
          <w:szCs w:val="21"/>
        </w:rPr>
        <w:t>:</w:t>
      </w:r>
    </w:p>
    <w:p w14:paraId="74FD7B34" w14:textId="77777777" w:rsidR="00983AFE" w:rsidRPr="00C34E02" w:rsidRDefault="00983AFE" w:rsidP="00983AFE">
      <w:pPr>
        <w:pStyle w:val="ListParagraph"/>
        <w:numPr>
          <w:ilvl w:val="1"/>
          <w:numId w:val="20"/>
        </w:numPr>
        <w:spacing w:after="120"/>
        <w:ind w:firstLineChars="0"/>
        <w:rPr>
          <w:b/>
          <w:bCs/>
          <w:sz w:val="21"/>
          <w:szCs w:val="21"/>
        </w:rPr>
      </w:pPr>
      <w:r w:rsidRPr="00C34E02">
        <w:rPr>
          <w:b/>
          <w:bCs/>
          <w:sz w:val="21"/>
          <w:szCs w:val="21"/>
        </w:rPr>
        <w:t>Per SRS resource power headroom reporting</w:t>
      </w:r>
    </w:p>
    <w:p w14:paraId="3B6C5EE5" w14:textId="77777777" w:rsidR="00983AFE" w:rsidRPr="00C34E02" w:rsidRDefault="00983AFE" w:rsidP="00983AFE">
      <w:pPr>
        <w:pStyle w:val="ListParagraph"/>
        <w:numPr>
          <w:ilvl w:val="1"/>
          <w:numId w:val="20"/>
        </w:numPr>
        <w:spacing w:after="120"/>
        <w:ind w:firstLineChars="0"/>
        <w:rPr>
          <w:b/>
          <w:bCs/>
          <w:sz w:val="21"/>
          <w:szCs w:val="21"/>
        </w:rPr>
      </w:pPr>
      <w:r w:rsidRPr="00C34E02">
        <w:rPr>
          <w:b/>
          <w:bCs/>
          <w:sz w:val="21"/>
          <w:szCs w:val="21"/>
        </w:rPr>
        <w:t xml:space="preserve">Configured maximum output power per SRS resource </w:t>
      </w:r>
      <w:proofErr w:type="gramStart"/>
      <w:r w:rsidRPr="00C34E02">
        <w:rPr>
          <w:b/>
          <w:bCs/>
          <w:sz w:val="21"/>
          <w:szCs w:val="21"/>
        </w:rPr>
        <w:t>reporting</w:t>
      </w:r>
      <w:proofErr w:type="gramEnd"/>
    </w:p>
    <w:p w14:paraId="07770B37" w14:textId="5C83FBEA" w:rsidR="001A1782" w:rsidRPr="00983AFE" w:rsidRDefault="00983AFE" w:rsidP="00983AFE">
      <w:pPr>
        <w:pStyle w:val="ListParagraph"/>
        <w:numPr>
          <w:ilvl w:val="1"/>
          <w:numId w:val="20"/>
        </w:numPr>
        <w:spacing w:after="120"/>
        <w:ind w:firstLineChars="0"/>
        <w:rPr>
          <w:b/>
          <w:bCs/>
          <w:sz w:val="21"/>
          <w:szCs w:val="21"/>
        </w:rPr>
      </w:pPr>
      <w:r w:rsidRPr="00C34E02">
        <w:rPr>
          <w:b/>
          <w:bCs/>
          <w:sz w:val="21"/>
          <w:szCs w:val="21"/>
          <w:lang w:eastAsia="ja-JP"/>
        </w:rPr>
        <w:t>ΔP</w:t>
      </w:r>
      <w:r w:rsidRPr="00C34E02">
        <w:rPr>
          <w:b/>
          <w:bCs/>
          <w:sz w:val="21"/>
          <w:szCs w:val="21"/>
          <w:vertAlign w:val="subscript"/>
          <w:lang w:eastAsia="ja-JP"/>
        </w:rPr>
        <w:t>PowerClass</w:t>
      </w:r>
      <w:r>
        <w:rPr>
          <w:b/>
          <w:bCs/>
          <w:sz w:val="21"/>
          <w:szCs w:val="21"/>
          <w:lang w:eastAsia="ja-JP"/>
        </w:rPr>
        <w:t xml:space="preserve"> reporting</w:t>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A088A0" w:rsidR="00E9291F" w:rsidRPr="00E84D58" w:rsidRDefault="00DD531C" w:rsidP="00DD531C">
      <w:pPr>
        <w:pStyle w:val="ListParagraph"/>
        <w:numPr>
          <w:ilvl w:val="0"/>
          <w:numId w:val="13"/>
        </w:numPr>
        <w:ind w:firstLineChars="0"/>
        <w:jc w:val="both"/>
        <w:rPr>
          <w:rFonts w:ascii="Arial" w:hAnsi="Arial" w:cs="Arial"/>
          <w:iCs/>
          <w:sz w:val="22"/>
          <w:szCs w:val="22"/>
        </w:rPr>
      </w:pPr>
      <w:bookmarkStart w:id="4" w:name="_Ref129967845"/>
      <w:r w:rsidRPr="00713173">
        <w:rPr>
          <w:sz w:val="22"/>
          <w:szCs w:val="22"/>
          <w:lang w:val="en-GB"/>
        </w:rPr>
        <w:t>RP</w:t>
      </w:r>
      <w:r w:rsidR="000C76A4" w:rsidRPr="000C76A4">
        <w:rPr>
          <w:sz w:val="22"/>
          <w:szCs w:val="22"/>
          <w:lang w:val="en-GB"/>
        </w:rPr>
        <w:t xml:space="preserve">-241656, “New WID: UE RF enhancements for NR FR1/FR2 and EN-DC, Phase 4”, </w:t>
      </w:r>
      <w:r w:rsidR="000A69A1">
        <w:rPr>
          <w:sz w:val="22"/>
          <w:szCs w:val="22"/>
          <w:lang w:val="en-GB"/>
        </w:rPr>
        <w:t>RAN#10</w:t>
      </w:r>
      <w:r w:rsidR="000C76A4">
        <w:rPr>
          <w:sz w:val="22"/>
          <w:szCs w:val="22"/>
          <w:lang w:val="en-GB"/>
        </w:rPr>
        <w:t>4</w:t>
      </w:r>
      <w:r w:rsidRPr="00713173">
        <w:rPr>
          <w:sz w:val="22"/>
          <w:szCs w:val="22"/>
        </w:rPr>
        <w:t>.</w:t>
      </w:r>
      <w:bookmarkEnd w:id="4"/>
    </w:p>
    <w:p w14:paraId="6DFD7BD0" w14:textId="496FB739" w:rsidR="00E84D58" w:rsidRPr="00E84D58" w:rsidRDefault="00AB0F84" w:rsidP="00E84D58">
      <w:pPr>
        <w:pStyle w:val="ListParagraph"/>
        <w:numPr>
          <w:ilvl w:val="0"/>
          <w:numId w:val="13"/>
        </w:numPr>
        <w:ind w:firstLineChars="0"/>
        <w:jc w:val="both"/>
        <w:rPr>
          <w:rFonts w:ascii="Arial" w:hAnsi="Arial" w:cs="Arial"/>
          <w:iCs/>
          <w:sz w:val="22"/>
          <w:szCs w:val="22"/>
        </w:rPr>
      </w:pPr>
      <w:r w:rsidRPr="00AB0F84">
        <w:rPr>
          <w:sz w:val="22"/>
          <w:szCs w:val="22"/>
          <w:lang w:val="en-GB"/>
        </w:rPr>
        <w:t>R4-2417209, “WF on 6Rx UE requirements”, AT&amp;T, RAN4#112-bis</w:t>
      </w:r>
      <w:r w:rsidR="00E84D58" w:rsidRPr="00713173">
        <w:rPr>
          <w:sz w:val="22"/>
          <w:szCs w:val="22"/>
        </w:rPr>
        <w:t>.</w:t>
      </w:r>
    </w:p>
    <w:p w14:paraId="6445D81B" w14:textId="21E3E557" w:rsidR="008E0CD1" w:rsidRDefault="008E0CD1" w:rsidP="008E0CD1">
      <w:pPr>
        <w:pStyle w:val="ListParagraph"/>
        <w:numPr>
          <w:ilvl w:val="0"/>
          <w:numId w:val="13"/>
        </w:numPr>
        <w:ind w:firstLineChars="0"/>
        <w:jc w:val="both"/>
        <w:rPr>
          <w:iCs/>
          <w:sz w:val="22"/>
          <w:szCs w:val="22"/>
        </w:rPr>
      </w:pPr>
      <w:r>
        <w:rPr>
          <w:iCs/>
          <w:sz w:val="22"/>
          <w:szCs w:val="22"/>
        </w:rPr>
        <w:t>R4-2413360, “</w:t>
      </w:r>
      <w:r w:rsidRPr="008E0CD1">
        <w:rPr>
          <w:iCs/>
          <w:sz w:val="22"/>
          <w:szCs w:val="22"/>
        </w:rPr>
        <w:t>On need for SRS insertion loss imbalance reporting</w:t>
      </w:r>
      <w:r>
        <w:rPr>
          <w:iCs/>
          <w:sz w:val="22"/>
          <w:szCs w:val="22"/>
        </w:rPr>
        <w:t>”, Ericsson, RAN4#112.</w:t>
      </w:r>
    </w:p>
    <w:p w14:paraId="11C9597E" w14:textId="2266FAC8" w:rsidR="00FB6760" w:rsidRDefault="00FB6760" w:rsidP="00FB6760">
      <w:pPr>
        <w:pStyle w:val="ListParagraph"/>
        <w:numPr>
          <w:ilvl w:val="0"/>
          <w:numId w:val="13"/>
        </w:numPr>
        <w:ind w:firstLineChars="0"/>
        <w:jc w:val="both"/>
        <w:rPr>
          <w:iCs/>
          <w:sz w:val="22"/>
          <w:szCs w:val="22"/>
        </w:rPr>
      </w:pPr>
      <w:r>
        <w:rPr>
          <w:iCs/>
          <w:sz w:val="22"/>
          <w:szCs w:val="22"/>
        </w:rPr>
        <w:t>R4-2415313, “</w:t>
      </w:r>
      <w:r w:rsidRPr="009D41BB">
        <w:rPr>
          <w:iCs/>
          <w:sz w:val="22"/>
          <w:szCs w:val="22"/>
        </w:rPr>
        <w:t>On the SRS insertion loss imbalance reporting</w:t>
      </w:r>
      <w:r>
        <w:rPr>
          <w:iCs/>
          <w:sz w:val="22"/>
          <w:szCs w:val="22"/>
        </w:rPr>
        <w:t>”, Ericsson, RAN4#112-bis.</w:t>
      </w:r>
    </w:p>
    <w:p w14:paraId="2659038E" w14:textId="35A08660" w:rsidR="00FB6760" w:rsidRPr="00FB6760" w:rsidRDefault="0049601F" w:rsidP="00FB6760">
      <w:pPr>
        <w:pStyle w:val="ListParagraph"/>
        <w:numPr>
          <w:ilvl w:val="0"/>
          <w:numId w:val="13"/>
        </w:numPr>
        <w:ind w:firstLineChars="0"/>
        <w:jc w:val="both"/>
        <w:rPr>
          <w:iCs/>
          <w:sz w:val="22"/>
          <w:szCs w:val="22"/>
        </w:rPr>
      </w:pPr>
      <w:r w:rsidRPr="0049601F">
        <w:rPr>
          <w:iCs/>
          <w:sz w:val="22"/>
          <w:szCs w:val="22"/>
        </w:rPr>
        <w:t>R4-2418870</w:t>
      </w:r>
      <w:r w:rsidR="00FB6760">
        <w:rPr>
          <w:iCs/>
          <w:sz w:val="22"/>
          <w:szCs w:val="22"/>
        </w:rPr>
        <w:t>, “</w:t>
      </w:r>
      <w:r w:rsidR="00FB6760" w:rsidRPr="00FB6760">
        <w:rPr>
          <w:iCs/>
          <w:sz w:val="22"/>
          <w:szCs w:val="22"/>
        </w:rPr>
        <w:t>Reference measurement channels for SRS transmissions</w:t>
      </w:r>
      <w:r w:rsidR="00FB6760">
        <w:rPr>
          <w:iCs/>
          <w:sz w:val="22"/>
          <w:szCs w:val="22"/>
        </w:rPr>
        <w:t>”, Ericsson, RAN#113.</w:t>
      </w:r>
    </w:p>
    <w:p w14:paraId="4353F7AE" w14:textId="6EE3CB7D" w:rsidR="00FB6760" w:rsidRDefault="00FB6760" w:rsidP="008E0CD1">
      <w:pPr>
        <w:pStyle w:val="ListParagraph"/>
        <w:numPr>
          <w:ilvl w:val="0"/>
          <w:numId w:val="13"/>
        </w:numPr>
        <w:ind w:firstLineChars="0"/>
        <w:jc w:val="both"/>
        <w:rPr>
          <w:iCs/>
          <w:sz w:val="22"/>
          <w:szCs w:val="22"/>
        </w:rPr>
      </w:pPr>
      <w:r>
        <w:rPr>
          <w:iCs/>
          <w:sz w:val="22"/>
          <w:szCs w:val="22"/>
        </w:rPr>
        <w:t>R4-2</w:t>
      </w:r>
      <w:r w:rsidR="00DE7F9E">
        <w:rPr>
          <w:iCs/>
          <w:sz w:val="22"/>
          <w:szCs w:val="22"/>
        </w:rPr>
        <w:t>4</w:t>
      </w:r>
      <w:r w:rsidR="00762905">
        <w:rPr>
          <w:iCs/>
          <w:sz w:val="22"/>
          <w:szCs w:val="22"/>
        </w:rPr>
        <w:t>19499</w:t>
      </w:r>
      <w:r>
        <w:rPr>
          <w:iCs/>
          <w:sz w:val="22"/>
          <w:szCs w:val="22"/>
        </w:rPr>
        <w:t>, “</w:t>
      </w:r>
      <w:r w:rsidRPr="00FB6760">
        <w:rPr>
          <w:iCs/>
          <w:sz w:val="22"/>
          <w:szCs w:val="22"/>
        </w:rPr>
        <w:t>(NR_ENDC_RF_FR1_enh2-Core) On DeltaP_PowerClass for SRS AS for 4Tx</w:t>
      </w:r>
      <w:r>
        <w:rPr>
          <w:iCs/>
          <w:sz w:val="22"/>
          <w:szCs w:val="22"/>
        </w:rPr>
        <w:t>”, Ericsson, RAN4#113.</w:t>
      </w:r>
    </w:p>
    <w:p w14:paraId="6441B0A7" w14:textId="6CF37585" w:rsidR="0056101A" w:rsidRDefault="0056101A" w:rsidP="0056101A">
      <w:pPr>
        <w:pStyle w:val="ListParagraph"/>
        <w:numPr>
          <w:ilvl w:val="0"/>
          <w:numId w:val="13"/>
        </w:numPr>
        <w:ind w:firstLineChars="0"/>
        <w:jc w:val="both"/>
        <w:rPr>
          <w:iCs/>
          <w:sz w:val="22"/>
          <w:szCs w:val="22"/>
        </w:rPr>
      </w:pPr>
      <w:r w:rsidRPr="001A2FDB">
        <w:rPr>
          <w:iCs/>
          <w:sz w:val="22"/>
          <w:szCs w:val="22"/>
        </w:rPr>
        <w:t>3GPP TS38.213 V18.</w:t>
      </w:r>
      <w:r>
        <w:rPr>
          <w:iCs/>
          <w:sz w:val="22"/>
          <w:szCs w:val="22"/>
        </w:rPr>
        <w:t>4</w:t>
      </w:r>
      <w:r w:rsidRPr="001A2FDB">
        <w:rPr>
          <w:iCs/>
          <w:sz w:val="22"/>
          <w:szCs w:val="22"/>
        </w:rPr>
        <w:t>.0, “NR; Physical layer procedures for control”</w:t>
      </w:r>
      <w:r>
        <w:rPr>
          <w:iCs/>
          <w:sz w:val="22"/>
          <w:szCs w:val="22"/>
        </w:rPr>
        <w:t>.</w:t>
      </w:r>
    </w:p>
    <w:p w14:paraId="2CE67DAE" w14:textId="6B099EAC" w:rsidR="0094237D" w:rsidRPr="00FB6760" w:rsidRDefault="00190A2C" w:rsidP="00FB6760">
      <w:pPr>
        <w:pStyle w:val="ListParagraph"/>
        <w:numPr>
          <w:ilvl w:val="0"/>
          <w:numId w:val="13"/>
        </w:numPr>
        <w:ind w:firstLineChars="0"/>
        <w:jc w:val="both"/>
        <w:rPr>
          <w:iCs/>
          <w:sz w:val="22"/>
          <w:szCs w:val="22"/>
        </w:rPr>
      </w:pPr>
      <w:r w:rsidRPr="001A2FDB">
        <w:rPr>
          <w:iCs/>
          <w:sz w:val="22"/>
          <w:szCs w:val="22"/>
        </w:rPr>
        <w:t>3GPP TS38.</w:t>
      </w:r>
      <w:r>
        <w:rPr>
          <w:iCs/>
          <w:sz w:val="22"/>
          <w:szCs w:val="22"/>
        </w:rPr>
        <w:t>321</w:t>
      </w:r>
      <w:r w:rsidRPr="001A2FDB">
        <w:rPr>
          <w:iCs/>
          <w:sz w:val="22"/>
          <w:szCs w:val="22"/>
        </w:rPr>
        <w:t xml:space="preserve"> V18.</w:t>
      </w:r>
      <w:r>
        <w:rPr>
          <w:iCs/>
          <w:sz w:val="22"/>
          <w:szCs w:val="22"/>
        </w:rPr>
        <w:t>3</w:t>
      </w:r>
      <w:r w:rsidRPr="001A2FDB">
        <w:rPr>
          <w:iCs/>
          <w:sz w:val="22"/>
          <w:szCs w:val="22"/>
        </w:rPr>
        <w:t xml:space="preserve">.0, “NR; </w:t>
      </w:r>
      <w:r w:rsidRPr="00190A2C">
        <w:rPr>
          <w:iCs/>
          <w:sz w:val="22"/>
          <w:szCs w:val="22"/>
        </w:rPr>
        <w:t>Medium Access Control (MAC) protocol specification</w:t>
      </w:r>
      <w:r w:rsidRPr="001A2FDB">
        <w:rPr>
          <w:iCs/>
          <w:sz w:val="22"/>
          <w:szCs w:val="22"/>
        </w:rPr>
        <w:t>”</w:t>
      </w:r>
      <w:r>
        <w:rPr>
          <w:iCs/>
          <w:sz w:val="22"/>
          <w:szCs w:val="22"/>
        </w:rPr>
        <w:t>.</w:t>
      </w:r>
    </w:p>
    <w:sectPr w:rsidR="0094237D" w:rsidRPr="00FB676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A3C3" w14:textId="77777777" w:rsidR="000E0EF4" w:rsidRDefault="000E0EF4" w:rsidP="00CF21FF">
      <w:r>
        <w:separator/>
      </w:r>
    </w:p>
  </w:endnote>
  <w:endnote w:type="continuationSeparator" w:id="0">
    <w:p w14:paraId="007D905B" w14:textId="77777777" w:rsidR="000E0EF4" w:rsidRDefault="000E0EF4" w:rsidP="00CF21FF">
      <w:r>
        <w:continuationSeparator/>
      </w:r>
    </w:p>
  </w:endnote>
  <w:endnote w:type="continuationNotice" w:id="1">
    <w:p w14:paraId="61CA0E09" w14:textId="77777777" w:rsidR="000E0EF4" w:rsidRDefault="000E0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EA1E" w14:textId="77777777" w:rsidR="000E0EF4" w:rsidRDefault="000E0EF4" w:rsidP="00CF21FF">
      <w:r>
        <w:separator/>
      </w:r>
    </w:p>
  </w:footnote>
  <w:footnote w:type="continuationSeparator" w:id="0">
    <w:p w14:paraId="3716C5D6" w14:textId="77777777" w:rsidR="000E0EF4" w:rsidRDefault="000E0EF4" w:rsidP="00CF21FF">
      <w:r>
        <w:continuationSeparator/>
      </w:r>
    </w:p>
  </w:footnote>
  <w:footnote w:type="continuationNotice" w:id="1">
    <w:p w14:paraId="2EF62555" w14:textId="77777777" w:rsidR="000E0EF4" w:rsidRDefault="000E0E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8"/>
  </w:num>
  <w:num w:numId="2" w16cid:durableId="206456521">
    <w:abstractNumId w:val="11"/>
  </w:num>
  <w:num w:numId="3" w16cid:durableId="2114860448">
    <w:abstractNumId w:val="2"/>
  </w:num>
  <w:num w:numId="4" w16cid:durableId="236524273">
    <w:abstractNumId w:val="12"/>
  </w:num>
  <w:num w:numId="5" w16cid:durableId="124935407">
    <w:abstractNumId w:val="14"/>
  </w:num>
  <w:num w:numId="6" w16cid:durableId="910846781">
    <w:abstractNumId w:val="17"/>
  </w:num>
  <w:num w:numId="7" w16cid:durableId="730082185">
    <w:abstractNumId w:val="16"/>
  </w:num>
  <w:num w:numId="8" w16cid:durableId="575479695">
    <w:abstractNumId w:val="10"/>
  </w:num>
  <w:num w:numId="9" w16cid:durableId="1112823213">
    <w:abstractNumId w:val="9"/>
  </w:num>
  <w:num w:numId="10" w16cid:durableId="614143105">
    <w:abstractNumId w:val="15"/>
  </w:num>
  <w:num w:numId="11" w16cid:durableId="1213073752">
    <w:abstractNumId w:val="7"/>
  </w:num>
  <w:num w:numId="12" w16cid:durableId="341251335">
    <w:abstractNumId w:val="18"/>
  </w:num>
  <w:num w:numId="13" w16cid:durableId="338388040">
    <w:abstractNumId w:val="19"/>
  </w:num>
  <w:num w:numId="14" w16cid:durableId="683022094">
    <w:abstractNumId w:val="3"/>
  </w:num>
  <w:num w:numId="15" w16cid:durableId="598368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4"/>
  </w:num>
  <w:num w:numId="18" w16cid:durableId="1891309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13"/>
  </w:num>
  <w:num w:numId="20" w16cid:durableId="15349896">
    <w:abstractNumId w:val="20"/>
  </w:num>
  <w:num w:numId="21" w16cid:durableId="724373019">
    <w:abstractNumId w:val="6"/>
  </w:num>
  <w:num w:numId="22" w16cid:durableId="183988114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BA2"/>
    <w:rsid w:val="00053D8B"/>
    <w:rsid w:val="0005402F"/>
    <w:rsid w:val="000542B1"/>
    <w:rsid w:val="00055BA3"/>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6467"/>
    <w:rsid w:val="000D6CFC"/>
    <w:rsid w:val="000D7938"/>
    <w:rsid w:val="000D7C76"/>
    <w:rsid w:val="000D7EC7"/>
    <w:rsid w:val="000E0EF4"/>
    <w:rsid w:val="000E0F10"/>
    <w:rsid w:val="000E1568"/>
    <w:rsid w:val="000E1936"/>
    <w:rsid w:val="000E1CBB"/>
    <w:rsid w:val="000E2EB7"/>
    <w:rsid w:val="000E320C"/>
    <w:rsid w:val="000E3CEF"/>
    <w:rsid w:val="000E4D68"/>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1150"/>
    <w:rsid w:val="00171714"/>
    <w:rsid w:val="00172183"/>
    <w:rsid w:val="00172525"/>
    <w:rsid w:val="0017278E"/>
    <w:rsid w:val="00172C2D"/>
    <w:rsid w:val="00173250"/>
    <w:rsid w:val="001734B7"/>
    <w:rsid w:val="00174CE9"/>
    <w:rsid w:val="001751AB"/>
    <w:rsid w:val="001754F8"/>
    <w:rsid w:val="00175A3F"/>
    <w:rsid w:val="00176482"/>
    <w:rsid w:val="00177302"/>
    <w:rsid w:val="00177E33"/>
    <w:rsid w:val="00180414"/>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90036"/>
    <w:rsid w:val="0019081D"/>
    <w:rsid w:val="0019099B"/>
    <w:rsid w:val="00190A2C"/>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5B"/>
    <w:rsid w:val="0025412C"/>
    <w:rsid w:val="00255C45"/>
    <w:rsid w:val="00255C58"/>
    <w:rsid w:val="002562DF"/>
    <w:rsid w:val="00256B34"/>
    <w:rsid w:val="00257009"/>
    <w:rsid w:val="0025794A"/>
    <w:rsid w:val="00257CE6"/>
    <w:rsid w:val="00260162"/>
    <w:rsid w:val="00260EC7"/>
    <w:rsid w:val="00260FBC"/>
    <w:rsid w:val="00261539"/>
    <w:rsid w:val="0026179F"/>
    <w:rsid w:val="00261896"/>
    <w:rsid w:val="00261A33"/>
    <w:rsid w:val="002621F4"/>
    <w:rsid w:val="002622E7"/>
    <w:rsid w:val="00262780"/>
    <w:rsid w:val="00263184"/>
    <w:rsid w:val="002637F8"/>
    <w:rsid w:val="00264276"/>
    <w:rsid w:val="00264C1C"/>
    <w:rsid w:val="00264FEE"/>
    <w:rsid w:val="002652D9"/>
    <w:rsid w:val="0026572F"/>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909"/>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152E"/>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D78"/>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176A5"/>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6B"/>
    <w:rsid w:val="004C187C"/>
    <w:rsid w:val="004C1F3B"/>
    <w:rsid w:val="004C327B"/>
    <w:rsid w:val="004C33AD"/>
    <w:rsid w:val="004C3C40"/>
    <w:rsid w:val="004C54E5"/>
    <w:rsid w:val="004C6186"/>
    <w:rsid w:val="004C6E66"/>
    <w:rsid w:val="004C7A13"/>
    <w:rsid w:val="004C7C58"/>
    <w:rsid w:val="004C7D54"/>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396"/>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A07"/>
    <w:rsid w:val="00547CA5"/>
    <w:rsid w:val="00550C52"/>
    <w:rsid w:val="0055137B"/>
    <w:rsid w:val="00551A35"/>
    <w:rsid w:val="00551E62"/>
    <w:rsid w:val="00552A95"/>
    <w:rsid w:val="00552F10"/>
    <w:rsid w:val="005535B3"/>
    <w:rsid w:val="00554550"/>
    <w:rsid w:val="005548BE"/>
    <w:rsid w:val="005554B5"/>
    <w:rsid w:val="0055736F"/>
    <w:rsid w:val="00557BCE"/>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CA7"/>
    <w:rsid w:val="005A2945"/>
    <w:rsid w:val="005A3168"/>
    <w:rsid w:val="005A4929"/>
    <w:rsid w:val="005A5471"/>
    <w:rsid w:val="005A5625"/>
    <w:rsid w:val="005A655C"/>
    <w:rsid w:val="005A6D5C"/>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3ABE"/>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25119"/>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1319"/>
    <w:rsid w:val="00662F0E"/>
    <w:rsid w:val="006649C3"/>
    <w:rsid w:val="00665E93"/>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448"/>
    <w:rsid w:val="006A5693"/>
    <w:rsid w:val="006A588C"/>
    <w:rsid w:val="006A6637"/>
    <w:rsid w:val="006A676C"/>
    <w:rsid w:val="006A6D23"/>
    <w:rsid w:val="006A7195"/>
    <w:rsid w:val="006A75C5"/>
    <w:rsid w:val="006A79C4"/>
    <w:rsid w:val="006A7A89"/>
    <w:rsid w:val="006A7E7E"/>
    <w:rsid w:val="006B1B63"/>
    <w:rsid w:val="006B25DE"/>
    <w:rsid w:val="006B5C6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177"/>
    <w:rsid w:val="006D62B5"/>
    <w:rsid w:val="006D75A6"/>
    <w:rsid w:val="006E066D"/>
    <w:rsid w:val="006E0A32"/>
    <w:rsid w:val="006E0A73"/>
    <w:rsid w:val="006E0FEE"/>
    <w:rsid w:val="006E1652"/>
    <w:rsid w:val="006E1E5F"/>
    <w:rsid w:val="006E2341"/>
    <w:rsid w:val="006E28C0"/>
    <w:rsid w:val="006E3B78"/>
    <w:rsid w:val="006E501E"/>
    <w:rsid w:val="006E6558"/>
    <w:rsid w:val="006E6C11"/>
    <w:rsid w:val="006E6C91"/>
    <w:rsid w:val="006F0160"/>
    <w:rsid w:val="006F1AD4"/>
    <w:rsid w:val="006F2683"/>
    <w:rsid w:val="006F2732"/>
    <w:rsid w:val="006F372C"/>
    <w:rsid w:val="006F4BD1"/>
    <w:rsid w:val="006F580B"/>
    <w:rsid w:val="006F5AD5"/>
    <w:rsid w:val="006F5B58"/>
    <w:rsid w:val="006F5C2D"/>
    <w:rsid w:val="006F5FCF"/>
    <w:rsid w:val="006F75E9"/>
    <w:rsid w:val="006F7C0C"/>
    <w:rsid w:val="00700755"/>
    <w:rsid w:val="0070076F"/>
    <w:rsid w:val="007010AD"/>
    <w:rsid w:val="00702E70"/>
    <w:rsid w:val="00703899"/>
    <w:rsid w:val="00704ABE"/>
    <w:rsid w:val="007055D4"/>
    <w:rsid w:val="00705720"/>
    <w:rsid w:val="00705ABC"/>
    <w:rsid w:val="00705F2B"/>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2E23"/>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5698"/>
    <w:rsid w:val="0074699E"/>
    <w:rsid w:val="00747809"/>
    <w:rsid w:val="00747C9C"/>
    <w:rsid w:val="00751861"/>
    <w:rsid w:val="007520B4"/>
    <w:rsid w:val="00752E6B"/>
    <w:rsid w:val="00753D16"/>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BC0"/>
    <w:rsid w:val="007B5A43"/>
    <w:rsid w:val="007B5AC6"/>
    <w:rsid w:val="007B709B"/>
    <w:rsid w:val="007B7407"/>
    <w:rsid w:val="007B7444"/>
    <w:rsid w:val="007B7FCD"/>
    <w:rsid w:val="007C0135"/>
    <w:rsid w:val="007C1343"/>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B79"/>
    <w:rsid w:val="00820C85"/>
    <w:rsid w:val="00820C89"/>
    <w:rsid w:val="00820CE9"/>
    <w:rsid w:val="00820E6E"/>
    <w:rsid w:val="008215F9"/>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1AEC"/>
    <w:rsid w:val="008B3194"/>
    <w:rsid w:val="008B446A"/>
    <w:rsid w:val="008B4506"/>
    <w:rsid w:val="008B5AE7"/>
    <w:rsid w:val="008B5E43"/>
    <w:rsid w:val="008B5EB3"/>
    <w:rsid w:val="008B618D"/>
    <w:rsid w:val="008C0330"/>
    <w:rsid w:val="008C0AB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0CD1"/>
    <w:rsid w:val="008E1281"/>
    <w:rsid w:val="008E1F60"/>
    <w:rsid w:val="008E21A6"/>
    <w:rsid w:val="008E25B6"/>
    <w:rsid w:val="008E307E"/>
    <w:rsid w:val="008E3F58"/>
    <w:rsid w:val="008E4A66"/>
    <w:rsid w:val="008E4AB0"/>
    <w:rsid w:val="008E4EE3"/>
    <w:rsid w:val="008E5A5B"/>
    <w:rsid w:val="008E6119"/>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37D"/>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BD1"/>
    <w:rsid w:val="009F0F9E"/>
    <w:rsid w:val="009F14E0"/>
    <w:rsid w:val="009F18A6"/>
    <w:rsid w:val="009F1E67"/>
    <w:rsid w:val="009F319D"/>
    <w:rsid w:val="009F3F02"/>
    <w:rsid w:val="009F42FA"/>
    <w:rsid w:val="009F4593"/>
    <w:rsid w:val="009F47E0"/>
    <w:rsid w:val="009F5022"/>
    <w:rsid w:val="009F6381"/>
    <w:rsid w:val="009F7DC2"/>
    <w:rsid w:val="009F7E69"/>
    <w:rsid w:val="00A00506"/>
    <w:rsid w:val="00A00B71"/>
    <w:rsid w:val="00A01452"/>
    <w:rsid w:val="00A01643"/>
    <w:rsid w:val="00A01793"/>
    <w:rsid w:val="00A01874"/>
    <w:rsid w:val="00A020B5"/>
    <w:rsid w:val="00A025B2"/>
    <w:rsid w:val="00A0330A"/>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ADC"/>
    <w:rsid w:val="00A67E69"/>
    <w:rsid w:val="00A7147D"/>
    <w:rsid w:val="00A7216B"/>
    <w:rsid w:val="00A72E9C"/>
    <w:rsid w:val="00A73522"/>
    <w:rsid w:val="00A73B3F"/>
    <w:rsid w:val="00A73DC4"/>
    <w:rsid w:val="00A7537A"/>
    <w:rsid w:val="00A75D2E"/>
    <w:rsid w:val="00A76466"/>
    <w:rsid w:val="00A771CF"/>
    <w:rsid w:val="00A80156"/>
    <w:rsid w:val="00A802FA"/>
    <w:rsid w:val="00A80A09"/>
    <w:rsid w:val="00A80FE1"/>
    <w:rsid w:val="00A81B15"/>
    <w:rsid w:val="00A830C7"/>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31ED"/>
    <w:rsid w:val="00AB37C0"/>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97B"/>
    <w:rsid w:val="00B05480"/>
    <w:rsid w:val="00B0554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473"/>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B3B"/>
    <w:rsid w:val="00B83EF0"/>
    <w:rsid w:val="00B84160"/>
    <w:rsid w:val="00B8443C"/>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28DE"/>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37BB6"/>
    <w:rsid w:val="00D408DD"/>
    <w:rsid w:val="00D40955"/>
    <w:rsid w:val="00D414CE"/>
    <w:rsid w:val="00D416A5"/>
    <w:rsid w:val="00D418ED"/>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2037"/>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9FC"/>
    <w:rsid w:val="00D82C78"/>
    <w:rsid w:val="00D84E4F"/>
    <w:rsid w:val="00D850DB"/>
    <w:rsid w:val="00D853E8"/>
    <w:rsid w:val="00D8576F"/>
    <w:rsid w:val="00D857BD"/>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E7F9E"/>
    <w:rsid w:val="00DF063B"/>
    <w:rsid w:val="00DF1371"/>
    <w:rsid w:val="00DF1D58"/>
    <w:rsid w:val="00DF2286"/>
    <w:rsid w:val="00DF2E23"/>
    <w:rsid w:val="00DF3ECB"/>
    <w:rsid w:val="00DF517A"/>
    <w:rsid w:val="00DF5CB4"/>
    <w:rsid w:val="00DF64BA"/>
    <w:rsid w:val="00DF654F"/>
    <w:rsid w:val="00DF6869"/>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77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3125"/>
    <w:rsid w:val="00E931B1"/>
    <w:rsid w:val="00E93312"/>
    <w:rsid w:val="00E9374E"/>
    <w:rsid w:val="00E93A46"/>
    <w:rsid w:val="00E9411A"/>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5333"/>
    <w:rsid w:val="00EC6121"/>
    <w:rsid w:val="00EC65E0"/>
    <w:rsid w:val="00EC77FC"/>
    <w:rsid w:val="00ED0AB7"/>
    <w:rsid w:val="00ED12E6"/>
    <w:rsid w:val="00ED2197"/>
    <w:rsid w:val="00ED225A"/>
    <w:rsid w:val="00ED225E"/>
    <w:rsid w:val="00ED2C81"/>
    <w:rsid w:val="00ED3067"/>
    <w:rsid w:val="00ED383A"/>
    <w:rsid w:val="00ED3F40"/>
    <w:rsid w:val="00ED4F23"/>
    <w:rsid w:val="00ED5A49"/>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2D2"/>
    <w:rsid w:val="00F13D00"/>
    <w:rsid w:val="00F13D05"/>
    <w:rsid w:val="00F15FFE"/>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1463"/>
    <w:rsid w:val="00F335E2"/>
    <w:rsid w:val="00F33AD5"/>
    <w:rsid w:val="00F33B72"/>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B83"/>
    <w:rsid w:val="00F723F6"/>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760"/>
    <w:rsid w:val="00FB6BC5"/>
    <w:rsid w:val="00FB6F17"/>
    <w:rsid w:val="00FB7170"/>
    <w:rsid w:val="00FB7291"/>
    <w:rsid w:val="00FB79DF"/>
    <w:rsid w:val="00FB79E1"/>
    <w:rsid w:val="00FC051F"/>
    <w:rsid w:val="00FC06FF"/>
    <w:rsid w:val="00FC1B63"/>
    <w:rsid w:val="00FC1E06"/>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69AEFD4"/>
    <w:rsid w:val="176C804D"/>
    <w:rsid w:val="1DAA7640"/>
    <w:rsid w:val="24A73FF0"/>
    <w:rsid w:val="30CE1373"/>
    <w:rsid w:val="3FF8F595"/>
    <w:rsid w:val="403A8D00"/>
    <w:rsid w:val="41CD8D67"/>
    <w:rsid w:val="43E36C76"/>
    <w:rsid w:val="51828ACA"/>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841CFC8D-F9D3-4193-9E5A-D2F0D69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CFF"/>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10" Type="http://schemas.openxmlformats.org/officeDocument/2006/relationships/footnotes" Target="footnotes.xml"/><Relationship Id="rId19" Type="http://schemas.openxmlformats.org/officeDocument/2006/relationships/image" Target="media/image8.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purl.org/dc/dcmitype/"/>
    <ds:schemaRef ds:uri="http://purl.org/dc/elements/1.1/"/>
    <ds:schemaRef ds:uri="http://schemas.microsoft.com/office/infopath/2007/PartnerControls"/>
    <ds:schemaRef ds:uri="http://www.w3.org/XML/1998/namespace"/>
    <ds:schemaRef ds:uri="http://purl.org/dc/terms/"/>
    <ds:schemaRef ds:uri="http://schemas.microsoft.com/office/2006/metadata/properties"/>
    <ds:schemaRef ds:uri="2f282d3b-eb4a-4b09-b61f-b9593442e286"/>
    <ds:schemaRef ds:uri="http://schemas.openxmlformats.org/package/2006/metadata/core-properties"/>
    <ds:schemaRef ds:uri="http://schemas.microsoft.com/office/2006/documentManagement/types"/>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6737B8A9-7370-433E-9067-380CE209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5389</TotalTime>
  <Pages>6</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17749</CharactersWithSpaces>
  <SharedDoc>false</SharedDoc>
  <HLinks>
    <vt:vector size="72" baseType="variant">
      <vt:variant>
        <vt:i4>1703989</vt:i4>
      </vt:variant>
      <vt:variant>
        <vt:i4>38</vt:i4>
      </vt:variant>
      <vt:variant>
        <vt:i4>0</vt:i4>
      </vt:variant>
      <vt:variant>
        <vt:i4>5</vt:i4>
      </vt:variant>
      <vt:variant>
        <vt:lpwstr/>
      </vt:variant>
      <vt:variant>
        <vt:lpwstr>_Toc166459767</vt:lpwstr>
      </vt:variant>
      <vt:variant>
        <vt:i4>1703989</vt:i4>
      </vt:variant>
      <vt:variant>
        <vt:i4>35</vt:i4>
      </vt:variant>
      <vt:variant>
        <vt:i4>0</vt:i4>
      </vt:variant>
      <vt:variant>
        <vt:i4>5</vt:i4>
      </vt:variant>
      <vt:variant>
        <vt:lpwstr/>
      </vt:variant>
      <vt:variant>
        <vt:lpwstr>_Toc166459766</vt:lpwstr>
      </vt:variant>
      <vt:variant>
        <vt:i4>1703989</vt:i4>
      </vt:variant>
      <vt:variant>
        <vt:i4>32</vt:i4>
      </vt:variant>
      <vt:variant>
        <vt:i4>0</vt:i4>
      </vt:variant>
      <vt:variant>
        <vt:i4>5</vt:i4>
      </vt:variant>
      <vt:variant>
        <vt:lpwstr/>
      </vt:variant>
      <vt:variant>
        <vt:lpwstr>_Toc166459765</vt:lpwstr>
      </vt:variant>
      <vt:variant>
        <vt:i4>1703989</vt:i4>
      </vt:variant>
      <vt:variant>
        <vt:i4>29</vt:i4>
      </vt:variant>
      <vt:variant>
        <vt:i4>0</vt:i4>
      </vt:variant>
      <vt:variant>
        <vt:i4>5</vt:i4>
      </vt:variant>
      <vt:variant>
        <vt:lpwstr/>
      </vt:variant>
      <vt:variant>
        <vt:lpwstr>_Toc166459764</vt:lpwstr>
      </vt:variant>
      <vt:variant>
        <vt:i4>1310769</vt:i4>
      </vt:variant>
      <vt:variant>
        <vt:i4>24</vt:i4>
      </vt:variant>
      <vt:variant>
        <vt:i4>0</vt:i4>
      </vt:variant>
      <vt:variant>
        <vt:i4>5</vt:i4>
      </vt:variant>
      <vt:variant>
        <vt:lpwstr/>
      </vt:variant>
      <vt:variant>
        <vt:lpwstr>_Toc163511217</vt:lpwstr>
      </vt:variant>
      <vt:variant>
        <vt:i4>1310769</vt:i4>
      </vt:variant>
      <vt:variant>
        <vt:i4>21</vt:i4>
      </vt:variant>
      <vt:variant>
        <vt:i4>0</vt:i4>
      </vt:variant>
      <vt:variant>
        <vt:i4>5</vt:i4>
      </vt:variant>
      <vt:variant>
        <vt:lpwstr/>
      </vt:variant>
      <vt:variant>
        <vt:lpwstr>_Toc163511217</vt:lpwstr>
      </vt:variant>
      <vt:variant>
        <vt:i4>1310769</vt:i4>
      </vt:variant>
      <vt:variant>
        <vt:i4>18</vt:i4>
      </vt:variant>
      <vt:variant>
        <vt:i4>0</vt:i4>
      </vt:variant>
      <vt:variant>
        <vt:i4>5</vt:i4>
      </vt:variant>
      <vt:variant>
        <vt:lpwstr/>
      </vt:variant>
      <vt:variant>
        <vt:lpwstr>_Toc163511217</vt:lpwstr>
      </vt:variant>
      <vt:variant>
        <vt:i4>1310769</vt:i4>
      </vt:variant>
      <vt:variant>
        <vt:i4>15</vt:i4>
      </vt:variant>
      <vt:variant>
        <vt:i4>0</vt:i4>
      </vt:variant>
      <vt:variant>
        <vt:i4>5</vt:i4>
      </vt:variant>
      <vt:variant>
        <vt:lpwstr/>
      </vt:variant>
      <vt:variant>
        <vt:lpwstr>_Toc163511217</vt:lpwstr>
      </vt:variant>
      <vt:variant>
        <vt:i4>1310769</vt:i4>
      </vt:variant>
      <vt:variant>
        <vt:i4>12</vt:i4>
      </vt:variant>
      <vt:variant>
        <vt:i4>0</vt:i4>
      </vt:variant>
      <vt:variant>
        <vt:i4>5</vt:i4>
      </vt:variant>
      <vt:variant>
        <vt:lpwstr/>
      </vt:variant>
      <vt:variant>
        <vt:lpwstr>_Toc163511217</vt:lpwstr>
      </vt:variant>
      <vt:variant>
        <vt:i4>1310769</vt:i4>
      </vt:variant>
      <vt:variant>
        <vt:i4>6</vt:i4>
      </vt:variant>
      <vt:variant>
        <vt:i4>0</vt:i4>
      </vt:variant>
      <vt:variant>
        <vt:i4>5</vt:i4>
      </vt:variant>
      <vt:variant>
        <vt:lpwstr/>
      </vt:variant>
      <vt:variant>
        <vt:lpwstr>_Toc163511217</vt:lpwstr>
      </vt:variant>
      <vt:variant>
        <vt:i4>1310769</vt:i4>
      </vt:variant>
      <vt:variant>
        <vt:i4>3</vt:i4>
      </vt:variant>
      <vt:variant>
        <vt:i4>0</vt:i4>
      </vt:variant>
      <vt:variant>
        <vt:i4>5</vt:i4>
      </vt:variant>
      <vt:variant>
        <vt:lpwstr/>
      </vt:variant>
      <vt:variant>
        <vt:lpwstr>_Toc163511217</vt:lpwstr>
      </vt:variant>
      <vt:variant>
        <vt:i4>1310769</vt:i4>
      </vt:variant>
      <vt:variant>
        <vt:i4>0</vt:i4>
      </vt:variant>
      <vt:variant>
        <vt:i4>0</vt:i4>
      </vt:variant>
      <vt:variant>
        <vt:i4>5</vt:i4>
      </vt:variant>
      <vt:variant>
        <vt:lpwstr/>
      </vt:variant>
      <vt:variant>
        <vt:lpwstr>_Toc163511217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Stefan Cerovic</cp:lastModifiedBy>
  <cp:revision>12</cp:revision>
  <cp:lastPrinted>2022-08-19T18:29:00Z</cp:lastPrinted>
  <dcterms:created xsi:type="dcterms:W3CDTF">2024-10-31T18:57:00Z</dcterms:created>
  <dcterms:modified xsi:type="dcterms:W3CDTF">2024-11-08T22:29:00Z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