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1B9AAFF3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B4769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3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E805A9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5317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="0081469C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1469C" w:rsidRPr="0081469C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R4-2418730</w:t>
      </w:r>
    </w:p>
    <w:bookmarkEnd w:id="0"/>
    <w:p w14:paraId="4C921A30" w14:textId="23F5C6F5" w:rsidR="00BA60BF" w:rsidRDefault="00B4769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>
        <w:rPr>
          <w:rFonts w:ascii="Arial" w:hAnsi="Arial" w:cs="Arial" w:hint="eastAsia"/>
          <w:b/>
          <w:noProof/>
          <w:kern w:val="0"/>
          <w:sz w:val="24"/>
          <w:szCs w:val="24"/>
        </w:rPr>
        <w:t>Orlando</w:t>
      </w:r>
      <w:r w:rsidR="0007010D"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US</w:t>
      </w:r>
      <w:r w:rsidR="0007010D"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, 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8</w:t>
      </w:r>
      <w:r w:rsidR="0007010D"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th –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22nd</w:t>
      </w:r>
      <w:r w:rsidR="0007010D"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November</w:t>
      </w:r>
      <w:r w:rsidR="0007010D" w:rsidRPr="0007010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, 2024</w:t>
      </w:r>
    </w:p>
    <w:p w14:paraId="5A8D9004" w14:textId="77777777" w:rsidR="005C6FC9" w:rsidRDefault="005C6FC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31D905BC" w:rsidR="00BA60BF" w:rsidRPr="00B86AC9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47690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B86AC9">
        <w:rPr>
          <w:rFonts w:ascii="Arial" w:eastAsiaTheme="minorEastAsia" w:hAnsi="Arial" w:cs="Arial" w:hint="eastAsia"/>
          <w:b/>
          <w:sz w:val="24"/>
          <w:szCs w:val="24"/>
        </w:rPr>
        <w:t>.10.3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482192AD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BS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0C0714B7" w:rsidR="00BA60BF" w:rsidRPr="00C444FC" w:rsidRDefault="00EE4267" w:rsidP="00C444FC">
      <w:pPr>
        <w:rPr>
          <w:rFonts w:ascii="Times New Roman" w:hAnsi="Times New Roman"/>
          <w:sz w:val="20"/>
          <w:szCs w:val="21"/>
        </w:rPr>
      </w:pPr>
      <w:r w:rsidRPr="00EE4267">
        <w:rPr>
          <w:rFonts w:ascii="Times New Roman" w:hAnsi="Times New Roman"/>
          <w:sz w:val="20"/>
          <w:szCs w:val="21"/>
        </w:rPr>
        <w:t xml:space="preserve">RAN#105 meeting approved revised WID on Enhancements for Air-to-ground network for NR in Rel-19 [1]. </w:t>
      </w:r>
      <w:r w:rsidR="00251E24">
        <w:rPr>
          <w:rFonts w:ascii="Times New Roman" w:hAnsi="Times New Roman" w:hint="eastAsia"/>
          <w:sz w:val="20"/>
          <w:szCs w:val="21"/>
        </w:rPr>
        <w:t xml:space="preserve">During the past meeting we focused on the issue of the TAE requirements, and we reached the agreement that </w:t>
      </w:r>
      <w:r w:rsidR="00B77417" w:rsidRPr="00B77417">
        <w:rPr>
          <w:rFonts w:ascii="Times New Roman" w:hAnsi="Times New Roman"/>
          <w:sz w:val="20"/>
          <w:szCs w:val="21"/>
        </w:rPr>
        <w:t xml:space="preserve">postpone the discussion on TAE rewording until the conclusion </w:t>
      </w:r>
      <w:r w:rsidR="00836112">
        <w:rPr>
          <w:rFonts w:ascii="Times New Roman" w:hAnsi="Times New Roman" w:hint="eastAsia"/>
          <w:sz w:val="20"/>
          <w:szCs w:val="21"/>
        </w:rPr>
        <w:t>the</w:t>
      </w:r>
      <w:r w:rsidR="00B77417" w:rsidRPr="00B77417">
        <w:rPr>
          <w:rFonts w:ascii="Times New Roman" w:hAnsi="Times New Roman"/>
          <w:sz w:val="20"/>
          <w:szCs w:val="21"/>
        </w:rPr>
        <w:t xml:space="preserve"> plenary meeting.</w:t>
      </w:r>
      <w:r w:rsidR="00B77417">
        <w:rPr>
          <w:rFonts w:ascii="Times New Roman" w:hAnsi="Times New Roman" w:hint="eastAsia"/>
          <w:sz w:val="20"/>
          <w:szCs w:val="21"/>
        </w:rPr>
        <w:t xml:space="preserve"> </w:t>
      </w:r>
      <w:r w:rsidR="00836112">
        <w:rPr>
          <w:rFonts w:ascii="Times New Roman" w:hAnsi="Times New Roman" w:hint="eastAsia"/>
          <w:sz w:val="20"/>
          <w:szCs w:val="21"/>
        </w:rPr>
        <w:t>But we find there is still some requirement</w:t>
      </w:r>
      <w:r w:rsidR="00131E32">
        <w:rPr>
          <w:rFonts w:ascii="Times New Roman" w:hAnsi="Times New Roman" w:hint="eastAsia"/>
          <w:sz w:val="20"/>
          <w:szCs w:val="21"/>
        </w:rPr>
        <w:t xml:space="preserve"> need to be discussed like </w:t>
      </w:r>
      <w:r w:rsidR="000C5710" w:rsidRPr="000C5710">
        <w:rPr>
          <w:rFonts w:ascii="Times New Roman" w:hAnsi="Times New Roman"/>
          <w:sz w:val="20"/>
          <w:szCs w:val="21"/>
        </w:rPr>
        <w:t>multi-band</w:t>
      </w:r>
      <w:r w:rsidR="000C5710">
        <w:rPr>
          <w:rFonts w:ascii="Times New Roman" w:hAnsi="Times New Roman" w:hint="eastAsia"/>
          <w:sz w:val="20"/>
          <w:szCs w:val="21"/>
        </w:rPr>
        <w:t xml:space="preserve"> requirement</w:t>
      </w:r>
      <w:r w:rsidRPr="00EE4267">
        <w:rPr>
          <w:rFonts w:ascii="Times New Roman" w:hAnsi="Times New Roman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171CBDEF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0C5710" w:rsidRPr="000C5710">
        <w:rPr>
          <w:rFonts w:ascii="Arial" w:hAnsi="Arial" w:cs="Arial"/>
          <w:sz w:val="28"/>
          <w:szCs w:val="28"/>
        </w:rPr>
        <w:t>ATG BS capable of multi-band operation</w:t>
      </w:r>
    </w:p>
    <w:p w14:paraId="3DA1DE94" w14:textId="38A1548D" w:rsidR="00115138" w:rsidRDefault="00115138" w:rsidP="000C5710">
      <w:pPr>
        <w:spacing w:after="120"/>
        <w:rPr>
          <w:rFonts w:ascii="Times New Roman" w:hAnsi="Times New Roman"/>
          <w:sz w:val="20"/>
          <w:szCs w:val="21"/>
        </w:rPr>
      </w:pPr>
      <w:r w:rsidRPr="00115138">
        <w:rPr>
          <w:rFonts w:ascii="Times New Roman" w:hAnsi="Times New Roman"/>
          <w:sz w:val="20"/>
          <w:szCs w:val="21"/>
        </w:rPr>
        <w:t>ATG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Pr="00115138">
        <w:rPr>
          <w:rFonts w:ascii="Times New Roman" w:hAnsi="Times New Roman"/>
          <w:sz w:val="20"/>
          <w:szCs w:val="21"/>
        </w:rPr>
        <w:t xml:space="preserve">BS and UE possess higher transmit power and antenna gain compared to </w:t>
      </w:r>
      <w:r>
        <w:rPr>
          <w:rFonts w:ascii="Times New Roman" w:hAnsi="Times New Roman" w:hint="eastAsia"/>
          <w:sz w:val="20"/>
          <w:szCs w:val="21"/>
        </w:rPr>
        <w:t>legacy</w:t>
      </w:r>
      <w:r w:rsidRPr="00115138">
        <w:rPr>
          <w:rFonts w:ascii="Times New Roman" w:hAnsi="Times New Roman"/>
          <w:sz w:val="20"/>
          <w:szCs w:val="21"/>
        </w:rPr>
        <w:t xml:space="preserve"> TN</w:t>
      </w:r>
      <w:r>
        <w:rPr>
          <w:rFonts w:ascii="Times New Roman" w:hAnsi="Times New Roman" w:hint="eastAsia"/>
          <w:sz w:val="20"/>
          <w:szCs w:val="21"/>
        </w:rPr>
        <w:t xml:space="preserve"> network</w:t>
      </w:r>
      <w:r w:rsidRPr="00115138">
        <w:rPr>
          <w:rFonts w:ascii="Times New Roman" w:hAnsi="Times New Roman"/>
          <w:sz w:val="20"/>
          <w:szCs w:val="21"/>
        </w:rPr>
        <w:t>.  This enhanced capability is crucial for ensuring that the ATG network can coexist harmoniously with other services operating on adjacent frequencies.  To achieve this coexistence, opting for a TDD band for either UL or DL</w:t>
      </w:r>
      <w:r w:rsidR="00DD5375">
        <w:rPr>
          <w:rFonts w:ascii="Times New Roman" w:hAnsi="Times New Roman" w:hint="eastAsia"/>
          <w:sz w:val="20"/>
          <w:szCs w:val="21"/>
        </w:rPr>
        <w:t xml:space="preserve"> of</w:t>
      </w:r>
      <w:r w:rsidRPr="00115138">
        <w:rPr>
          <w:rFonts w:ascii="Times New Roman" w:hAnsi="Times New Roman"/>
          <w:sz w:val="20"/>
          <w:szCs w:val="21"/>
        </w:rPr>
        <w:t xml:space="preserve"> ATG network, rather than employing both DL and UL on the same band, is a strategic choice.</w:t>
      </w:r>
    </w:p>
    <w:p w14:paraId="4004D2BA" w14:textId="5B9805BD" w:rsidR="00DD5375" w:rsidRDefault="00DD5375" w:rsidP="000C5710">
      <w:pPr>
        <w:spacing w:after="120"/>
        <w:rPr>
          <w:rFonts w:ascii="Times New Roman" w:hAnsi="Times New Roman"/>
          <w:sz w:val="20"/>
          <w:szCs w:val="21"/>
        </w:rPr>
      </w:pPr>
      <w:r w:rsidRPr="00DD5375">
        <w:rPr>
          <w:rFonts w:ascii="Times New Roman" w:hAnsi="Times New Roman"/>
          <w:sz w:val="20"/>
          <w:szCs w:val="21"/>
        </w:rPr>
        <w:t xml:space="preserve">Furthermore, ATG has </w:t>
      </w:r>
      <w:r>
        <w:rPr>
          <w:rFonts w:ascii="Times New Roman" w:hAnsi="Times New Roman" w:hint="eastAsia"/>
          <w:sz w:val="20"/>
          <w:szCs w:val="21"/>
        </w:rPr>
        <w:t>supported</w:t>
      </w:r>
      <w:r w:rsidRPr="00DD5375">
        <w:rPr>
          <w:rFonts w:ascii="Times New Roman" w:hAnsi="Times New Roman"/>
          <w:sz w:val="20"/>
          <w:szCs w:val="21"/>
        </w:rPr>
        <w:t xml:space="preserve"> DL CA, enabling the utilization of different bands for the DL and UL. In such a scenario, it is imperative for ATG BS to support multi-band operation to adapt to varying frequency allocations and traffic patterns. Under this scenario, ATG BS should support multi-band operation and the capacity requirement of multi-band operation in TS 38.104 could be reused.</w:t>
      </w:r>
    </w:p>
    <w:p w14:paraId="122A0355" w14:textId="212473EF" w:rsidR="000C5710" w:rsidRPr="000C5710" w:rsidRDefault="000C5710" w:rsidP="000C5710">
      <w:pPr>
        <w:rPr>
          <w:rFonts w:ascii="Times New Roman" w:hAnsi="Times New Roman"/>
          <w:sz w:val="20"/>
          <w:szCs w:val="21"/>
        </w:rPr>
      </w:pPr>
      <w:bookmarkStart w:id="4" w:name="OLE_LINK23"/>
      <w:r w:rsidRPr="000B7A45">
        <w:rPr>
          <w:rFonts w:ascii="Times New Roman" w:hAnsi="Times New Roman"/>
          <w:b/>
          <w:sz w:val="20"/>
          <w:szCs w:val="21"/>
        </w:rPr>
        <w:t xml:space="preserve">Proposal </w:t>
      </w:r>
      <w:r>
        <w:rPr>
          <w:rFonts w:ascii="Times New Roman" w:hAnsi="Times New Roman" w:hint="eastAsia"/>
          <w:b/>
          <w:sz w:val="20"/>
          <w:szCs w:val="21"/>
        </w:rPr>
        <w:t>1</w:t>
      </w:r>
      <w:r>
        <w:rPr>
          <w:rFonts w:ascii="Times New Roman" w:hAnsi="Times New Roman"/>
          <w:b/>
          <w:sz w:val="20"/>
          <w:szCs w:val="21"/>
        </w:rPr>
        <w:t>: multi-band operation should be supported and the requirement in TS 38.104 could be reused.</w:t>
      </w:r>
      <w:bookmarkEnd w:id="4"/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5" w:name="_Hlk115470282"/>
      <w:bookmarkEnd w:id="3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C5F9820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B51AE2">
        <w:rPr>
          <w:rFonts w:ascii="Times New Roman" w:hAnsi="Times New Roman" w:hint="eastAsia"/>
          <w:sz w:val="20"/>
          <w:szCs w:val="20"/>
        </w:rPr>
        <w:t>BS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12C9C71A" w14:textId="2F88251C" w:rsidR="00AF53D8" w:rsidRPr="00AF53D8" w:rsidRDefault="000C5710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0C5710">
        <w:rPr>
          <w:rFonts w:ascii="Times New Roman" w:hAnsi="Times New Roman"/>
          <w:b/>
          <w:sz w:val="20"/>
          <w:szCs w:val="20"/>
        </w:rPr>
        <w:t>Proposal 1: multi-band operation should be supported and the requirement in TS 38.104 could be reused.</w:t>
      </w:r>
    </w:p>
    <w:bookmarkEnd w:id="5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BE09530" w14:textId="6FE0BA78" w:rsidR="00B86AC9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B86AC9" w:rsidRPr="00B86AC9">
        <w:rPr>
          <w:rFonts w:ascii="Times New Roman" w:hAnsi="Times New Roman"/>
          <w:sz w:val="20"/>
          <w:szCs w:val="20"/>
        </w:rPr>
        <w:t>RP-242381</w:t>
      </w:r>
      <w:r w:rsidR="00B86AC9" w:rsidRPr="00B86AC9">
        <w:rPr>
          <w:rFonts w:ascii="Times New Roman" w:hAnsi="Times New Roman"/>
          <w:sz w:val="20"/>
          <w:szCs w:val="20"/>
        </w:rPr>
        <w:tab/>
        <w:t>Revised WID on Enhancements for Air-to-ground network for NR</w:t>
      </w:r>
    </w:p>
    <w:sectPr w:rsidR="00B86AC9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B5D75" w14:textId="77777777" w:rsidR="00D6551D" w:rsidRDefault="00D6551D">
      <w:r>
        <w:separator/>
      </w:r>
    </w:p>
  </w:endnote>
  <w:endnote w:type="continuationSeparator" w:id="0">
    <w:p w14:paraId="3A0DAC14" w14:textId="77777777" w:rsidR="00D6551D" w:rsidRDefault="00D6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F7EBF" w14:textId="77777777" w:rsidR="00D6551D" w:rsidRDefault="00D6551D">
      <w:r>
        <w:separator/>
      </w:r>
    </w:p>
  </w:footnote>
  <w:footnote w:type="continuationSeparator" w:id="0">
    <w:p w14:paraId="096F7574" w14:textId="77777777" w:rsidR="00D6551D" w:rsidRDefault="00D65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num w:numId="1" w16cid:durableId="1252200766">
    <w:abstractNumId w:val="0"/>
  </w:num>
  <w:num w:numId="2" w16cid:durableId="2085952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10D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710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2E6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13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1EF7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1E32"/>
    <w:rsid w:val="001326C6"/>
    <w:rsid w:val="001330E3"/>
    <w:rsid w:val="0013477E"/>
    <w:rsid w:val="001351C6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1B13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120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10D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0AD9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0D25"/>
    <w:rsid w:val="002314FD"/>
    <w:rsid w:val="002325B0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1E24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1D55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132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455D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C7570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99D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1C2A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4D35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808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4F6B71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6FC9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79A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0D91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D6F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1E2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65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E00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69C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6112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17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48BD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DB2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DE0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2E9B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537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0E94"/>
    <w:rsid w:val="009E25C2"/>
    <w:rsid w:val="009E31BE"/>
    <w:rsid w:val="009E36A8"/>
    <w:rsid w:val="009E37B4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44C0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3DD5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C79C3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55AA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47690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417"/>
    <w:rsid w:val="00B77E7E"/>
    <w:rsid w:val="00B77F05"/>
    <w:rsid w:val="00B8012C"/>
    <w:rsid w:val="00B80BF7"/>
    <w:rsid w:val="00B81D56"/>
    <w:rsid w:val="00B82011"/>
    <w:rsid w:val="00B82048"/>
    <w:rsid w:val="00B828DB"/>
    <w:rsid w:val="00B82F65"/>
    <w:rsid w:val="00B8314E"/>
    <w:rsid w:val="00B83F58"/>
    <w:rsid w:val="00B84918"/>
    <w:rsid w:val="00B85C8A"/>
    <w:rsid w:val="00B85EE0"/>
    <w:rsid w:val="00B868F0"/>
    <w:rsid w:val="00B869E4"/>
    <w:rsid w:val="00B86A73"/>
    <w:rsid w:val="00B86AC9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768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5DB5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1D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599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580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375"/>
    <w:rsid w:val="00DD5F84"/>
    <w:rsid w:val="00DE014F"/>
    <w:rsid w:val="00DE02A4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125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37DCA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05A9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9719E"/>
    <w:rsid w:val="00EA0371"/>
    <w:rsid w:val="00EA3549"/>
    <w:rsid w:val="00EA3580"/>
    <w:rsid w:val="00EA399C"/>
    <w:rsid w:val="00EA4DBD"/>
    <w:rsid w:val="00EA68D2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267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698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0A"/>
    <w:rsid w:val="00F805A6"/>
    <w:rsid w:val="00F80D9A"/>
    <w:rsid w:val="00F81BC0"/>
    <w:rsid w:val="00F81C46"/>
    <w:rsid w:val="00F8211A"/>
    <w:rsid w:val="00F82151"/>
    <w:rsid w:val="00F82A9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26</cp:revision>
  <dcterms:created xsi:type="dcterms:W3CDTF">2022-04-25T02:55:00Z</dcterms:created>
  <dcterms:modified xsi:type="dcterms:W3CDTF">2024-11-08T08:56:00Z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