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D3085">
      <w:pPr>
        <w:pStyle w:val="34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bookmarkStart w:id="0" w:name="_Hlk151041609"/>
      <w:r>
        <w:rPr>
          <w:rFonts w:eastAsia="Yu Mincho" w:cs="Arial"/>
          <w:bCs/>
          <w:sz w:val="22"/>
          <w:szCs w:val="22"/>
          <w:lang w:eastAsia="en-GB"/>
        </w:rPr>
        <w:t>3GPP TSG RAN WG2#1</w:t>
      </w:r>
      <w:r>
        <w:rPr>
          <w:rFonts w:hint="eastAsia" w:eastAsia="Yu Mincho" w:cs="Arial"/>
          <w:bCs/>
          <w:sz w:val="22"/>
          <w:szCs w:val="22"/>
          <w:lang w:eastAsia="en-GB"/>
        </w:rPr>
        <w:t xml:space="preserve">28                                                         </w:t>
      </w:r>
      <w:r>
        <w:rPr>
          <w:rFonts w:eastAsia="Yu Mincho" w:cs="Arial"/>
          <w:bCs/>
          <w:sz w:val="22"/>
          <w:szCs w:val="22"/>
          <w:lang w:eastAsia="en-GB"/>
        </w:rPr>
        <w:tab/>
      </w:r>
      <w:r>
        <w:rPr>
          <w:rFonts w:hint="eastAsia" w:eastAsia="Yu Mincho" w:cs="Arial"/>
          <w:bCs/>
          <w:sz w:val="22"/>
          <w:szCs w:val="22"/>
          <w:lang w:eastAsia="en-GB"/>
        </w:rPr>
        <w:t xml:space="preserve">     </w:t>
      </w:r>
      <w:r>
        <w:rPr>
          <w:rFonts w:hint="eastAsia" w:eastAsia="等线" w:cs="Arial"/>
          <w:bCs/>
          <w:sz w:val="22"/>
          <w:szCs w:val="22"/>
        </w:rPr>
        <w:t xml:space="preserve">                         </w:t>
      </w:r>
      <w:r>
        <w:rPr>
          <w:rFonts w:hint="eastAsia" w:eastAsia="Yu Mincho" w:cs="Arial"/>
          <w:bCs/>
          <w:sz w:val="22"/>
          <w:szCs w:val="22"/>
          <w:lang w:eastAsia="en-GB"/>
        </w:rPr>
        <w:t xml:space="preserve">  </w:t>
      </w:r>
      <w:r>
        <w:rPr>
          <w:rFonts w:eastAsia="Yu Mincho" w:cs="Arial"/>
          <w:bCs/>
          <w:sz w:val="22"/>
          <w:szCs w:val="22"/>
          <w:lang w:eastAsia="en-GB"/>
        </w:rPr>
        <w:t>R2-</w:t>
      </w:r>
      <w:r>
        <w:rPr>
          <w:rFonts w:hint="eastAsia" w:eastAsia="Yu Mincho" w:cs="Arial"/>
          <w:bCs/>
          <w:sz w:val="22"/>
          <w:szCs w:val="22"/>
          <w:lang w:eastAsia="en-GB"/>
        </w:rPr>
        <w:t>2410953</w:t>
      </w:r>
    </w:p>
    <w:p w14:paraId="2E7B08CD">
      <w:pPr>
        <w:pStyle w:val="34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r>
        <w:rPr>
          <w:rFonts w:eastAsia="Yu Mincho" w:cs="Arial"/>
          <w:bCs/>
          <w:sz w:val="22"/>
          <w:szCs w:val="22"/>
          <w:lang w:eastAsia="en-GB"/>
        </w:rPr>
        <w:t>Orlando, US, November 18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th</w:t>
      </w:r>
      <w:r>
        <w:rPr>
          <w:rFonts w:eastAsia="Yu Mincho" w:cs="Arial"/>
          <w:bCs/>
          <w:sz w:val="22"/>
          <w:szCs w:val="22"/>
          <w:lang w:eastAsia="en-GB"/>
        </w:rPr>
        <w:t xml:space="preserve"> - 22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nd</w:t>
      </w:r>
      <w:r>
        <w:rPr>
          <w:rFonts w:eastAsia="Yu Mincho" w:cs="Arial"/>
          <w:bCs/>
          <w:sz w:val="22"/>
          <w:szCs w:val="22"/>
          <w:lang w:eastAsia="en-GB"/>
        </w:rPr>
        <w:t>, 2024</w:t>
      </w:r>
    </w:p>
    <w:p w14:paraId="410D79F0">
      <w:pPr>
        <w:rPr>
          <w:rFonts w:ascii="Arial" w:hAnsi="Arial" w:eastAsia="Yu Mincho" w:cs="Arial"/>
          <w:bCs/>
          <w:sz w:val="22"/>
          <w:szCs w:val="22"/>
          <w:lang w:eastAsia="en-GB"/>
        </w:rPr>
      </w:pPr>
    </w:p>
    <w:bookmarkEnd w:id="0"/>
    <w:p w14:paraId="3D0BC162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DocumentFor"/>
      <w:bookmarkEnd w:id="1"/>
      <w:bookmarkStart w:id="2" w:name="_Hlk40295327"/>
      <w:bookmarkEnd w:id="2"/>
      <w:bookmarkStart w:id="3" w:name="Title"/>
      <w:bookmarkEnd w:id="3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[</w:t>
      </w:r>
      <w:r>
        <w:rPr>
          <w:rFonts w:hint="eastAsia" w:ascii="Arial" w:hAnsi="Arial" w:eastAsia="宋体" w:cs="Arial"/>
          <w:b/>
          <w:sz w:val="22"/>
          <w:szCs w:val="22"/>
          <w:lang w:val="en-US"/>
        </w:rPr>
        <w:t>D</w:t>
      </w:r>
      <w:r>
        <w:rPr>
          <w:rFonts w:ascii="Arial" w:hAnsi="Arial" w:cs="Arial"/>
          <w:b/>
          <w:sz w:val="22"/>
          <w:szCs w:val="22"/>
        </w:rPr>
        <w:t>raft]</w:t>
      </w:r>
      <w:r>
        <w:rPr>
          <w:rFonts w:hint="eastAsia" w:ascii="Arial" w:hAnsi="Arial" w:eastAsia="等线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LS on differentiation of sDCI mTRP, mDCI mTRP and sTRP</w:t>
      </w:r>
    </w:p>
    <w:p w14:paraId="0706943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8"/>
      <w:bookmarkStart w:id="5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4"/>
    <w:bookmarkEnd w:id="5"/>
    <w:p w14:paraId="22718E2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18</w:t>
      </w:r>
    </w:p>
    <w:bookmarkEnd w:id="6"/>
    <w:bookmarkEnd w:id="7"/>
    <w:bookmarkEnd w:id="8"/>
    <w:p w14:paraId="7967252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NR_MIMO_evo_DL_UL-Core</w:t>
      </w:r>
    </w:p>
    <w:p w14:paraId="0509A2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AD395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eastAsia="等线" w:cs="Arial"/>
          <w:b/>
          <w:sz w:val="22"/>
          <w:szCs w:val="22"/>
          <w:lang w:eastAsia="en-GB"/>
        </w:rPr>
        <w:t>CATT</w:t>
      </w:r>
      <w:r>
        <w:rPr>
          <w:rFonts w:hint="eastAsia" w:ascii="Arial" w:hAnsi="Arial" w:eastAsia="等线" w:cs="Arial"/>
          <w:b/>
          <w:sz w:val="22"/>
          <w:szCs w:val="22"/>
        </w:rPr>
        <w:t xml:space="preserve"> [to be RAN2]</w:t>
      </w:r>
    </w:p>
    <w:p w14:paraId="597E6539">
      <w:pPr>
        <w:spacing w:after="60"/>
        <w:ind w:left="1985" w:hanging="1985"/>
        <w:rPr>
          <w:rFonts w:ascii="Arial" w:hAnsi="Arial" w:eastAsia="等线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>RAN</w:t>
      </w:r>
      <w:r>
        <w:rPr>
          <w:rFonts w:hint="eastAsia" w:ascii="Arial" w:hAnsi="Arial" w:eastAsia="等线" w:cs="Arial"/>
          <w:b/>
          <w:bCs/>
          <w:sz w:val="22"/>
          <w:szCs w:val="22"/>
          <w:lang w:eastAsia="en-GB"/>
        </w:rPr>
        <w:t>1</w:t>
      </w:r>
    </w:p>
    <w:p w14:paraId="60FE1DA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0FC3DF91">
      <w:pPr>
        <w:spacing w:after="60"/>
        <w:ind w:left="1985" w:hanging="1985"/>
        <w:rPr>
          <w:rFonts w:ascii="Arial" w:hAnsi="Arial" w:cs="Arial"/>
          <w:bCs/>
        </w:rPr>
      </w:pPr>
    </w:p>
    <w:p w14:paraId="68647F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Cs/>
        </w:rPr>
        <w:tab/>
      </w:r>
    </w:p>
    <w:p w14:paraId="728EDD3B">
      <w:pPr>
        <w:pStyle w:val="92"/>
        <w:tabs>
          <w:tab w:val="clear" w:pos="2268"/>
        </w:tabs>
      </w:pPr>
      <w:r>
        <w:t>Name:</w:t>
      </w:r>
      <w:r>
        <w:rPr>
          <w:bCs/>
        </w:rPr>
        <w:tab/>
      </w:r>
      <w:r>
        <w:rPr>
          <w:rFonts w:hint="eastAsia"/>
        </w:rPr>
        <w:t>Da Wang</w:t>
      </w:r>
    </w:p>
    <w:p w14:paraId="6DCA15D8">
      <w:pPr>
        <w:pStyle w:val="92"/>
        <w:tabs>
          <w:tab w:val="clear" w:pos="2268"/>
        </w:tabs>
      </w:pPr>
      <w:r>
        <w:t>E-mail Address:</w:t>
      </w:r>
      <w:r>
        <w:rPr>
          <w:bCs/>
        </w:rPr>
        <w:tab/>
      </w:r>
      <w:r>
        <w:t>wangda@catt.cn</w:t>
      </w:r>
    </w:p>
    <w:p w14:paraId="7CB4F195">
      <w:pPr>
        <w:spacing w:after="60"/>
        <w:ind w:left="1985" w:hanging="1985"/>
        <w:rPr>
          <w:rFonts w:ascii="Arial" w:hAnsi="Arial" w:eastAsia="等线" w:cs="Arial"/>
          <w:b/>
          <w:sz w:val="22"/>
          <w:szCs w:val="22"/>
        </w:rPr>
      </w:pPr>
    </w:p>
    <w:p w14:paraId="44A4D38B">
      <w:pPr>
        <w:spacing w:after="60"/>
        <w:ind w:left="1985" w:hanging="1985"/>
        <w:rPr>
          <w:rStyle w:val="46"/>
          <w:rFonts w:ascii="Arial" w:hAnsi="Arial" w:eastAsia="等线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46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46"/>
          <w:rFonts w:ascii="Arial" w:hAnsi="Arial" w:cs="Arial"/>
          <w:b/>
          <w:sz w:val="22"/>
          <w:szCs w:val="22"/>
        </w:rPr>
        <w:fldChar w:fldCharType="end"/>
      </w:r>
    </w:p>
    <w:p w14:paraId="0254636D">
      <w:pPr>
        <w:spacing w:after="60"/>
        <w:ind w:left="1985" w:hanging="1985"/>
        <w:rPr>
          <w:rFonts w:ascii="Arial" w:hAnsi="Arial" w:eastAsia="等线" w:cs="Arial"/>
          <w:b/>
          <w:sz w:val="22"/>
          <w:szCs w:val="22"/>
        </w:rPr>
      </w:pPr>
    </w:p>
    <w:p w14:paraId="7A76FD9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41EBCED8">
      <w:pPr>
        <w:pStyle w:val="2"/>
      </w:pPr>
      <w:r>
        <w:t>1</w:t>
      </w:r>
      <w:r>
        <w:tab/>
      </w:r>
      <w:r>
        <w:t xml:space="preserve">Overall </w:t>
      </w:r>
      <w:r>
        <w:rPr>
          <w:rFonts w:eastAsia="等线"/>
          <w:lang w:eastAsia="en-GB"/>
        </w:rPr>
        <w:t>description</w:t>
      </w:r>
    </w:p>
    <w:p w14:paraId="0E6B1368">
      <w:pPr>
        <w:rPr>
          <w:rFonts w:ascii="Arial" w:hAnsi="Arial" w:eastAsia="等线" w:cs="Arial"/>
        </w:rPr>
      </w:pPr>
      <w:r>
        <w:rPr>
          <w:rFonts w:hint="eastAsia" w:ascii="Arial" w:hAnsi="Arial" w:eastAsia="等线" w:cs="Arial"/>
        </w:rPr>
        <w:t xml:space="preserve">In RAN2#124 meeting (RAN1#115 meeting), RAN2 received the reply LS on </w:t>
      </w:r>
      <w:r>
        <w:rPr>
          <w:rFonts w:hint="eastAsia" w:ascii="Arial" w:hAnsi="Arial" w:eastAsia="Malgun Gothic" w:cs="Arial"/>
          <w:lang w:eastAsia="ko-KR"/>
        </w:rPr>
        <w:t>MIMOevo</w:t>
      </w:r>
      <w:r>
        <w:rPr>
          <w:rFonts w:hint="eastAsia" w:ascii="Arial" w:hAnsi="Arial" w:eastAsia="等线" w:cs="Arial"/>
        </w:rPr>
        <w:t xml:space="preserve"> from RAN1 (</w:t>
      </w:r>
      <w:r>
        <w:rPr>
          <w:rFonts w:ascii="Arial" w:hAnsi="Arial" w:eastAsia="等线" w:cs="Arial"/>
        </w:rPr>
        <w:t>R1-2312371</w:t>
      </w:r>
      <w:r>
        <w:rPr>
          <w:rFonts w:hint="eastAsia" w:ascii="Arial" w:hAnsi="Arial" w:eastAsia="等线" w:cs="Arial"/>
        </w:rPr>
        <w:t xml:space="preserve">). In the reply LS, for the issue about </w:t>
      </w:r>
      <w:r>
        <w:rPr>
          <w:rFonts w:ascii="Arial" w:hAnsi="Arial" w:eastAsia="等线" w:cs="Arial"/>
        </w:rPr>
        <w:t>simultaneous unified TCI state</w:t>
      </w:r>
      <w:r>
        <w:rPr>
          <w:rFonts w:hint="eastAsia" w:ascii="Arial" w:hAnsi="Arial" w:eastAsia="等线" w:cs="Arial"/>
        </w:rPr>
        <w:t>(s)</w:t>
      </w:r>
      <w:r>
        <w:rPr>
          <w:rFonts w:ascii="Arial" w:hAnsi="Arial" w:eastAsia="等线" w:cs="Arial"/>
        </w:rPr>
        <w:t xml:space="preserve"> update</w:t>
      </w:r>
      <w:r>
        <w:rPr>
          <w:rFonts w:hint="eastAsia" w:ascii="Arial" w:hAnsi="Arial" w:eastAsia="等线" w:cs="Arial"/>
          <w:lang w:val="en-US"/>
        </w:rPr>
        <w:t xml:space="preserve"> for a list of cells</w:t>
      </w:r>
      <w:r>
        <w:rPr>
          <w:rFonts w:ascii="Arial" w:hAnsi="Arial" w:eastAsia="等线" w:cs="Arial"/>
        </w:rPr>
        <w:t>, RAN1 g</w:t>
      </w:r>
      <w:r>
        <w:rPr>
          <w:rFonts w:hint="eastAsia" w:ascii="Arial" w:hAnsi="Arial" w:eastAsia="等线" w:cs="Arial"/>
        </w:rPr>
        <w:t>a</w:t>
      </w:r>
      <w:r>
        <w:rPr>
          <w:rFonts w:ascii="Arial" w:hAnsi="Arial" w:eastAsia="等线" w:cs="Arial"/>
        </w:rPr>
        <w:t>ve the answer as following.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 w14:paraId="58D5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</w:tcPr>
          <w:p w14:paraId="3CD43594">
            <w:pPr>
              <w:pStyle w:val="95"/>
              <w:spacing w:after="120"/>
              <w:ind w:left="0"/>
              <w:rPr>
                <w:rFonts w:ascii="Arial" w:hAnsi="Arial" w:eastAsia="等线" w:cs="Arial"/>
                <w:bCs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u w:val="single"/>
                <w:lang w:val="en-US" w:eastAsia="zh-CN"/>
              </w:rPr>
              <w:t>Question 2b:</w:t>
            </w:r>
            <w:r>
              <w:rPr>
                <w:rFonts w:ascii="Arial" w:hAnsi="Arial" w:eastAsia="等线" w:cs="Arial"/>
                <w:bCs/>
                <w:lang w:val="en-US" w:eastAsia="zh-CN"/>
              </w:rPr>
              <w:t xml:space="preserve"> </w:t>
            </w:r>
          </w:p>
          <w:p w14:paraId="34183C78">
            <w:pPr>
              <w:pStyle w:val="95"/>
              <w:spacing w:after="120"/>
              <w:ind w:left="0"/>
              <w:rPr>
                <w:rFonts w:ascii="Arial" w:hAnsi="Arial" w:eastAsia="等线" w:cs="Arial"/>
                <w:bCs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lang w:val="en-US" w:eastAsia="zh-CN"/>
              </w:rPr>
              <w:t>Is there any restrictions in configuring the serving cells of one list for sDCI mTRP, mDCI mTRP or sTRP operation?</w:t>
            </w:r>
          </w:p>
          <w:p w14:paraId="20D488EF">
            <w:pPr>
              <w:pStyle w:val="95"/>
              <w:spacing w:after="120"/>
              <w:ind w:left="0"/>
              <w:rPr>
                <w:rFonts w:ascii="Arial" w:hAnsi="Arial" w:eastAsia="等线" w:cs="Arial"/>
                <w:bCs/>
                <w:u w:val="single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u w:val="single"/>
                <w:lang w:val="en-US" w:eastAsia="zh-CN"/>
              </w:rPr>
              <w:t>Answer 2b:</w:t>
            </w:r>
          </w:p>
          <w:p w14:paraId="1495FB4A">
            <w:pPr>
              <w:spacing w:after="120"/>
              <w:rPr>
                <w:rFonts w:ascii="Arial" w:hAnsi="Arial" w:eastAsia="等线" w:cs="Arial"/>
                <w:bCs/>
                <w:sz w:val="22"/>
                <w:szCs w:val="22"/>
              </w:rPr>
            </w:pPr>
            <w:r>
              <w:rPr>
                <w:rFonts w:ascii="Arial" w:hAnsi="Arial" w:eastAsia="等线" w:cs="Arial"/>
                <w:bCs/>
                <w:sz w:val="22"/>
                <w:szCs w:val="22"/>
                <w:highlight w:val="yellow"/>
              </w:rPr>
              <w:t>It has been agreed in RAN1 that cells operated as sDCI mTRP, mDCI mTRP and sTRP should not be configured in the same list</w:t>
            </w:r>
            <w:r>
              <w:rPr>
                <w:rFonts w:ascii="Arial" w:hAnsi="Arial" w:eastAsia="等线" w:cs="Arial"/>
                <w:bCs/>
                <w:sz w:val="22"/>
                <w:szCs w:val="22"/>
              </w:rPr>
              <w:t>, i.e., they should be configured with separate lists for simultaneous unified TCI state(s) update. Other than this, there is no further/other restriction(s).</w:t>
            </w:r>
          </w:p>
        </w:tc>
      </w:tr>
    </w:tbl>
    <w:p w14:paraId="2475A877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</w:rPr>
        <w:t xml:space="preserve">In RAN2, how to capture the </w:t>
      </w:r>
      <w:r>
        <w:rPr>
          <w:rFonts w:hint="eastAsia" w:ascii="Arial" w:hAnsi="Arial" w:eastAsia="等线" w:cs="Arial"/>
          <w:lang w:val="en-US"/>
        </w:rPr>
        <w:t>RAN1 agreed restriction</w:t>
      </w:r>
      <w:r>
        <w:rPr>
          <w:rFonts w:hint="eastAsia" w:ascii="Arial" w:hAnsi="Arial" w:eastAsia="等线" w:cs="Arial"/>
        </w:rPr>
        <w:t xml:space="preserve"> was discussed and the </w:t>
      </w:r>
      <w:r>
        <w:rPr>
          <w:rFonts w:ascii="Arial" w:hAnsi="Arial" w:eastAsia="等线" w:cs="Arial"/>
        </w:rPr>
        <w:t>solution</w:t>
      </w:r>
      <w:r>
        <w:rPr>
          <w:rFonts w:hint="eastAsia" w:ascii="Arial" w:hAnsi="Arial" w:eastAsia="等线" w:cs="Arial"/>
        </w:rPr>
        <w:t xml:space="preserve">s were proposed to </w:t>
      </w:r>
      <w:r>
        <w:rPr>
          <w:rFonts w:ascii="Arial" w:hAnsi="Arial" w:eastAsia="等线" w:cs="Arial"/>
        </w:rPr>
        <w:t>separate</w:t>
      </w:r>
      <w:r>
        <w:rPr>
          <w:rFonts w:hint="eastAsia" w:ascii="Arial" w:hAnsi="Arial" w:eastAsia="等线" w:cs="Arial"/>
        </w:rPr>
        <w:t xml:space="preserve"> the cells operated as sDCI mTRP, mDCI mTRP and sTRP. For the proposed solutions, </w:t>
      </w:r>
      <w:r>
        <w:rPr>
          <w:rFonts w:ascii="Arial" w:hAnsi="Arial" w:eastAsia="等线" w:cs="Arial"/>
        </w:rPr>
        <w:t>RAN2 has following questions would like to check RAN1’s understanding</w:t>
      </w:r>
      <w:r>
        <w:rPr>
          <w:rFonts w:hint="eastAsia" w:ascii="Arial" w:hAnsi="Arial" w:eastAsia="等线" w:cs="Arial"/>
        </w:rPr>
        <w:t>.</w:t>
      </w:r>
    </w:p>
    <w:p w14:paraId="50CCA9A8">
      <w:pPr>
        <w:pStyle w:val="95"/>
        <w:numPr>
          <w:ilvl w:val="0"/>
          <w:numId w:val="5"/>
        </w:numPr>
        <w:spacing w:before="180"/>
        <w:rPr>
          <w:rFonts w:ascii="Arial" w:hAnsi="Arial" w:eastAsia="等线" w:cs="Arial"/>
          <w:u w:val="single"/>
          <w:lang w:val="en-US"/>
        </w:rPr>
      </w:pPr>
      <w:r>
        <w:rPr>
          <w:rFonts w:hint="eastAsia" w:ascii="Arial" w:hAnsi="Arial" w:eastAsia="等线" w:cs="Arial"/>
          <w:u w:val="single"/>
          <w:lang w:val="en-US" w:eastAsia="zh-CN"/>
        </w:rPr>
        <w:t>sDCI mTRP</w:t>
      </w:r>
      <w:r>
        <w:rPr>
          <w:rFonts w:hint="eastAsia" w:ascii="Arial" w:hAnsi="Arial" w:eastAsia="等线" w:cs="Arial"/>
          <w:u w:val="single"/>
          <w:lang w:val="en-US" w:eastAsia="zh-CN"/>
        </w:rPr>
        <w:t>/sTRP</w:t>
      </w:r>
      <w:r>
        <w:rPr>
          <w:rFonts w:hint="eastAsia" w:ascii="Arial" w:hAnsi="Arial" w:eastAsia="等线" w:cs="Arial"/>
          <w:u w:val="single"/>
          <w:lang w:val="en-US" w:eastAsia="zh-CN"/>
        </w:rPr>
        <w:t xml:space="preserve"> vs mDCI mTRP</w:t>
      </w:r>
    </w:p>
    <w:p w14:paraId="5695765C">
      <w:pPr>
        <w:spacing w:before="180"/>
        <w:rPr>
          <w:rFonts w:ascii="Arial" w:hAnsi="Arial" w:eastAsia="等线" w:cs="Arial"/>
        </w:rPr>
      </w:pPr>
      <w:r>
        <w:rPr>
          <w:rFonts w:ascii="Arial" w:hAnsi="Arial" w:eastAsia="等线" w:cs="Arial"/>
        </w:rPr>
        <w:t>In RAN2 current understanding</w:t>
      </w:r>
      <w:r>
        <w:rPr>
          <w:rFonts w:hint="eastAsia" w:ascii="Arial" w:hAnsi="Arial" w:eastAsia="等线" w:cs="Arial"/>
        </w:rPr>
        <w:t xml:space="preserve">, the number of the configured </w:t>
      </w:r>
      <w:r>
        <w:rPr>
          <w:rFonts w:ascii="Arial" w:hAnsi="Arial" w:eastAsia="等线" w:cs="Arial"/>
          <w:i/>
          <w:iCs/>
        </w:rPr>
        <w:t>coresetPoolIndexes</w:t>
      </w:r>
      <w:r>
        <w:rPr>
          <w:rFonts w:hint="eastAsia" w:ascii="Arial" w:hAnsi="Arial" w:eastAsia="等线" w:cs="Arial"/>
        </w:rPr>
        <w:t xml:space="preserve"> can be used to separate the cells operated </w:t>
      </w:r>
      <w:r>
        <w:rPr>
          <w:rFonts w:ascii="Arial" w:hAnsi="Arial" w:eastAsia="等线" w:cs="Arial"/>
        </w:rPr>
        <w:t>as</w:t>
      </w:r>
      <w:r>
        <w:rPr>
          <w:rFonts w:hint="eastAsia" w:ascii="Arial" w:hAnsi="Arial" w:eastAsia="等线" w:cs="Arial"/>
        </w:rPr>
        <w:t xml:space="preserve"> mDCI mTRP</w:t>
      </w:r>
      <w:r>
        <w:rPr>
          <w:rFonts w:ascii="Arial" w:hAnsi="Arial" w:eastAsia="等线" w:cs="Arial"/>
        </w:rPr>
        <w:t xml:space="preserve"> from the cells operated as sDCI mTRP</w:t>
      </w:r>
      <w:r>
        <w:rPr>
          <w:rFonts w:hint="eastAsia" w:ascii="Arial" w:hAnsi="Arial" w:eastAsia="等线" w:cs="Arial"/>
          <w:lang w:val="en-US" w:eastAsia="zh-CN"/>
        </w:rPr>
        <w:t>/</w:t>
      </w:r>
      <w:r>
        <w:rPr>
          <w:rFonts w:ascii="Arial" w:hAnsi="Arial" w:eastAsia="等线" w:cs="Arial"/>
        </w:rPr>
        <w:t>sTRP</w:t>
      </w:r>
      <w:r>
        <w:rPr>
          <w:rFonts w:hint="eastAsia" w:ascii="Arial" w:hAnsi="Arial" w:eastAsia="等线" w:cs="Arial"/>
          <w:lang w:val="en-US" w:eastAsia="zh-CN"/>
        </w:rPr>
        <w:t xml:space="preserve">. </w:t>
      </w:r>
      <w:r>
        <w:rPr>
          <w:rFonts w:hint="eastAsia" w:ascii="Arial" w:hAnsi="Arial" w:eastAsia="等线" w:cs="Arial"/>
        </w:rPr>
        <w:t xml:space="preserve"> </w:t>
      </w:r>
      <w:r>
        <w:rPr>
          <w:rFonts w:hint="eastAsia" w:ascii="Arial" w:hAnsi="Arial" w:eastAsia="等线" w:cs="Arial"/>
          <w:lang w:val="en-US" w:eastAsia="zh-CN"/>
        </w:rPr>
        <w:t>W</w:t>
      </w:r>
      <w:r>
        <w:rPr>
          <w:rFonts w:hint="eastAsia" w:ascii="Arial" w:hAnsi="Arial" w:eastAsia="等线" w:cs="Arial"/>
        </w:rPr>
        <w:t xml:space="preserve">ith the understanding, the field description of the field </w:t>
      </w:r>
      <w:r>
        <w:rPr>
          <w:rFonts w:ascii="Arial" w:hAnsi="Arial" w:eastAsia="等线" w:cs="Arial"/>
          <w:i/>
        </w:rPr>
        <w:t>simultaneousU-TCI-UpdateListx</w:t>
      </w:r>
      <w:r>
        <w:rPr>
          <w:rFonts w:hint="eastAsia" w:ascii="Arial" w:hAnsi="Arial" w:eastAsia="等线" w:cs="Arial"/>
        </w:rPr>
        <w:t xml:space="preserve"> can be changed as follow</w:t>
      </w:r>
      <w:r>
        <w:rPr>
          <w:rFonts w:hint="eastAsia" w:ascii="Arial" w:hAnsi="Arial" w:eastAsia="等线" w:cs="Arial"/>
          <w:lang w:val="en-US"/>
        </w:rPr>
        <w:t>s</w:t>
      </w:r>
      <w:r>
        <w:rPr>
          <w:rFonts w:hint="eastAsia" w:ascii="Arial" w:hAnsi="Arial" w:eastAsia="等线" w:cs="Arial"/>
        </w:rPr>
        <w:t>.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 w14:paraId="6DE7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1" w:type="dxa"/>
          </w:tcPr>
          <w:p w14:paraId="3EEA8994">
            <w:pPr>
              <w:keepNext/>
              <w:keepLines/>
              <w:spacing w:after="0"/>
              <w:rPr>
                <w:rFonts w:ascii="Arial" w:hAnsi="Arial" w:eastAsia="Calibri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hAnsi="Arial" w:eastAsia="Calibri"/>
                <w:b/>
                <w:i/>
                <w:sz w:val="18"/>
                <w:szCs w:val="22"/>
                <w:lang w:eastAsia="sv-SE"/>
              </w:rPr>
              <w:t>simultaneousU-TCI-UpdateList1, simultaneousU-TCI-UpdateList2, simultaneousU-TCI-UpdateList3, simultaneousU-TCI-UpdateList4</w:t>
            </w:r>
          </w:p>
          <w:p w14:paraId="46ACCAA8">
            <w:pPr>
              <w:spacing w:before="180"/>
              <w:rPr>
                <w:rFonts w:ascii="Arial" w:hAnsi="Arial" w:eastAsia="等线" w:cs="Arial"/>
              </w:rPr>
            </w:pP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r>
              <w:rPr>
                <w:rFonts w:ascii="Arial" w:hAnsi="Arial" w:eastAsia="Calibri"/>
                <w:bCs/>
                <w:i/>
                <w:sz w:val="18"/>
                <w:szCs w:val="22"/>
                <w:lang w:eastAsia="sv-SE"/>
              </w:rPr>
              <w:t>unifiedTCI-StateType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 xml:space="preserve"> 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highlight w:val="yellow"/>
              </w:rPr>
              <w:t xml:space="preserve">Network should not configure serving cells that are configured with a BWP with different number of </w:t>
            </w:r>
            <w:r>
              <w:rPr>
                <w:rFonts w:ascii="Arial" w:hAnsi="Arial" w:eastAsia="Calibri"/>
                <w:bCs/>
                <w:i/>
                <w:sz w:val="18"/>
                <w:szCs w:val="22"/>
                <w:highlight w:val="yellow"/>
              </w:rPr>
              <w:t>coresetPoolIndexes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highlight w:val="yellow"/>
              </w:rPr>
              <w:t xml:space="preserve"> in </w:t>
            </w:r>
            <w:r>
              <w:rPr>
                <w:rFonts w:hint="eastAsia" w:ascii="Arial" w:hAnsi="Arial"/>
                <w:bCs/>
                <w:iCs/>
                <w:sz w:val="18"/>
                <w:szCs w:val="22"/>
                <w:highlight w:val="yellow"/>
              </w:rPr>
              <w:t xml:space="preserve">the same 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highlight w:val="yellow"/>
              </w:rPr>
              <w:t>list.</w:t>
            </w:r>
          </w:p>
        </w:tc>
      </w:tr>
    </w:tbl>
    <w:p w14:paraId="54FC6545">
      <w:pPr>
        <w:spacing w:before="180"/>
        <w:rPr>
          <w:rFonts w:ascii="Arial" w:hAnsi="Arial" w:eastAsia="等线" w:cs="Arial"/>
          <w:b/>
          <w:u w:val="none"/>
        </w:rPr>
      </w:pPr>
      <w:r>
        <w:rPr>
          <w:rFonts w:ascii="Arial" w:hAnsi="Arial" w:eastAsia="等线" w:cs="Arial"/>
          <w:highlight w:val="yellow"/>
          <w:u w:val="none"/>
        </w:rPr>
        <w:t xml:space="preserve">That sentence also implies that, for each BWP of a serving cell included in one of the above lists, the number of </w:t>
      </w:r>
      <w:r>
        <w:rPr>
          <w:rFonts w:ascii="Arial" w:hAnsi="Arial" w:eastAsia="等线" w:cs="Arial"/>
          <w:i/>
          <w:highlight w:val="yellow"/>
          <w:u w:val="none"/>
        </w:rPr>
        <w:t>coreSetPoolIndex</w:t>
      </w:r>
      <w:r>
        <w:rPr>
          <w:rFonts w:ascii="Arial" w:hAnsi="Arial" w:eastAsia="等线" w:cs="Arial"/>
          <w:highlight w:val="yellow"/>
          <w:u w:val="none"/>
        </w:rPr>
        <w:t xml:space="preserve"> values is the same in every BWP of the serving cell.</w:t>
      </w:r>
    </w:p>
    <w:p w14:paraId="620DE06A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  <w:b/>
          <w:u w:val="single"/>
        </w:rPr>
        <w:t xml:space="preserve">Question 1a: </w:t>
      </w:r>
      <w:r>
        <w:rPr>
          <w:rFonts w:hint="eastAsia" w:ascii="Arial" w:hAnsi="Arial" w:eastAsia="等线" w:cs="Arial"/>
        </w:rPr>
        <w:t xml:space="preserve">RAN2 </w:t>
      </w:r>
      <w:r>
        <w:rPr>
          <w:rFonts w:ascii="Arial" w:hAnsi="Arial" w:eastAsia="等线" w:cs="Arial"/>
        </w:rPr>
        <w:t xml:space="preserve">would like to ask if </w:t>
      </w:r>
      <w:r>
        <w:rPr>
          <w:rFonts w:hint="eastAsia" w:ascii="Arial" w:hAnsi="Arial" w:eastAsia="等线" w:cs="Arial"/>
          <w:lang w:val="en-US"/>
        </w:rPr>
        <w:t>RAN1 has any concern on the above highlight sentence</w:t>
      </w:r>
      <w:r>
        <w:rPr>
          <w:rFonts w:ascii="Arial" w:hAnsi="Arial" w:eastAsia="等线" w:cs="Arial"/>
        </w:rPr>
        <w:t xml:space="preserve"> and understanding</w:t>
      </w:r>
      <w:r>
        <w:rPr>
          <w:rFonts w:hint="eastAsia" w:ascii="Arial" w:hAnsi="Arial" w:eastAsia="等线" w:cs="Arial"/>
        </w:rPr>
        <w:t>?</w:t>
      </w:r>
      <w:r>
        <w:rPr>
          <w:rFonts w:ascii="Arial" w:hAnsi="Arial" w:eastAsia="等线" w:cs="Arial"/>
        </w:rPr>
        <w:t xml:space="preserve"> </w:t>
      </w:r>
    </w:p>
    <w:p w14:paraId="49672D6E">
      <w:pPr>
        <w:spacing w:before="180"/>
        <w:rPr>
          <w:rFonts w:ascii="Arial" w:hAnsi="Arial" w:eastAsia="等线" w:cs="Arial"/>
          <w:u w:val="single"/>
          <w:lang w:val="en-US"/>
        </w:rPr>
      </w:pPr>
      <w:r>
        <w:rPr>
          <w:rFonts w:hint="eastAsia" w:ascii="Arial" w:hAnsi="Arial" w:eastAsia="等线" w:cs="Arial"/>
          <w:b/>
          <w:u w:val="single"/>
        </w:rPr>
        <w:t>Question 1b:</w:t>
      </w:r>
      <w:r>
        <w:rPr>
          <w:rFonts w:hint="eastAsia" w:ascii="Arial" w:hAnsi="Arial" w:eastAsia="等线" w:cs="Arial"/>
        </w:rPr>
        <w:t xml:space="preserve"> </w:t>
      </w:r>
      <w:r>
        <w:rPr>
          <w:rFonts w:hint="eastAsia" w:ascii="Arial" w:hAnsi="Arial" w:eastAsia="等线" w:cs="Arial"/>
          <w:lang w:val="en-US"/>
        </w:rPr>
        <w:t xml:space="preserve">If there is any concern on </w:t>
      </w:r>
      <w:r>
        <w:rPr>
          <w:rFonts w:hint="eastAsia" w:ascii="Arial" w:hAnsi="Arial" w:eastAsia="等线" w:cs="Arial"/>
        </w:rPr>
        <w:t>Question</w:t>
      </w:r>
      <w:r>
        <w:rPr>
          <w:rFonts w:hint="eastAsia" w:ascii="Arial" w:hAnsi="Arial" w:eastAsia="等线" w:cs="Arial"/>
          <w:lang w:val="en-US"/>
        </w:rPr>
        <w:t xml:space="preserve"> 1</w:t>
      </w:r>
      <w:r>
        <w:rPr>
          <w:rFonts w:hint="eastAsia" w:ascii="Arial" w:hAnsi="Arial" w:eastAsia="等线" w:cs="Arial"/>
        </w:rPr>
        <w:t>a</w:t>
      </w:r>
      <w:r>
        <w:rPr>
          <w:rFonts w:hint="eastAsia" w:ascii="Arial" w:hAnsi="Arial" w:eastAsia="等线" w:cs="Arial"/>
          <w:lang w:val="en-US"/>
        </w:rPr>
        <w:t>, what</w:t>
      </w:r>
      <w:r>
        <w:rPr>
          <w:rFonts w:ascii="Arial" w:hAnsi="Arial" w:eastAsia="等线" w:cs="Arial"/>
          <w:lang w:val="en-US"/>
        </w:rPr>
        <w:t>’</w:t>
      </w:r>
      <w:r>
        <w:rPr>
          <w:rFonts w:hint="eastAsia" w:ascii="Arial" w:hAnsi="Arial" w:eastAsia="等线" w:cs="Arial"/>
          <w:lang w:val="en-US"/>
        </w:rPr>
        <w:t>s RAN1</w:t>
      </w:r>
      <w:r>
        <w:rPr>
          <w:rFonts w:ascii="Arial" w:hAnsi="Arial" w:eastAsia="等线" w:cs="Arial"/>
          <w:lang w:val="en-US"/>
        </w:rPr>
        <w:t>’</w:t>
      </w:r>
      <w:r>
        <w:rPr>
          <w:rFonts w:hint="eastAsia" w:ascii="Arial" w:hAnsi="Arial" w:eastAsia="等线" w:cs="Arial"/>
          <w:lang w:val="en-US"/>
        </w:rPr>
        <w:t>s suggestion</w:t>
      </w:r>
      <w:r>
        <w:rPr>
          <w:rFonts w:hint="eastAsia" w:ascii="Arial" w:hAnsi="Arial" w:eastAsia="等线" w:cs="Arial"/>
          <w:bCs/>
          <w:lang w:val="en-US"/>
        </w:rPr>
        <w:t xml:space="preserve"> on how to separate the cells </w:t>
      </w:r>
      <w:r>
        <w:rPr>
          <w:rFonts w:hint="eastAsia" w:ascii="Arial" w:hAnsi="Arial" w:eastAsia="等线" w:cs="Arial"/>
        </w:rPr>
        <w:t>operated as sDCI mTRP</w:t>
      </w:r>
      <w:r>
        <w:rPr>
          <w:rFonts w:hint="eastAsia" w:ascii="Arial" w:hAnsi="Arial" w:eastAsia="等线" w:cs="Arial"/>
          <w:lang w:val="en-US" w:eastAsia="zh-CN"/>
        </w:rPr>
        <w:t>/sTRP</w:t>
      </w:r>
      <w:r>
        <w:rPr>
          <w:rFonts w:hint="eastAsia" w:ascii="Arial" w:hAnsi="Arial" w:eastAsia="等线" w:cs="Arial"/>
        </w:rPr>
        <w:t xml:space="preserve"> and mDCI mTRP?</w:t>
      </w:r>
      <w:r>
        <w:rPr>
          <w:rFonts w:hint="eastAsia" w:ascii="Arial" w:hAnsi="Arial" w:eastAsia="等线" w:cs="Arial"/>
          <w:lang w:val="en-US"/>
        </w:rPr>
        <w:t xml:space="preserve"> </w:t>
      </w:r>
    </w:p>
    <w:p w14:paraId="1646B685">
      <w:pPr>
        <w:pStyle w:val="95"/>
        <w:numPr>
          <w:ilvl w:val="0"/>
          <w:numId w:val="5"/>
        </w:num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  <w:u w:val="single"/>
          <w:lang w:eastAsia="zh-CN"/>
        </w:rPr>
        <w:t>sTRP vs sDCI mTRP</w:t>
      </w:r>
    </w:p>
    <w:p w14:paraId="31D4D2D3">
      <w:pPr>
        <w:spacing w:before="180"/>
        <w:rPr>
          <w:rFonts w:ascii="Arial" w:hAnsi="Arial" w:eastAsia="等线" w:cs="Arial"/>
        </w:rPr>
      </w:pPr>
      <w:r>
        <w:rPr>
          <w:rFonts w:ascii="Arial" w:hAnsi="Arial" w:eastAsia="等线" w:cs="Arial"/>
        </w:rPr>
        <w:t>T</w:t>
      </w:r>
      <w:r>
        <w:rPr>
          <w:rFonts w:hint="eastAsia" w:ascii="Arial" w:hAnsi="Arial" w:eastAsia="等线" w:cs="Arial"/>
        </w:rPr>
        <w:t xml:space="preserve">o separate the cells operated as sTRP and sDCI mTRP, </w:t>
      </w:r>
      <w:r>
        <w:rPr>
          <w:rFonts w:ascii="Arial" w:hAnsi="Arial" w:eastAsia="等线" w:cs="Arial"/>
          <w:lang w:val="en-US"/>
        </w:rPr>
        <w:t>it is</w:t>
      </w:r>
      <w:r>
        <w:rPr>
          <w:rFonts w:hint="eastAsia" w:ascii="Arial" w:hAnsi="Arial" w:eastAsia="等线" w:cs="Arial"/>
        </w:rPr>
        <w:t xml:space="preserve"> proposed to </w:t>
      </w:r>
      <w:r>
        <w:rPr>
          <w:rFonts w:hint="eastAsia" w:ascii="Arial" w:hAnsi="Arial" w:eastAsia="等线" w:cs="Arial"/>
          <w:lang w:val="en-US"/>
        </w:rPr>
        <w:t>add the following highlight sentence</w:t>
      </w:r>
      <w:r>
        <w:rPr>
          <w:rFonts w:hint="eastAsia" w:ascii="Arial" w:hAnsi="Arial" w:eastAsia="等线" w:cs="Arial"/>
        </w:rPr>
        <w:t>.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 w14:paraId="6334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</w:tcPr>
          <w:p w14:paraId="4CA8BF92">
            <w:pPr>
              <w:keepNext/>
              <w:keepLines/>
              <w:spacing w:after="0"/>
              <w:rPr>
                <w:rFonts w:ascii="Arial" w:hAnsi="Arial" w:eastAsia="Calibri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hAnsi="Arial" w:eastAsia="Calibri"/>
                <w:b/>
                <w:i/>
                <w:sz w:val="18"/>
                <w:szCs w:val="22"/>
                <w:lang w:eastAsia="sv-SE"/>
              </w:rPr>
              <w:t>imultaneousU-TCI-UpdateList1, simultaneousU-TCI-UpdateList2, simultaneousU-TCI-UpdateList3, simultaneousU-TCI-UpdateList4</w:t>
            </w:r>
          </w:p>
          <w:p w14:paraId="00CA127E">
            <w:pPr>
              <w:spacing w:before="180"/>
              <w:rPr>
                <w:rFonts w:ascii="Arial" w:hAnsi="Arial" w:eastAsia="等线" w:cs="Arial"/>
              </w:rPr>
            </w:pP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r>
              <w:rPr>
                <w:rFonts w:ascii="Arial" w:hAnsi="Arial" w:eastAsia="Calibri"/>
                <w:bCs/>
                <w:i/>
                <w:sz w:val="18"/>
                <w:szCs w:val="22"/>
                <w:lang w:eastAsia="sv-SE"/>
              </w:rPr>
              <w:t>unifiedTCI-StateType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 xml:space="preserve"> Network should not configure serving cells that are configured with a BWP with different number of </w:t>
            </w:r>
            <w:r>
              <w:rPr>
                <w:rFonts w:ascii="Arial" w:hAnsi="Arial" w:eastAsia="Calibri"/>
                <w:bCs/>
                <w:i/>
                <w:sz w:val="18"/>
                <w:szCs w:val="22"/>
              </w:rPr>
              <w:t>coresetPoolIndexes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 xml:space="preserve"> in </w:t>
            </w:r>
            <w:r>
              <w:rPr>
                <w:rFonts w:hint="eastAsia" w:ascii="Arial" w:hAnsi="Arial"/>
                <w:bCs/>
                <w:iCs/>
                <w:sz w:val="18"/>
                <w:szCs w:val="22"/>
              </w:rPr>
              <w:t xml:space="preserve">the same 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>list.</w:t>
            </w:r>
            <w:r>
              <w:rPr>
                <w:rFonts w:hint="eastAsia" w:ascii="Arial" w:hAnsi="Arial"/>
                <w:bCs/>
                <w:iCs/>
                <w:sz w:val="18"/>
                <w:szCs w:val="22"/>
              </w:rPr>
              <w:t xml:space="preserve"> </w:t>
            </w:r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Network should not configure serving cells that are configured with a BWP with </w:t>
            </w:r>
            <w:bookmarkStart w:id="11" w:name="_Hlk183058809"/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ControlResourceSet</w:t>
            </w:r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 </w:t>
            </w:r>
            <w:bookmarkEnd w:id="11"/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configured with </w:t>
            </w:r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applyIndicatedTCI-State</w:t>
            </w:r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 and serving cells with all BWPs with </w:t>
            </w:r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ControlResourceSet</w:t>
            </w:r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 not configured with </w:t>
            </w:r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applyIndicatedTCI-State</w:t>
            </w:r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 in the same list.</w:t>
            </w:r>
          </w:p>
        </w:tc>
      </w:tr>
    </w:tbl>
    <w:p w14:paraId="155F5697">
      <w:pPr>
        <w:spacing w:before="180"/>
        <w:rPr>
          <w:rFonts w:ascii="Arial" w:hAnsi="Arial" w:eastAsia="等线" w:cs="Arial"/>
          <w:highlight w:val="yellow"/>
          <w:u w:val="none"/>
        </w:rPr>
      </w:pPr>
      <w:r>
        <w:rPr>
          <w:rFonts w:ascii="Arial" w:hAnsi="Arial" w:eastAsia="等线" w:cs="Arial"/>
          <w:highlight w:val="yellow"/>
          <w:u w:val="none"/>
        </w:rPr>
        <w:t>That sentence allows that:</w:t>
      </w:r>
    </w:p>
    <w:p w14:paraId="321D0AC5">
      <w:pPr>
        <w:numPr>
          <w:ilvl w:val="0"/>
          <w:numId w:val="6"/>
        </w:numPr>
        <w:spacing w:before="180"/>
        <w:ind w:left="420" w:hanging="420"/>
        <w:rPr>
          <w:rFonts w:ascii="Arial" w:hAnsi="Arial"/>
          <w:bCs/>
          <w:i/>
          <w:iCs/>
          <w:sz w:val="18"/>
          <w:szCs w:val="22"/>
          <w:highlight w:val="yellow"/>
        </w:rPr>
      </w:pPr>
      <w:r>
        <w:rPr>
          <w:rFonts w:hint="eastAsia" w:ascii="Arial" w:hAnsi="Arial" w:eastAsia="等线" w:cs="Arial"/>
          <w:highlight w:val="yellow"/>
          <w:u w:val="none"/>
          <w:lang w:val="en-US" w:eastAsia="zh-CN"/>
        </w:rPr>
        <w:t>A</w:t>
      </w:r>
      <w:r>
        <w:rPr>
          <w:rFonts w:ascii="Arial" w:hAnsi="Arial" w:eastAsia="等线" w:cs="Arial"/>
          <w:highlight w:val="yellow"/>
          <w:u w:val="none"/>
        </w:rPr>
        <w:t>ll serving cells in the above list have all BWPs not co</w:t>
      </w:r>
      <w:bookmarkStart w:id="13" w:name="_GoBack"/>
      <w:bookmarkEnd w:id="13"/>
      <w:r>
        <w:rPr>
          <w:rFonts w:ascii="Arial" w:hAnsi="Arial" w:eastAsia="等线" w:cs="Arial"/>
          <w:highlight w:val="yellow"/>
          <w:u w:val="none"/>
        </w:rPr>
        <w:t>nfigured with</w:t>
      </w:r>
      <w:r>
        <w:rPr>
          <w:highlight w:val="yellow"/>
        </w:rPr>
        <w:t xml:space="preserve"> </w:t>
      </w:r>
      <w:bookmarkStart w:id="12" w:name="_Hlk183058897"/>
      <w:r>
        <w:rPr>
          <w:rFonts w:ascii="Arial" w:hAnsi="Arial" w:eastAsia="等线" w:cs="Arial"/>
          <w:highlight w:val="yellow"/>
          <w:u w:val="none"/>
        </w:rPr>
        <w:t>ControlResourceSet with</w:t>
      </w:r>
      <w:bookmarkEnd w:id="12"/>
      <w:r>
        <w:rPr>
          <w:rFonts w:hint="eastAsia" w:ascii="Arial" w:hAnsi="Arial" w:eastAsia="等线" w:cs="Arial"/>
          <w:highlight w:val="yellow"/>
          <w:u w:val="none"/>
          <w:lang w:val="en-US" w:eastAsia="zh-CN"/>
        </w:rPr>
        <w:t xml:space="preserve"> </w:t>
      </w:r>
      <w:r>
        <w:rPr>
          <w:rFonts w:ascii="Arial" w:hAnsi="Arial" w:eastAsia="等线" w:cs="Arial"/>
          <w:i/>
          <w:highlight w:val="yellow"/>
          <w:u w:val="none"/>
        </w:rPr>
        <w:t>applyIndicateTCI-State</w:t>
      </w:r>
    </w:p>
    <w:p w14:paraId="7A8DFE8E">
      <w:pPr>
        <w:numPr>
          <w:ilvl w:val="0"/>
          <w:numId w:val="6"/>
        </w:numPr>
        <w:spacing w:before="180"/>
        <w:ind w:left="420" w:hanging="420"/>
        <w:rPr>
          <w:rFonts w:ascii="Arial" w:hAnsi="Arial" w:eastAsia="等线" w:cs="Arial"/>
          <w:highlight w:val="yellow"/>
          <w:u w:val="none"/>
        </w:rPr>
      </w:pPr>
      <w:r>
        <w:rPr>
          <w:rFonts w:hint="eastAsia" w:ascii="Arial" w:hAnsi="Arial" w:eastAsia="等线" w:cs="Arial"/>
          <w:highlight w:val="yellow"/>
          <w:u w:val="none"/>
          <w:lang w:val="en-US" w:eastAsia="zh-CN"/>
        </w:rPr>
        <w:t>A</w:t>
      </w:r>
      <w:r>
        <w:rPr>
          <w:rFonts w:ascii="Arial" w:hAnsi="Arial" w:eastAsia="等线" w:cs="Arial"/>
          <w:highlight w:val="yellow"/>
          <w:u w:val="none"/>
        </w:rPr>
        <w:t xml:space="preserve">ll serving cells in the above list have at least one BWP configured with ControlResourceSet with </w:t>
      </w:r>
      <w:r>
        <w:rPr>
          <w:rFonts w:ascii="Arial" w:hAnsi="Arial" w:eastAsia="等线" w:cs="Arial"/>
          <w:i/>
          <w:highlight w:val="yellow"/>
          <w:u w:val="none"/>
        </w:rPr>
        <w:t>applyIndicateTCI-State</w:t>
      </w:r>
    </w:p>
    <w:p w14:paraId="62A54027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  <w:b/>
          <w:u w:val="single"/>
        </w:rPr>
        <w:t>Question 2a:</w:t>
      </w:r>
      <w:r>
        <w:rPr>
          <w:rFonts w:hint="eastAsia" w:ascii="Arial" w:hAnsi="Arial" w:eastAsia="等线" w:cs="Arial"/>
        </w:rPr>
        <w:t xml:space="preserve"> RAN2 </w:t>
      </w:r>
      <w:r>
        <w:rPr>
          <w:rFonts w:ascii="Arial" w:hAnsi="Arial" w:eastAsia="等线" w:cs="Arial"/>
        </w:rPr>
        <w:t xml:space="preserve">would like to ask if </w:t>
      </w:r>
      <w:r>
        <w:rPr>
          <w:rFonts w:hint="eastAsia" w:ascii="Arial" w:hAnsi="Arial" w:eastAsia="等线" w:cs="Arial"/>
          <w:lang w:val="en-US"/>
        </w:rPr>
        <w:t>RAN1 has any concern on the above highlight sentence</w:t>
      </w:r>
      <w:r>
        <w:rPr>
          <w:rFonts w:ascii="Arial" w:hAnsi="Arial" w:eastAsia="等线" w:cs="Arial"/>
        </w:rPr>
        <w:t xml:space="preserve"> and understandings</w:t>
      </w:r>
      <w:r>
        <w:rPr>
          <w:rFonts w:hint="eastAsia" w:ascii="Arial" w:hAnsi="Arial" w:eastAsia="等线" w:cs="Arial"/>
        </w:rPr>
        <w:t xml:space="preserve">? </w:t>
      </w:r>
    </w:p>
    <w:p w14:paraId="789B05A3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  <w:b/>
          <w:u w:val="single"/>
        </w:rPr>
        <w:t>Question 2</w:t>
      </w:r>
      <w:r>
        <w:rPr>
          <w:rFonts w:hint="eastAsia" w:ascii="Arial" w:hAnsi="Arial" w:eastAsia="等线" w:cs="Arial"/>
          <w:b/>
          <w:u w:val="single"/>
          <w:lang w:val="en-US"/>
        </w:rPr>
        <w:t>b</w:t>
      </w:r>
      <w:r>
        <w:rPr>
          <w:rFonts w:hint="eastAsia" w:ascii="Arial" w:hAnsi="Arial" w:eastAsia="等线" w:cs="Arial"/>
          <w:b/>
          <w:u w:val="single"/>
        </w:rPr>
        <w:t>:</w:t>
      </w:r>
      <w:r>
        <w:rPr>
          <w:rFonts w:hint="eastAsia" w:ascii="Arial" w:hAnsi="Arial" w:eastAsia="等线" w:cs="Arial"/>
        </w:rPr>
        <w:t xml:space="preserve"> </w:t>
      </w:r>
      <w:r>
        <w:rPr>
          <w:rFonts w:hint="eastAsia" w:ascii="Arial" w:hAnsi="Arial" w:eastAsia="等线" w:cs="Arial"/>
          <w:lang w:val="en-US"/>
        </w:rPr>
        <w:t xml:space="preserve">If there is any concern on </w:t>
      </w:r>
      <w:r>
        <w:rPr>
          <w:rFonts w:hint="eastAsia" w:ascii="Arial" w:hAnsi="Arial" w:eastAsia="等线" w:cs="Arial"/>
        </w:rPr>
        <w:t>Question</w:t>
      </w:r>
      <w:r>
        <w:rPr>
          <w:rFonts w:hint="eastAsia" w:ascii="Arial" w:hAnsi="Arial" w:eastAsia="等线" w:cs="Arial"/>
          <w:lang w:val="en-US"/>
        </w:rPr>
        <w:t xml:space="preserve"> 2</w:t>
      </w:r>
      <w:r>
        <w:rPr>
          <w:rFonts w:hint="eastAsia" w:ascii="Arial" w:hAnsi="Arial" w:eastAsia="等线" w:cs="Arial"/>
        </w:rPr>
        <w:t>a</w:t>
      </w:r>
      <w:r>
        <w:rPr>
          <w:rFonts w:hint="eastAsia" w:ascii="Arial" w:hAnsi="Arial" w:eastAsia="等线" w:cs="Arial"/>
          <w:lang w:val="en-US"/>
        </w:rPr>
        <w:t>, what</w:t>
      </w:r>
      <w:r>
        <w:rPr>
          <w:rFonts w:ascii="Arial" w:hAnsi="Arial" w:eastAsia="等线" w:cs="Arial"/>
          <w:lang w:val="en-US"/>
        </w:rPr>
        <w:t>’</w:t>
      </w:r>
      <w:r>
        <w:rPr>
          <w:rFonts w:hint="eastAsia" w:ascii="Arial" w:hAnsi="Arial" w:eastAsia="等线" w:cs="Arial"/>
          <w:lang w:val="en-US"/>
        </w:rPr>
        <w:t>s RAN1</w:t>
      </w:r>
      <w:r>
        <w:rPr>
          <w:rFonts w:ascii="Arial" w:hAnsi="Arial" w:eastAsia="等线" w:cs="Arial"/>
          <w:lang w:val="en-US"/>
        </w:rPr>
        <w:t>’</w:t>
      </w:r>
      <w:r>
        <w:rPr>
          <w:rFonts w:hint="eastAsia" w:ascii="Arial" w:hAnsi="Arial" w:eastAsia="等线" w:cs="Arial"/>
          <w:lang w:val="en-US"/>
        </w:rPr>
        <w:t>s suggestion</w:t>
      </w:r>
      <w:r>
        <w:rPr>
          <w:rFonts w:hint="eastAsia" w:ascii="Arial" w:hAnsi="Arial" w:eastAsia="等线" w:cs="Arial"/>
          <w:bCs/>
          <w:lang w:val="en-US"/>
        </w:rPr>
        <w:t xml:space="preserve"> on how to separate the cells </w:t>
      </w:r>
      <w:r>
        <w:rPr>
          <w:rFonts w:hint="eastAsia" w:ascii="Arial" w:hAnsi="Arial" w:eastAsia="等线" w:cs="Arial"/>
        </w:rPr>
        <w:t>operated as sTRP and sDCI mTRP?</w:t>
      </w:r>
    </w:p>
    <w:p w14:paraId="6E342683">
      <w:pPr>
        <w:pStyle w:val="2"/>
      </w:pPr>
      <w:r>
        <w:t>2</w:t>
      </w:r>
      <w:r>
        <w:tab/>
      </w:r>
      <w:r>
        <w:t>Actions</w:t>
      </w:r>
    </w:p>
    <w:p w14:paraId="61B669CC">
      <w:pPr>
        <w:spacing w:after="120"/>
        <w:ind w:left="1985" w:hanging="1985"/>
        <w:rPr>
          <w:rFonts w:ascii="Arial" w:hAnsi="Arial" w:eastAsia="等线" w:cs="Arial"/>
          <w:b/>
        </w:rPr>
      </w:pPr>
      <w:r>
        <w:rPr>
          <w:rFonts w:ascii="Arial" w:hAnsi="Arial" w:cs="Arial"/>
          <w:b/>
        </w:rPr>
        <w:t>To RAN</w:t>
      </w:r>
      <w:r>
        <w:rPr>
          <w:rFonts w:hint="eastAsia" w:ascii="Arial" w:hAnsi="Arial" w:eastAsia="等线" w:cs="Arial"/>
          <w:b/>
        </w:rPr>
        <w:t>1</w:t>
      </w:r>
    </w:p>
    <w:p w14:paraId="2E059AD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hint="eastAsia" w:ascii="Arial" w:hAnsi="Arial" w:eastAsia="等线" w:cs="Arial"/>
          <w:b/>
        </w:rPr>
        <w:t xml:space="preserve">  </w:t>
      </w:r>
      <w:r>
        <w:rPr>
          <w:rFonts w:ascii="Arial" w:hAnsi="Arial" w:cs="Arial"/>
          <w:bCs/>
        </w:rPr>
        <w:t>RAN2 kindly ask RAN</w:t>
      </w:r>
      <w:r>
        <w:rPr>
          <w:rFonts w:hint="eastAsia" w:ascii="Arial" w:hAnsi="Arial" w:eastAsia="等线" w:cs="Arial"/>
          <w:bCs/>
        </w:rPr>
        <w:t>1</w:t>
      </w:r>
      <w:r>
        <w:rPr>
          <w:rFonts w:ascii="Arial" w:hAnsi="Arial" w:cs="Arial"/>
          <w:bCs/>
        </w:rPr>
        <w:t xml:space="preserve"> to discuss the above question and provide the answer</w:t>
      </w:r>
      <w:r>
        <w:rPr>
          <w:rFonts w:hint="eastAsia" w:ascii="Arial" w:hAnsi="Arial" w:eastAsia="等线" w:cs="Arial"/>
          <w:bCs/>
        </w:rPr>
        <w:t>s</w:t>
      </w:r>
      <w:r>
        <w:rPr>
          <w:rFonts w:ascii="Arial" w:hAnsi="Arial" w:cs="Arial"/>
          <w:bCs/>
        </w:rPr>
        <w:t>.</w:t>
      </w:r>
    </w:p>
    <w:p w14:paraId="2811FAE1">
      <w:pPr>
        <w:pStyle w:val="2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hint="eastAsia" w:eastAsia="等线" w:cs="Arial"/>
          <w:bCs/>
          <w:szCs w:val="36"/>
        </w:rPr>
        <w:t>2</w:t>
      </w:r>
      <w:r>
        <w:rPr>
          <w:szCs w:val="36"/>
        </w:rPr>
        <w:t xml:space="preserve"> meetings</w:t>
      </w:r>
    </w:p>
    <w:p w14:paraId="54D25C3C">
      <w:pPr>
        <w:rPr>
          <w:rFonts w:ascii="Arial" w:hAnsi="Arial" w:eastAsia="等线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17 - 21 February 2025</w:t>
      </w:r>
      <w:r>
        <w:rPr>
          <w:rFonts w:ascii="Arial" w:hAnsi="Arial" w:cs="Arial"/>
        </w:rPr>
        <w:tab/>
      </w:r>
      <w:r>
        <w:rPr>
          <w:rFonts w:hint="eastAsia" w:ascii="Arial" w:hAnsi="Arial" w:eastAsia="等线" w:cs="Arial"/>
        </w:rPr>
        <w:t xml:space="preserve">             </w:t>
      </w:r>
      <w:r>
        <w:rPr>
          <w:rFonts w:ascii="Arial" w:hAnsi="Arial" w:cs="Arial"/>
        </w:rPr>
        <w:t>Athens, GR</w:t>
      </w:r>
    </w:p>
    <w:p w14:paraId="2529431D">
      <w:pPr>
        <w:rPr>
          <w:rFonts w:ascii="Arial" w:hAnsi="Arial" w:eastAsia="等线" w:cs="Arial"/>
        </w:rPr>
      </w:pPr>
      <w:r>
        <w:rPr>
          <w:rFonts w:ascii="Arial" w:hAnsi="Arial" w:cs="Arial"/>
        </w:rPr>
        <w:t>TSG-RAN2 Meeting #129</w:t>
      </w:r>
      <w:r>
        <w:rPr>
          <w:rFonts w:hint="eastAsia" w:ascii="Arial" w:hAnsi="Arial" w:eastAsia="等线" w:cs="Arial"/>
        </w:rPr>
        <w:t>bis</w:t>
      </w:r>
      <w:r>
        <w:rPr>
          <w:rFonts w:ascii="Arial" w:hAnsi="Arial" w:cs="Arial"/>
        </w:rPr>
        <w:tab/>
      </w:r>
      <w:r>
        <w:rPr>
          <w:rFonts w:hint="eastAsia" w:ascii="Arial" w:hAnsi="Arial" w:eastAsia="等线" w:cs="Arial"/>
        </w:rPr>
        <w:t>0</w:t>
      </w:r>
      <w:r>
        <w:rPr>
          <w:rFonts w:ascii="Arial" w:hAnsi="Arial" w:cs="Arial"/>
        </w:rPr>
        <w:t xml:space="preserve">7 - </w:t>
      </w:r>
      <w:r>
        <w:rPr>
          <w:rFonts w:hint="eastAsia" w:ascii="Arial" w:hAnsi="Arial" w:eastAsia="等线" w:cs="Arial"/>
        </w:rPr>
        <w:t>1</w:t>
      </w:r>
      <w:r>
        <w:rPr>
          <w:rFonts w:ascii="Arial" w:hAnsi="Arial" w:cs="Arial"/>
        </w:rPr>
        <w:t xml:space="preserve">1 </w:t>
      </w:r>
      <w:r>
        <w:rPr>
          <w:rFonts w:hint="eastAsia" w:ascii="Arial" w:hAnsi="Arial" w:eastAsia="等线" w:cs="Arial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hint="eastAsia" w:ascii="Arial" w:hAnsi="Arial" w:eastAsia="等线" w:cs="Arial"/>
        </w:rPr>
        <w:t xml:space="preserve">             China</w:t>
      </w:r>
      <w:r>
        <w:rPr>
          <w:rFonts w:ascii="Arial" w:hAnsi="Arial" w:cs="Arial"/>
        </w:rPr>
        <w:t xml:space="preserve">, </w:t>
      </w:r>
      <w:r>
        <w:rPr>
          <w:rFonts w:hint="eastAsia" w:ascii="Arial" w:hAnsi="Arial" w:eastAsia="等线" w:cs="Arial"/>
        </w:rPr>
        <w:t>CN</w:t>
      </w:r>
    </w:p>
    <w:p w14:paraId="3B0076CB">
      <w:pPr>
        <w:rPr>
          <w:rFonts w:ascii="Arial" w:hAnsi="Arial" w:eastAsia="等线" w:cs="Arial"/>
        </w:rPr>
      </w:pPr>
    </w:p>
    <w:p w14:paraId="1BDA199F">
      <w:pPr>
        <w:rPr>
          <w:rFonts w:ascii="Arial" w:hAnsi="Arial" w:cs="Arial"/>
        </w:rPr>
      </w:pPr>
    </w:p>
    <w:p w14:paraId="1915B45E"/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Yu Mincho">
    <w:altName w:val="Yu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56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2B79888F"/>
    <w:multiLevelType w:val="singleLevel"/>
    <w:tmpl w:val="2B79888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F0273F7"/>
    <w:multiLevelType w:val="multilevel"/>
    <w:tmpl w:val="3F0273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CA2C26"/>
    <w:multiLevelType w:val="singleLevel"/>
    <w:tmpl w:val="41CA2C26"/>
    <w:lvl w:ilvl="0" w:tentative="0">
      <w:start w:val="1"/>
      <w:numFmt w:val="bullet"/>
      <w:pStyle w:val="54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4">
    <w:nsid w:val="549A69FD"/>
    <w:multiLevelType w:val="multilevel"/>
    <w:tmpl w:val="549A69FD"/>
    <w:lvl w:ilvl="0" w:tentative="0">
      <w:start w:val="5"/>
      <w:numFmt w:val="decimal"/>
      <w:pStyle w:val="55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>
    <w:nsid w:val="63690C9E"/>
    <w:multiLevelType w:val="singleLevel"/>
    <w:tmpl w:val="63690C9E"/>
    <w:lvl w:ilvl="0" w:tentative="0">
      <w:start w:val="1"/>
      <w:numFmt w:val="bullet"/>
      <w:pStyle w:val="53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linkStyles/>
  <w:attachedTemplate r:id="rId1"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MTQwOGI3MTFhYWQ3N2M1NWE0MWFjNGI3MmUzYTgifQ=="/>
  </w:docVars>
  <w:rsids>
    <w:rsidRoot w:val="004E3939"/>
    <w:rsid w:val="0000036E"/>
    <w:rsid w:val="000115C2"/>
    <w:rsid w:val="00017327"/>
    <w:rsid w:val="00017F23"/>
    <w:rsid w:val="00030579"/>
    <w:rsid w:val="00035ACA"/>
    <w:rsid w:val="0004223F"/>
    <w:rsid w:val="000462B0"/>
    <w:rsid w:val="000518DC"/>
    <w:rsid w:val="000751B7"/>
    <w:rsid w:val="000823AA"/>
    <w:rsid w:val="000E3233"/>
    <w:rsid w:val="000F2E12"/>
    <w:rsid w:val="000F36AE"/>
    <w:rsid w:val="000F4E65"/>
    <w:rsid w:val="000F6242"/>
    <w:rsid w:val="00102574"/>
    <w:rsid w:val="001062D1"/>
    <w:rsid w:val="00124F26"/>
    <w:rsid w:val="001353F5"/>
    <w:rsid w:val="00141B6D"/>
    <w:rsid w:val="0015057F"/>
    <w:rsid w:val="001533B0"/>
    <w:rsid w:val="001D22B0"/>
    <w:rsid w:val="00200B74"/>
    <w:rsid w:val="00201E23"/>
    <w:rsid w:val="002117A3"/>
    <w:rsid w:val="002134CE"/>
    <w:rsid w:val="0021584D"/>
    <w:rsid w:val="002537D2"/>
    <w:rsid w:val="0025760B"/>
    <w:rsid w:val="002659A1"/>
    <w:rsid w:val="002668F3"/>
    <w:rsid w:val="002C6840"/>
    <w:rsid w:val="002E2484"/>
    <w:rsid w:val="002E6C52"/>
    <w:rsid w:val="002F1940"/>
    <w:rsid w:val="002F2A05"/>
    <w:rsid w:val="003244D3"/>
    <w:rsid w:val="0033071B"/>
    <w:rsid w:val="00331924"/>
    <w:rsid w:val="00364EAD"/>
    <w:rsid w:val="00376DDF"/>
    <w:rsid w:val="003774DD"/>
    <w:rsid w:val="00383545"/>
    <w:rsid w:val="00390F47"/>
    <w:rsid w:val="003926B2"/>
    <w:rsid w:val="003A0BEF"/>
    <w:rsid w:val="003A12CD"/>
    <w:rsid w:val="003C35D8"/>
    <w:rsid w:val="003C3E82"/>
    <w:rsid w:val="003E4508"/>
    <w:rsid w:val="003E6193"/>
    <w:rsid w:val="003F4265"/>
    <w:rsid w:val="003F56BD"/>
    <w:rsid w:val="00412809"/>
    <w:rsid w:val="00424AD2"/>
    <w:rsid w:val="00433500"/>
    <w:rsid w:val="00433F71"/>
    <w:rsid w:val="00440D43"/>
    <w:rsid w:val="00442349"/>
    <w:rsid w:val="004462A1"/>
    <w:rsid w:val="00450D6F"/>
    <w:rsid w:val="004513A5"/>
    <w:rsid w:val="004A45A8"/>
    <w:rsid w:val="004C05C2"/>
    <w:rsid w:val="004C7971"/>
    <w:rsid w:val="004D5EE5"/>
    <w:rsid w:val="004E3939"/>
    <w:rsid w:val="004E77B6"/>
    <w:rsid w:val="004F0548"/>
    <w:rsid w:val="005053A9"/>
    <w:rsid w:val="00511D0F"/>
    <w:rsid w:val="0051337C"/>
    <w:rsid w:val="00531CCC"/>
    <w:rsid w:val="00561914"/>
    <w:rsid w:val="00563AD7"/>
    <w:rsid w:val="005D2F2C"/>
    <w:rsid w:val="005D7724"/>
    <w:rsid w:val="00606369"/>
    <w:rsid w:val="0064290F"/>
    <w:rsid w:val="00646DB5"/>
    <w:rsid w:val="00651478"/>
    <w:rsid w:val="006536AA"/>
    <w:rsid w:val="00667995"/>
    <w:rsid w:val="0067445A"/>
    <w:rsid w:val="00683119"/>
    <w:rsid w:val="00685F22"/>
    <w:rsid w:val="0068754F"/>
    <w:rsid w:val="00697314"/>
    <w:rsid w:val="006A036C"/>
    <w:rsid w:val="006B6265"/>
    <w:rsid w:val="006C296E"/>
    <w:rsid w:val="006E6615"/>
    <w:rsid w:val="006E669B"/>
    <w:rsid w:val="007058E9"/>
    <w:rsid w:val="007070C0"/>
    <w:rsid w:val="00724556"/>
    <w:rsid w:val="00726AA6"/>
    <w:rsid w:val="00731BED"/>
    <w:rsid w:val="00747989"/>
    <w:rsid w:val="007634E5"/>
    <w:rsid w:val="0076677D"/>
    <w:rsid w:val="0077479F"/>
    <w:rsid w:val="007765BF"/>
    <w:rsid w:val="00776774"/>
    <w:rsid w:val="00780500"/>
    <w:rsid w:val="007810C4"/>
    <w:rsid w:val="00783B2B"/>
    <w:rsid w:val="00797538"/>
    <w:rsid w:val="007A16FD"/>
    <w:rsid w:val="007A4C93"/>
    <w:rsid w:val="007A7330"/>
    <w:rsid w:val="007B10E8"/>
    <w:rsid w:val="007B4218"/>
    <w:rsid w:val="007C48D6"/>
    <w:rsid w:val="007C5ECF"/>
    <w:rsid w:val="007C6D0F"/>
    <w:rsid w:val="007D28C8"/>
    <w:rsid w:val="007D5C57"/>
    <w:rsid w:val="007E7043"/>
    <w:rsid w:val="007F4F92"/>
    <w:rsid w:val="00804805"/>
    <w:rsid w:val="00810170"/>
    <w:rsid w:val="0081535A"/>
    <w:rsid w:val="00822F83"/>
    <w:rsid w:val="008277B2"/>
    <w:rsid w:val="00840108"/>
    <w:rsid w:val="00840493"/>
    <w:rsid w:val="00840C8D"/>
    <w:rsid w:val="00850C80"/>
    <w:rsid w:val="00860C23"/>
    <w:rsid w:val="008733A7"/>
    <w:rsid w:val="008814D2"/>
    <w:rsid w:val="00896544"/>
    <w:rsid w:val="008A1AC3"/>
    <w:rsid w:val="008B2ABA"/>
    <w:rsid w:val="008D3BE4"/>
    <w:rsid w:val="008D772F"/>
    <w:rsid w:val="00941DB1"/>
    <w:rsid w:val="009470E8"/>
    <w:rsid w:val="00980940"/>
    <w:rsid w:val="0099764C"/>
    <w:rsid w:val="009A2792"/>
    <w:rsid w:val="009B6372"/>
    <w:rsid w:val="009E50AB"/>
    <w:rsid w:val="009F491F"/>
    <w:rsid w:val="00A12B85"/>
    <w:rsid w:val="00A255FA"/>
    <w:rsid w:val="00A35689"/>
    <w:rsid w:val="00A66F15"/>
    <w:rsid w:val="00A82CC9"/>
    <w:rsid w:val="00AA5256"/>
    <w:rsid w:val="00AB5D42"/>
    <w:rsid w:val="00AC201B"/>
    <w:rsid w:val="00AD20B3"/>
    <w:rsid w:val="00AE51C2"/>
    <w:rsid w:val="00B4324D"/>
    <w:rsid w:val="00B5791E"/>
    <w:rsid w:val="00B81FD7"/>
    <w:rsid w:val="00B84780"/>
    <w:rsid w:val="00B93030"/>
    <w:rsid w:val="00B97703"/>
    <w:rsid w:val="00BD4FB7"/>
    <w:rsid w:val="00BE5E46"/>
    <w:rsid w:val="00BF0942"/>
    <w:rsid w:val="00C01883"/>
    <w:rsid w:val="00C050FA"/>
    <w:rsid w:val="00C12F2B"/>
    <w:rsid w:val="00C163D5"/>
    <w:rsid w:val="00C22D7D"/>
    <w:rsid w:val="00C232AD"/>
    <w:rsid w:val="00C403FE"/>
    <w:rsid w:val="00C66D12"/>
    <w:rsid w:val="00C74808"/>
    <w:rsid w:val="00C76669"/>
    <w:rsid w:val="00C83763"/>
    <w:rsid w:val="00C95BE6"/>
    <w:rsid w:val="00CA1416"/>
    <w:rsid w:val="00CA185F"/>
    <w:rsid w:val="00CA62F4"/>
    <w:rsid w:val="00CD71A4"/>
    <w:rsid w:val="00CE5A36"/>
    <w:rsid w:val="00CF6087"/>
    <w:rsid w:val="00D218EB"/>
    <w:rsid w:val="00D45DEC"/>
    <w:rsid w:val="00D50787"/>
    <w:rsid w:val="00D50CB6"/>
    <w:rsid w:val="00D55649"/>
    <w:rsid w:val="00D71EFE"/>
    <w:rsid w:val="00D91588"/>
    <w:rsid w:val="00DC1258"/>
    <w:rsid w:val="00DD6B57"/>
    <w:rsid w:val="00DF16A6"/>
    <w:rsid w:val="00DF2EB7"/>
    <w:rsid w:val="00E0221E"/>
    <w:rsid w:val="00E05777"/>
    <w:rsid w:val="00E2146B"/>
    <w:rsid w:val="00E25E3C"/>
    <w:rsid w:val="00E3000A"/>
    <w:rsid w:val="00E3256C"/>
    <w:rsid w:val="00E94333"/>
    <w:rsid w:val="00E95399"/>
    <w:rsid w:val="00E96DD3"/>
    <w:rsid w:val="00E97EB6"/>
    <w:rsid w:val="00EA05FB"/>
    <w:rsid w:val="00EB3AC3"/>
    <w:rsid w:val="00EB6813"/>
    <w:rsid w:val="00EC45A5"/>
    <w:rsid w:val="00EC7A39"/>
    <w:rsid w:val="00ED08E4"/>
    <w:rsid w:val="00ED62E9"/>
    <w:rsid w:val="00EF5F14"/>
    <w:rsid w:val="00EF6BC3"/>
    <w:rsid w:val="00F0182D"/>
    <w:rsid w:val="00F059CD"/>
    <w:rsid w:val="00F32607"/>
    <w:rsid w:val="00F35FB8"/>
    <w:rsid w:val="00F37599"/>
    <w:rsid w:val="00F6624E"/>
    <w:rsid w:val="00F83A48"/>
    <w:rsid w:val="00F866B4"/>
    <w:rsid w:val="00F92D48"/>
    <w:rsid w:val="00F9533F"/>
    <w:rsid w:val="00FB7A6D"/>
    <w:rsid w:val="00FC3E5C"/>
    <w:rsid w:val="00FC49CF"/>
    <w:rsid w:val="00FF42A3"/>
    <w:rsid w:val="0C430B50"/>
    <w:rsid w:val="0D451690"/>
    <w:rsid w:val="16EB5103"/>
    <w:rsid w:val="18F8674C"/>
    <w:rsid w:val="1F657CD8"/>
    <w:rsid w:val="217806D7"/>
    <w:rsid w:val="24FD59A4"/>
    <w:rsid w:val="278B4A51"/>
    <w:rsid w:val="299130D8"/>
    <w:rsid w:val="50793CFC"/>
    <w:rsid w:val="56F3676A"/>
    <w:rsid w:val="5D9C2C23"/>
    <w:rsid w:val="663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unhideWhenUsed="0" w:uiPriority="0" w:name="List Bullet 5"/>
    <w:lsdException w:qFormat="1"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zh-CN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</w:style>
  <w:style w:type="paragraph" w:styleId="24">
    <w:name w:val="List Bullet 4"/>
    <w:basedOn w:val="25"/>
    <w:semiHidden/>
    <w:qFormat/>
    <w:uiPriority w:val="0"/>
    <w:pPr>
      <w:ind w:left="1418"/>
    </w:pPr>
  </w:style>
  <w:style w:type="paragraph" w:styleId="25">
    <w:name w:val="List Bullet 3"/>
    <w:basedOn w:val="26"/>
    <w:semiHidden/>
    <w:qFormat/>
    <w:uiPriority w:val="0"/>
    <w:pPr>
      <w:ind w:left="1135"/>
    </w:pPr>
  </w:style>
  <w:style w:type="paragraph" w:styleId="26">
    <w:name w:val="List Bullet 2"/>
    <w:basedOn w:val="27"/>
    <w:semiHidden/>
    <w:qFormat/>
    <w:uiPriority w:val="0"/>
    <w:pPr>
      <w:ind w:left="851"/>
    </w:pPr>
  </w:style>
  <w:style w:type="paragraph" w:styleId="27">
    <w:name w:val="List Bullet"/>
    <w:basedOn w:val="14"/>
    <w:semiHidden/>
    <w:qFormat/>
    <w:uiPriority w:val="0"/>
  </w:style>
  <w:style w:type="paragraph" w:styleId="28">
    <w:name w:val="annotation text"/>
    <w:basedOn w:val="1"/>
    <w:link w:val="98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29">
    <w:name w:val="Body Text"/>
    <w:basedOn w:val="1"/>
    <w:semiHidden/>
    <w:uiPriority w:val="0"/>
    <w:rPr>
      <w:rFonts w:ascii="Arial" w:hAnsi="Arial" w:cs="Arial"/>
      <w:color w:val="FF0000"/>
    </w:rPr>
  </w:style>
  <w:style w:type="paragraph" w:styleId="30">
    <w:name w:val="List Bullet 5"/>
    <w:basedOn w:val="24"/>
    <w:semiHidden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5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3">
    <w:name w:val="footer"/>
    <w:basedOn w:val="34"/>
    <w:semiHidden/>
    <w:qFormat/>
    <w:uiPriority w:val="0"/>
    <w:pPr>
      <w:jc w:val="center"/>
    </w:pPr>
    <w:rPr>
      <w:i/>
    </w:rPr>
  </w:style>
  <w:style w:type="paragraph" w:styleId="34">
    <w:name w:val="header"/>
    <w:link w:val="58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zh-CN" w:bidi="ar-SA"/>
    </w:rPr>
  </w:style>
  <w:style w:type="paragraph" w:styleId="35">
    <w:name w:val="footnote text"/>
    <w:basedOn w:val="1"/>
    <w:link w:val="62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semiHidden/>
    <w:qFormat/>
    <w:uiPriority w:val="0"/>
    <w:pPr>
      <w:ind w:left="1702"/>
    </w:pPr>
  </w:style>
  <w:style w:type="paragraph" w:styleId="37">
    <w:name w:val="List 4"/>
    <w:basedOn w:val="12"/>
    <w:semiHidden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8"/>
    <w:next w:val="28"/>
    <w:link w:val="99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43">
    <w:name w:val="Table Grid"/>
    <w:basedOn w:val="4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page number"/>
    <w:basedOn w:val="44"/>
    <w:semiHidden/>
    <w:qFormat/>
    <w:uiPriority w:val="0"/>
  </w:style>
  <w:style w:type="character" w:styleId="46">
    <w:name w:val="Hyperlink"/>
    <w:basedOn w:val="44"/>
    <w:unhideWhenUsed/>
    <w:qFormat/>
    <w:uiPriority w:val="99"/>
    <w:rPr>
      <w:color w:val="0000FF"/>
      <w:u w:val="single"/>
    </w:rPr>
  </w:style>
  <w:style w:type="character" w:styleId="47">
    <w:name w:val="annotation reference"/>
    <w:basedOn w:val="44"/>
    <w:semiHidden/>
    <w:uiPriority w:val="0"/>
    <w:rPr>
      <w:sz w:val="16"/>
    </w:rPr>
  </w:style>
  <w:style w:type="character" w:styleId="48">
    <w:name w:val="footnote reference"/>
    <w:basedOn w:val="44"/>
    <w:semiHidden/>
    <w:uiPriority w:val="0"/>
    <w:rPr>
      <w:b/>
      <w:position w:val="6"/>
      <w:sz w:val="16"/>
    </w:rPr>
  </w:style>
  <w:style w:type="paragraph" w:customStyle="1" w:styleId="49">
    <w:name w:val="B1"/>
    <w:basedOn w:val="14"/>
    <w:link w:val="93"/>
    <w:qFormat/>
    <w:uiPriority w:val="0"/>
  </w:style>
  <w:style w:type="paragraph" w:customStyle="1" w:styleId="5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51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52">
    <w:name w:val="??? 2"/>
    <w:basedOn w:val="51"/>
    <w:next w:val="51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53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54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55">
    <w:name w:val="done"/>
    <w:basedOn w:val="54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56">
    <w:name w:val="Not Done"/>
    <w:basedOn w:val="55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57">
    <w:name w:val="批注框文本 字符"/>
    <w:basedOn w:val="44"/>
    <w:link w:val="32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58">
    <w:name w:val="页眉 字符"/>
    <w:basedOn w:val="44"/>
    <w:link w:val="34"/>
    <w:qFormat/>
    <w:uiPriority w:val="0"/>
    <w:rPr>
      <w:rFonts w:ascii="Arial" w:hAnsi="Arial" w:eastAsia="Times New Roman"/>
      <w:b/>
      <w:sz w:val="18"/>
      <w:lang w:eastAsia="zh-CN"/>
    </w:rPr>
  </w:style>
  <w:style w:type="paragraph" w:customStyle="1" w:styleId="59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zh-CN" w:bidi="ar-SA"/>
    </w:rPr>
  </w:style>
  <w:style w:type="paragraph" w:customStyle="1" w:styleId="60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character" w:customStyle="1" w:styleId="62">
    <w:name w:val="脚注文本 字符"/>
    <w:basedOn w:val="44"/>
    <w:link w:val="35"/>
    <w:semiHidden/>
    <w:qFormat/>
    <w:uiPriority w:val="0"/>
    <w:rPr>
      <w:rFonts w:eastAsia="Times New Roman"/>
      <w:sz w:val="16"/>
      <w:lang w:eastAsia="zh-CN"/>
    </w:rPr>
  </w:style>
  <w:style w:type="paragraph" w:customStyle="1" w:styleId="63">
    <w:name w:val="TAH"/>
    <w:basedOn w:val="64"/>
    <w:qFormat/>
    <w:uiPriority w:val="0"/>
    <w:rPr>
      <w:b/>
    </w:rPr>
  </w:style>
  <w:style w:type="paragraph" w:customStyle="1" w:styleId="64">
    <w:name w:val="TAC"/>
    <w:basedOn w:val="65"/>
    <w:qFormat/>
    <w:uiPriority w:val="0"/>
    <w:pPr>
      <w:jc w:val="center"/>
    </w:pPr>
  </w:style>
  <w:style w:type="paragraph" w:customStyle="1" w:styleId="6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TF"/>
    <w:basedOn w:val="67"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qFormat/>
    <w:uiPriority w:val="0"/>
    <w:pPr>
      <w:keepLines/>
      <w:ind w:left="1135" w:hanging="851"/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FP"/>
    <w:basedOn w:val="1"/>
    <w:qFormat/>
    <w:uiPriority w:val="0"/>
    <w:pPr>
      <w:spacing w:after="0"/>
    </w:pPr>
  </w:style>
  <w:style w:type="paragraph" w:customStyle="1" w:styleId="71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zh-CN" w:bidi="ar-SA"/>
    </w:rPr>
  </w:style>
  <w:style w:type="paragraph" w:customStyle="1" w:styleId="72">
    <w:name w:val="NW"/>
    <w:basedOn w:val="68"/>
    <w:qFormat/>
    <w:uiPriority w:val="0"/>
    <w:pPr>
      <w:spacing w:after="0"/>
    </w:pPr>
  </w:style>
  <w:style w:type="paragraph" w:customStyle="1" w:styleId="73">
    <w:name w:val="EW"/>
    <w:basedOn w:val="69"/>
    <w:qFormat/>
    <w:uiPriority w:val="0"/>
    <w:pPr>
      <w:spacing w:after="0"/>
    </w:pPr>
  </w:style>
  <w:style w:type="paragraph" w:customStyle="1" w:styleId="7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6">
    <w:name w:val="PL"/>
    <w:link w:val="9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zh-CN" w:bidi="ar-SA"/>
    </w:rPr>
  </w:style>
  <w:style w:type="paragraph" w:customStyle="1" w:styleId="77">
    <w:name w:val="TAR"/>
    <w:basedOn w:val="65"/>
    <w:qFormat/>
    <w:uiPriority w:val="0"/>
    <w:pPr>
      <w:jc w:val="right"/>
    </w:pPr>
  </w:style>
  <w:style w:type="paragraph" w:customStyle="1" w:styleId="78">
    <w:name w:val="TAN"/>
    <w:basedOn w:val="65"/>
    <w:qFormat/>
    <w:uiPriority w:val="0"/>
    <w:pPr>
      <w:ind w:left="851" w:hanging="851"/>
    </w:p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zh-CN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zh-CN" w:bidi="ar-SA"/>
    </w:rPr>
  </w:style>
  <w:style w:type="paragraph" w:customStyle="1" w:styleId="8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zh-CN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83">
    <w:name w:val="ZV"/>
    <w:basedOn w:val="82"/>
    <w:qFormat/>
    <w:uiPriority w:val="0"/>
    <w:pPr>
      <w:framePr w:y="16161"/>
    </w:pPr>
  </w:style>
  <w:style w:type="character" w:customStyle="1" w:styleId="84">
    <w:name w:val="ZGSM"/>
    <w:qFormat/>
    <w:uiPriority w:val="0"/>
  </w:style>
  <w:style w:type="paragraph" w:customStyle="1" w:styleId="85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86">
    <w:name w:val="Editor's Note"/>
    <w:basedOn w:val="68"/>
    <w:qFormat/>
    <w:uiPriority w:val="0"/>
    <w:rPr>
      <w:color w:val="FF0000"/>
    </w:rPr>
  </w:style>
  <w:style w:type="paragraph" w:customStyle="1" w:styleId="87">
    <w:name w:val="B2"/>
    <w:basedOn w:val="13"/>
    <w:qFormat/>
    <w:uiPriority w:val="0"/>
  </w:style>
  <w:style w:type="paragraph" w:customStyle="1" w:styleId="88">
    <w:name w:val="B3"/>
    <w:basedOn w:val="12"/>
    <w:qFormat/>
    <w:uiPriority w:val="0"/>
  </w:style>
  <w:style w:type="paragraph" w:customStyle="1" w:styleId="89">
    <w:name w:val="B4"/>
    <w:basedOn w:val="37"/>
    <w:qFormat/>
    <w:uiPriority w:val="0"/>
  </w:style>
  <w:style w:type="paragraph" w:customStyle="1" w:styleId="90">
    <w:name w:val="B5"/>
    <w:basedOn w:val="36"/>
    <w:uiPriority w:val="0"/>
  </w:style>
  <w:style w:type="paragraph" w:customStyle="1" w:styleId="91">
    <w:name w:val="ZTD"/>
    <w:basedOn w:val="80"/>
    <w:qFormat/>
    <w:uiPriority w:val="0"/>
    <w:pPr>
      <w:framePr w:hRule="auto" w:y="852"/>
    </w:pPr>
    <w:rPr>
      <w:i w:val="0"/>
      <w:sz w:val="40"/>
    </w:rPr>
  </w:style>
  <w:style w:type="paragraph" w:customStyle="1" w:styleId="92">
    <w:name w:val="Contact"/>
    <w:basedOn w:val="5"/>
    <w:qFormat/>
    <w:uiPriority w:val="0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93">
    <w:name w:val="B1 Zchn"/>
    <w:link w:val="49"/>
    <w:qFormat/>
    <w:locked/>
    <w:uiPriority w:val="0"/>
    <w:rPr>
      <w:rFonts w:eastAsia="Times New Roman"/>
      <w:lang w:eastAsia="zh-CN"/>
    </w:rPr>
  </w:style>
  <w:style w:type="paragraph" w:customStyle="1" w:styleId="94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GB" w:bidi="ar-SA"/>
    </w:rPr>
  </w:style>
  <w:style w:type="paragraph" w:styleId="95">
    <w:name w:val="List Paragraph"/>
    <w:basedOn w:val="1"/>
    <w:link w:val="96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96">
    <w:name w:val="列表段落 字符"/>
    <w:link w:val="95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character" w:customStyle="1" w:styleId="97">
    <w:name w:val="PL Char"/>
    <w:link w:val="76"/>
    <w:qFormat/>
    <w:uiPriority w:val="0"/>
    <w:rPr>
      <w:rFonts w:ascii="Courier New" w:hAnsi="Courier New" w:eastAsia="Times New Roman"/>
      <w:sz w:val="16"/>
      <w:lang w:eastAsia="zh-CN"/>
    </w:rPr>
  </w:style>
  <w:style w:type="character" w:customStyle="1" w:styleId="98">
    <w:name w:val="批注文字 字符"/>
    <w:basedOn w:val="44"/>
    <w:link w:val="28"/>
    <w:semiHidden/>
    <w:qFormat/>
    <w:uiPriority w:val="0"/>
    <w:rPr>
      <w:rFonts w:ascii="Arial" w:hAnsi="Arial" w:eastAsia="Times New Roman"/>
      <w:lang w:val="en-GB"/>
    </w:rPr>
  </w:style>
  <w:style w:type="character" w:customStyle="1" w:styleId="99">
    <w:name w:val="批注主题 字符"/>
    <w:basedOn w:val="98"/>
    <w:link w:val="41"/>
    <w:semiHidden/>
    <w:qFormat/>
    <w:uiPriority w:val="99"/>
    <w:rPr>
      <w:rFonts w:ascii="Arial" w:hAnsi="Arial" w:eastAsia="Times New Roman"/>
      <w:b/>
      <w:bCs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C9FD-DF72-4CAE-9B9A-E1BA1150DF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 Sophia Antipolis</Company>
  <Pages>2</Pages>
  <Words>722</Words>
  <Characters>4108</Characters>
  <Lines>34</Lines>
  <Paragraphs>9</Paragraphs>
  <TotalTime>3</TotalTime>
  <ScaleCrop>false</ScaleCrop>
  <LinksUpToDate>false</LinksUpToDate>
  <CharactersWithSpaces>4912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2024-11-20T21:02:00Z</dcterms:created>
  <dc:creator>David Boswarthick</dc:creator>
  <cp:lastModifiedBy>王达</cp:lastModifiedBy>
  <cp:lastPrinted>2002-04-23T07:10:00Z</cp:lastPrinted>
  <dcterms:modified xsi:type="dcterms:W3CDTF">2024-11-21T12:46:48Z</dcterms:modified>
  <dc:title>LS template for N3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2052-12.1.0.18608</vt:lpwstr>
  </property>
  <property fmtid="{D5CDD505-2E9C-101B-9397-08002B2CF9AE}" pid="4" name="ICV">
    <vt:lpwstr>C8D6CA65787443FF8B581A5370834F7C_12</vt:lpwstr>
  </property>
</Properties>
</file>