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3EE237" w14:textId="32B8BDDD" w:rsidR="00813C6B" w:rsidRPr="00750F98" w:rsidRDefault="00813C6B" w:rsidP="00813C6B">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w:t>
      </w:r>
      <w:r w:rsidR="00E20FBB">
        <w:rPr>
          <w:rFonts w:eastAsia="Times New Roman" w:cs="Arial"/>
          <w:noProof w:val="0"/>
          <w:sz w:val="24"/>
          <w:szCs w:val="28"/>
          <w:lang w:eastAsia="x-none"/>
        </w:rPr>
        <w:t>28</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8346B6" w:rsidRPr="008346B6">
        <w:rPr>
          <w:rFonts w:eastAsia="Times New Roman" w:cs="Arial"/>
          <w:bCs/>
          <w:noProof w:val="0"/>
          <w:sz w:val="24"/>
          <w:szCs w:val="28"/>
          <w:lang w:val="en-US" w:eastAsia="x-none"/>
        </w:rPr>
        <w:t>R2-2410763</w:t>
      </w:r>
      <w:r w:rsidR="008346B6" w:rsidRPr="008346B6">
        <w:rPr>
          <w:rFonts w:eastAsia="Times New Roman" w:cs="Arial"/>
          <w:bCs/>
          <w:noProof w:val="0"/>
          <w:sz w:val="24"/>
          <w:szCs w:val="28"/>
          <w:lang w:val="en-US" w:eastAsia="x-none"/>
        </w:rPr>
        <w:t xml:space="preserve"> </w:t>
      </w:r>
      <w:r w:rsidR="00E20FBB">
        <w:rPr>
          <w:rFonts w:cs="Arial"/>
          <w:bCs/>
          <w:sz w:val="24"/>
          <w:szCs w:val="28"/>
          <w:lang w:val="en-US" w:eastAsia="x-none"/>
        </w:rPr>
        <w:t>Orlando, USA</w:t>
      </w:r>
      <w:r w:rsidRPr="00E43A7B">
        <w:rPr>
          <w:rFonts w:cs="Arial"/>
          <w:bCs/>
          <w:sz w:val="24"/>
          <w:szCs w:val="28"/>
          <w:lang w:val="en-US" w:eastAsia="x-none"/>
        </w:rPr>
        <w:t xml:space="preserve">, </w:t>
      </w:r>
      <w:r w:rsidR="00E20FBB">
        <w:rPr>
          <w:rFonts w:cs="Arial"/>
          <w:bCs/>
          <w:sz w:val="24"/>
          <w:szCs w:val="28"/>
          <w:lang w:val="en-US" w:eastAsia="x-none"/>
        </w:rPr>
        <w:t>Nov</w:t>
      </w:r>
      <w:r>
        <w:rPr>
          <w:rFonts w:cs="Arial"/>
          <w:bCs/>
          <w:sz w:val="24"/>
          <w:szCs w:val="28"/>
          <w:lang w:val="en-US" w:eastAsia="x-none"/>
        </w:rPr>
        <w:t xml:space="preserve"> </w:t>
      </w:r>
      <w:r w:rsidR="00E20FBB">
        <w:rPr>
          <w:rFonts w:cs="Arial"/>
          <w:bCs/>
          <w:sz w:val="24"/>
          <w:szCs w:val="28"/>
          <w:lang w:val="en-US" w:eastAsia="x-none"/>
        </w:rPr>
        <w:t>12-22</w:t>
      </w:r>
      <w:r w:rsidRPr="00E43A7B">
        <w:rPr>
          <w:rFonts w:cs="Arial" w:hint="eastAsia"/>
          <w:bCs/>
          <w:sz w:val="24"/>
          <w:szCs w:val="28"/>
          <w:lang w:val="en-US" w:eastAsia="x-none"/>
        </w:rPr>
        <w:t>,</w:t>
      </w:r>
      <w:r w:rsidRPr="00E43A7B">
        <w:rPr>
          <w:rFonts w:cs="Arial"/>
          <w:bCs/>
          <w:sz w:val="24"/>
          <w:szCs w:val="28"/>
          <w:lang w:val="en-US" w:eastAsia="x-none"/>
        </w:rPr>
        <w:t xml:space="preserve"> </w:t>
      </w:r>
      <w:r w:rsidRPr="00E43A7B">
        <w:rPr>
          <w:rFonts w:cs="Arial" w:hint="eastAsia"/>
          <w:bCs/>
          <w:sz w:val="24"/>
          <w:szCs w:val="28"/>
          <w:lang w:val="en-US" w:eastAsia="x-none"/>
        </w:rPr>
        <w:t>202</w:t>
      </w:r>
      <w:r>
        <w:rPr>
          <w:rFonts w:cs="Arial"/>
          <w:bCs/>
          <w:sz w:val="24"/>
          <w:szCs w:val="28"/>
          <w:lang w:val="en-US" w:eastAsia="x-none"/>
        </w:rPr>
        <w:t>4</w:t>
      </w:r>
      <w:r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70F5B99B"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B77B09" w:rsidRPr="00886B4C">
        <w:rPr>
          <w:rFonts w:ascii="Arial" w:hAnsi="Arial" w:cs="Arial"/>
          <w:szCs w:val="24"/>
        </w:rPr>
        <w:t>8.6.2</w:t>
      </w:r>
    </w:p>
    <w:p w14:paraId="79D236BA" w14:textId="55666961"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 xml:space="preserve">Rakuten </w:t>
      </w:r>
    </w:p>
    <w:p w14:paraId="2D698DC6" w14:textId="3111BEFA"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885908" w:rsidRPr="00885908">
        <w:rPr>
          <w:b/>
          <w:sz w:val="24"/>
        </w:rPr>
        <w:t>LTM in DC scenarios</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2B2C87D3"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w:t>
      </w:r>
      <w:r w:rsidR="00B77B09">
        <w:rPr>
          <w:rFonts w:ascii="Arial" w:hAnsi="Arial" w:cs="Arial"/>
          <w:szCs w:val="24"/>
        </w:rPr>
        <w:t>,</w:t>
      </w:r>
      <w:r w:rsidRPr="00575E71">
        <w:rPr>
          <w:rFonts w:ascii="Arial" w:hAnsi="Arial" w:cs="Arial"/>
          <w:szCs w:val="24"/>
        </w:rPr>
        <w:t xml:space="preserve"> </w:t>
      </w:r>
      <w:r w:rsidR="00B77B09">
        <w:rPr>
          <w:rFonts w:ascii="Arial" w:hAnsi="Arial" w:cs="Arial"/>
          <w:szCs w:val="24"/>
        </w:rPr>
        <w:t>D</w:t>
      </w:r>
      <w:r w:rsidR="00D649AC">
        <w:rPr>
          <w:rFonts w:ascii="Arial" w:hAnsi="Arial" w:cs="Arial"/>
          <w:szCs w:val="24"/>
        </w:rPr>
        <w:t>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2B9BADAF" w14:textId="29ADD984" w:rsidR="00B77B09" w:rsidRPr="003B1AE6" w:rsidRDefault="00B77B09" w:rsidP="00B77B09">
      <w:pPr>
        <w:pStyle w:val="BodyText"/>
        <w:rPr>
          <w:lang w:val="en-US"/>
        </w:rPr>
      </w:pPr>
      <w:r w:rsidRPr="003B1AE6">
        <w:rPr>
          <w:lang w:val="en-US"/>
        </w:rPr>
        <w:t xml:space="preserve">In the WID </w:t>
      </w:r>
      <w:r w:rsidRPr="003B1AE6">
        <w:rPr>
          <w:lang w:val="en-US"/>
        </w:rPr>
        <w:fldChar w:fldCharType="begin"/>
      </w:r>
      <w:r w:rsidRPr="003B1AE6">
        <w:rPr>
          <w:lang w:val="en-US"/>
        </w:rPr>
        <w:instrText xml:space="preserve"> REF _Ref162005699 \r \h  \* MERGEFORMAT </w:instrText>
      </w:r>
      <w:r w:rsidRPr="003B1AE6">
        <w:rPr>
          <w:lang w:val="en-US"/>
        </w:rPr>
      </w:r>
      <w:r w:rsidRPr="003B1AE6">
        <w:rPr>
          <w:lang w:val="en-US"/>
        </w:rPr>
        <w:fldChar w:fldCharType="separate"/>
      </w:r>
      <w:r w:rsidR="00781102">
        <w:rPr>
          <w:lang w:val="en-US"/>
        </w:rPr>
        <w:t>[1]</w:t>
      </w:r>
      <w:r w:rsidRPr="003B1AE6">
        <w:rPr>
          <w:lang w:val="en-US"/>
        </w:rPr>
        <w:fldChar w:fldCharType="end"/>
      </w:r>
      <w:r w:rsidRPr="003B1AE6">
        <w:rPr>
          <w:lang w:val="en-US"/>
        </w:rPr>
        <w:t>, the following objective is defined for inter-CU LTM:</w:t>
      </w:r>
    </w:p>
    <w:tbl>
      <w:tblPr>
        <w:tblStyle w:val="TableGrid"/>
        <w:tblW w:w="0" w:type="auto"/>
        <w:tblLook w:val="04A0" w:firstRow="1" w:lastRow="0" w:firstColumn="1" w:lastColumn="0" w:noHBand="0" w:noVBand="1"/>
      </w:tblPr>
      <w:tblGrid>
        <w:gridCol w:w="9629"/>
      </w:tblGrid>
      <w:tr w:rsidR="00B77B09" w:rsidRPr="003B1AE6" w14:paraId="508F77CF" w14:textId="77777777" w:rsidTr="005846FF">
        <w:tc>
          <w:tcPr>
            <w:tcW w:w="9629" w:type="dxa"/>
          </w:tcPr>
          <w:p w14:paraId="0E62CCA6" w14:textId="77777777" w:rsidR="00B77B09" w:rsidRPr="003B1AE6" w:rsidRDefault="00B77B09" w:rsidP="00B77B09">
            <w:pPr>
              <w:numPr>
                <w:ilvl w:val="0"/>
                <w:numId w:val="19"/>
              </w:numPr>
              <w:overflowPunct w:val="0"/>
              <w:autoSpaceDE w:val="0"/>
              <w:autoSpaceDN w:val="0"/>
              <w:adjustRightInd w:val="0"/>
              <w:spacing w:after="0"/>
              <w:textAlignment w:val="baseline"/>
              <w:rPr>
                <w:bCs/>
                <w:sz w:val="20"/>
                <w:szCs w:val="20"/>
              </w:rPr>
            </w:pPr>
            <w:r w:rsidRPr="003B1AE6">
              <w:rPr>
                <w:bCs/>
                <w:sz w:val="20"/>
                <w:szCs w:val="20"/>
              </w:rPr>
              <w:t>Specify support for inter-CU Layer1/Layer 2 Triggered Mobility (LTM) [RAN2, RAN3]</w:t>
            </w:r>
          </w:p>
          <w:p w14:paraId="7F51A703" w14:textId="77777777" w:rsidR="00B77B09" w:rsidRPr="00024CF7" w:rsidRDefault="00B77B09" w:rsidP="00B77B09">
            <w:pPr>
              <w:numPr>
                <w:ilvl w:val="1"/>
                <w:numId w:val="19"/>
              </w:numPr>
              <w:overflowPunct w:val="0"/>
              <w:autoSpaceDE w:val="0"/>
              <w:autoSpaceDN w:val="0"/>
              <w:adjustRightInd w:val="0"/>
              <w:spacing w:after="0"/>
              <w:textAlignment w:val="baseline"/>
              <w:rPr>
                <w:bCs/>
                <w:sz w:val="20"/>
                <w:szCs w:val="20"/>
                <w:highlight w:val="yellow"/>
              </w:rPr>
            </w:pPr>
            <w:r w:rsidRPr="00885908">
              <w:rPr>
                <w:bCs/>
                <w:sz w:val="20"/>
                <w:szCs w:val="20"/>
              </w:rPr>
              <w:t>Prioritize the case when CU is acting as MN when DC is not configured</w:t>
            </w:r>
          </w:p>
          <w:p w14:paraId="7A810C75"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3B1AE6">
              <w:rPr>
                <w:bCs/>
                <w:sz w:val="20"/>
                <w:szCs w:val="20"/>
              </w:rPr>
              <w:t xml:space="preserve">As secondary priority, support the case when NR-DC is </w:t>
            </w:r>
            <w:proofErr w:type="gramStart"/>
            <w:r w:rsidRPr="003B1AE6">
              <w:rPr>
                <w:bCs/>
                <w:sz w:val="20"/>
                <w:szCs w:val="20"/>
              </w:rPr>
              <w:t>configured</w:t>
            </w:r>
            <w:proofErr w:type="gramEnd"/>
            <w:r w:rsidRPr="003B1AE6">
              <w:rPr>
                <w:bCs/>
                <w:sz w:val="20"/>
                <w:szCs w:val="20"/>
              </w:rPr>
              <w:t xml:space="preserve"> and CU is acting as SN and MCG is unchanged</w:t>
            </w:r>
          </w:p>
          <w:p w14:paraId="43C7D3C6" w14:textId="77777777" w:rsidR="00B77B09" w:rsidRPr="00885908" w:rsidRDefault="00B77B09" w:rsidP="00B77B09">
            <w:pPr>
              <w:numPr>
                <w:ilvl w:val="1"/>
                <w:numId w:val="19"/>
              </w:numPr>
              <w:overflowPunct w:val="0"/>
              <w:autoSpaceDE w:val="0"/>
              <w:autoSpaceDN w:val="0"/>
              <w:adjustRightInd w:val="0"/>
              <w:spacing w:after="0"/>
              <w:textAlignment w:val="baseline"/>
              <w:rPr>
                <w:bCs/>
                <w:sz w:val="20"/>
                <w:szCs w:val="20"/>
                <w:highlight w:val="yellow"/>
              </w:rPr>
            </w:pPr>
            <w:r w:rsidRPr="00885908">
              <w:rPr>
                <w:bCs/>
                <w:sz w:val="20"/>
                <w:szCs w:val="20"/>
                <w:highlight w:val="yellow"/>
              </w:rPr>
              <w:t>As secondary priority, support the case when NR-DC is configured, CU is acting as MN and SCG is unchanged or SCG is released</w:t>
            </w:r>
          </w:p>
          <w:p w14:paraId="641422BA" w14:textId="77777777" w:rsidR="00B77B09" w:rsidRPr="000C3255" w:rsidRDefault="00B77B09" w:rsidP="00B77B09">
            <w:pPr>
              <w:numPr>
                <w:ilvl w:val="2"/>
                <w:numId w:val="19"/>
              </w:numPr>
              <w:overflowPunct w:val="0"/>
              <w:autoSpaceDE w:val="0"/>
              <w:autoSpaceDN w:val="0"/>
              <w:adjustRightInd w:val="0"/>
              <w:spacing w:after="0"/>
              <w:textAlignment w:val="baseline"/>
              <w:rPr>
                <w:bCs/>
                <w:sz w:val="20"/>
                <w:szCs w:val="20"/>
              </w:rPr>
            </w:pPr>
            <w:r w:rsidRPr="00024CF7">
              <w:rPr>
                <w:highlight w:val="yellow"/>
              </w:rPr>
              <w:t>Note: The case that LTM is configured in both MCG and SCG is excluded</w:t>
            </w:r>
            <w:r w:rsidRPr="000C3255">
              <w:rPr>
                <w:bCs/>
                <w:sz w:val="20"/>
                <w:szCs w:val="20"/>
              </w:rPr>
              <w:t xml:space="preserve"> </w:t>
            </w:r>
          </w:p>
          <w:p w14:paraId="73852491"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3B1AE6">
              <w:rPr>
                <w:bCs/>
                <w:sz w:val="20"/>
                <w:szCs w:val="20"/>
              </w:rPr>
              <w:t>Specify support for subsequent LTM mobility procedures aiming to avoid RRC configuration between cell switches as per Rel-18 LTM</w:t>
            </w:r>
          </w:p>
          <w:p w14:paraId="55D8B733" w14:textId="77777777" w:rsidR="00B77B09" w:rsidRPr="003B1AE6" w:rsidRDefault="00B77B09" w:rsidP="00B77B09">
            <w:pPr>
              <w:numPr>
                <w:ilvl w:val="2"/>
                <w:numId w:val="19"/>
              </w:numPr>
              <w:overflowPunct w:val="0"/>
              <w:autoSpaceDE w:val="0"/>
              <w:autoSpaceDN w:val="0"/>
              <w:adjustRightInd w:val="0"/>
              <w:spacing w:after="0"/>
              <w:textAlignment w:val="baseline"/>
              <w:rPr>
                <w:bCs/>
                <w:sz w:val="20"/>
                <w:szCs w:val="20"/>
              </w:rPr>
            </w:pPr>
            <w:r w:rsidRPr="003B1AE6">
              <w:rPr>
                <w:bCs/>
                <w:sz w:val="20"/>
                <w:szCs w:val="20"/>
              </w:rPr>
              <w:t xml:space="preserve">Coordination with SA3 needed with respect to security key handling </w:t>
            </w:r>
          </w:p>
          <w:p w14:paraId="75F90859"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7E3F53">
              <w:rPr>
                <w:bCs/>
                <w:sz w:val="20"/>
                <w:szCs w:val="20"/>
                <w:highlight w:val="yellow"/>
              </w:rPr>
              <w:t>Note: Rel. 18 intra-CU LTM procedure is considered as baseline for adding inter-CU support</w:t>
            </w:r>
          </w:p>
          <w:p w14:paraId="6DC242F4" w14:textId="77777777" w:rsidR="00B77B09" w:rsidRPr="003B1AE6" w:rsidRDefault="00B77B09" w:rsidP="005846FF">
            <w:pPr>
              <w:pStyle w:val="BodyText"/>
              <w:rPr>
                <w:lang w:val="en-US"/>
              </w:rPr>
            </w:pPr>
          </w:p>
        </w:tc>
      </w:tr>
    </w:tbl>
    <w:p w14:paraId="2AF43311" w14:textId="77777777" w:rsidR="00B77B09" w:rsidRPr="003B1AE6" w:rsidRDefault="00B77B09" w:rsidP="00B77B09">
      <w:pPr>
        <w:pStyle w:val="BodyText"/>
        <w:rPr>
          <w:lang w:val="en-US"/>
        </w:rPr>
      </w:pPr>
    </w:p>
    <w:p w14:paraId="7557D81B" w14:textId="0FDD084D" w:rsidR="00B77B09" w:rsidRDefault="00B77B09" w:rsidP="00B77B09">
      <w:pPr>
        <w:pStyle w:val="BodyText"/>
        <w:rPr>
          <w:lang w:val="en-US"/>
        </w:rPr>
      </w:pPr>
      <w:r>
        <w:rPr>
          <w:lang w:val="en-US"/>
        </w:rPr>
        <w:t xml:space="preserve">The WID objective </w:t>
      </w:r>
      <w:r w:rsidR="00885908">
        <w:rPr>
          <w:lang w:val="en-US"/>
        </w:rPr>
        <w:t>includes configuring LTM for UEs in Dual Connectivity</w:t>
      </w:r>
      <w:r>
        <w:rPr>
          <w:lang w:val="en-US"/>
        </w:rPr>
        <w:t xml:space="preserve">. </w:t>
      </w:r>
    </w:p>
    <w:p w14:paraId="460A8835" w14:textId="4DBCC1BB" w:rsidR="00B77B09" w:rsidRPr="003B1AE6" w:rsidRDefault="00B77B09" w:rsidP="00B77B09">
      <w:pPr>
        <w:pStyle w:val="BodyText"/>
        <w:rPr>
          <w:lang w:val="en-US"/>
        </w:rPr>
      </w:pPr>
      <w:r w:rsidRPr="003B1AE6">
        <w:rPr>
          <w:lang w:val="en-US"/>
        </w:rPr>
        <w:t xml:space="preserve">In this contribution, we </w:t>
      </w:r>
      <w:r w:rsidR="00304301">
        <w:rPr>
          <w:lang w:val="en-US"/>
        </w:rPr>
        <w:t xml:space="preserve">describe </w:t>
      </w:r>
      <w:r w:rsidR="00885908">
        <w:rPr>
          <w:lang w:val="en-US"/>
        </w:rPr>
        <w:t xml:space="preserve">LTM failure in a DC setup and </w:t>
      </w:r>
      <w:r w:rsidR="00EE1135">
        <w:rPr>
          <w:lang w:val="en-US"/>
        </w:rPr>
        <w:t xml:space="preserve">discuss </w:t>
      </w:r>
      <w:r w:rsidR="00885908">
        <w:rPr>
          <w:lang w:val="en-US"/>
        </w:rPr>
        <w:t xml:space="preserve">a </w:t>
      </w:r>
      <w:r w:rsidR="008C3093">
        <w:rPr>
          <w:lang w:val="en-US"/>
        </w:rPr>
        <w:t>reliable</w:t>
      </w:r>
      <w:r w:rsidR="006E3D52">
        <w:rPr>
          <w:lang w:val="en-US"/>
        </w:rPr>
        <w:t xml:space="preserve"> and</w:t>
      </w:r>
      <w:r w:rsidR="00885908">
        <w:rPr>
          <w:lang w:val="en-US"/>
        </w:rPr>
        <w:t xml:space="preserve"> fast mechanism to recover from LTM failure</w:t>
      </w:r>
      <w:r>
        <w:rPr>
          <w:lang w:val="en-US"/>
        </w:rPr>
        <w:t>.</w:t>
      </w:r>
    </w:p>
    <w:p w14:paraId="374B2051" w14:textId="19CEBFAA" w:rsidR="00122E0D" w:rsidRPr="00081054" w:rsidRDefault="001237B5" w:rsidP="00081054">
      <w:pPr>
        <w:spacing w:before="120" w:after="120"/>
        <w:jc w:val="both"/>
        <w:rPr>
          <w:rFonts w:ascii="Arial" w:hAnsi="Arial" w:cs="Arial"/>
          <w:sz w:val="20"/>
          <w:szCs w:val="20"/>
          <w:lang w:val="en-GB"/>
        </w:rPr>
      </w:pPr>
      <w:r>
        <w:rPr>
          <w:rFonts w:ascii="Arial" w:hAnsi="Arial" w:cs="Arial"/>
          <w:sz w:val="20"/>
          <w:szCs w:val="20"/>
          <w:lang w:val="en-GB"/>
        </w:rPr>
        <w:br/>
      </w:r>
    </w:p>
    <w:p w14:paraId="121DDBEF" w14:textId="7A1215CE" w:rsidR="00240313" w:rsidRPr="00BB31FF" w:rsidRDefault="00CF75E9" w:rsidP="00BB31FF">
      <w:pPr>
        <w:pStyle w:val="Heading1"/>
        <w:overflowPunct w:val="0"/>
        <w:autoSpaceDE w:val="0"/>
        <w:autoSpaceDN w:val="0"/>
        <w:adjustRightInd w:val="0"/>
        <w:spacing w:before="0" w:after="120"/>
        <w:rPr>
          <w:rFonts w:eastAsia="PMingLiU" w:cs="Arial"/>
        </w:rPr>
      </w:pPr>
      <w:r w:rsidRPr="00575E71">
        <w:rPr>
          <w:rFonts w:eastAsia="PMingLiU" w:cs="Arial"/>
        </w:rPr>
        <w:t>Discussion</w:t>
      </w:r>
      <w:r w:rsidR="00C218D0" w:rsidRPr="00BB31FF">
        <w:rPr>
          <w:rFonts w:cs="Arial"/>
          <w:sz w:val="20"/>
        </w:rPr>
        <w:t xml:space="preserve"> </w:t>
      </w:r>
      <w:r w:rsidR="00AB2DB2" w:rsidRPr="00BB31FF">
        <w:rPr>
          <w:rFonts w:cs="Arial"/>
        </w:rPr>
        <w:t xml:space="preserve"> </w:t>
      </w:r>
    </w:p>
    <w:p w14:paraId="2C17F1A9" w14:textId="0BA2B71B" w:rsidR="00050B6E" w:rsidRDefault="00050B6E" w:rsidP="00050B6E">
      <w:pPr>
        <w:pStyle w:val="Heading2"/>
        <w:rPr>
          <w:rFonts w:cs="Arial"/>
        </w:rPr>
      </w:pPr>
      <w:r>
        <w:rPr>
          <w:rFonts w:cs="Arial"/>
        </w:rPr>
        <w:t>Simultaneous LTM in MN and SN</w:t>
      </w:r>
    </w:p>
    <w:p w14:paraId="06AED9B6" w14:textId="77777777" w:rsidR="001400D5" w:rsidRDefault="001400D5" w:rsidP="001400D5">
      <w:pPr>
        <w:rPr>
          <w:lang w:val="en-GB" w:eastAsia="en-US"/>
        </w:rPr>
      </w:pPr>
    </w:p>
    <w:p w14:paraId="5494EE9E" w14:textId="378EF0A0" w:rsidR="001400D5" w:rsidRDefault="001400D5" w:rsidP="001400D5">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inter-CU LTM: (R2#126)</w:t>
      </w:r>
    </w:p>
    <w:p w14:paraId="70930627" w14:textId="77777777" w:rsidR="001400D5" w:rsidRPr="001B5695" w:rsidRDefault="001400D5" w:rsidP="001400D5">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Clarification of DC</w:t>
      </w:r>
    </w:p>
    <w:p w14:paraId="535FEF71" w14:textId="77777777" w:rsidR="001400D5" w:rsidRPr="002235EE" w:rsidRDefault="001400D5" w:rsidP="001400D5">
      <w:pPr>
        <w:pStyle w:val="Doc-text2"/>
        <w:numPr>
          <w:ilvl w:val="0"/>
          <w:numId w:val="29"/>
        </w:numPr>
        <w:pBdr>
          <w:top w:val="single" w:sz="4" w:space="1" w:color="auto"/>
          <w:left w:val="single" w:sz="4" w:space="4" w:color="auto"/>
          <w:bottom w:val="single" w:sz="4" w:space="1" w:color="auto"/>
          <w:right w:val="single" w:sz="4" w:space="4" w:color="auto"/>
        </w:pBdr>
        <w:rPr>
          <w:lang w:val="en-US"/>
        </w:rPr>
      </w:pPr>
      <w:r w:rsidRPr="007365B4">
        <w:t>An LTM configuration with inter-CU LTM candidate cells can be configured either by the MCG or SCG (but not for both simultaneously) and it is up to the network to handle this (further details up to RAN3, if any).</w:t>
      </w:r>
      <w:r>
        <w:t xml:space="preserve"> No restriction for intra-CU LTM candidate cells.</w:t>
      </w:r>
    </w:p>
    <w:p w14:paraId="226D424B" w14:textId="77777777" w:rsidR="001400D5" w:rsidRPr="001400D5" w:rsidRDefault="001400D5" w:rsidP="001400D5">
      <w:pPr>
        <w:rPr>
          <w:lang w:val="en-GB" w:eastAsia="en-US"/>
        </w:rPr>
      </w:pPr>
    </w:p>
    <w:p w14:paraId="3AB704EE" w14:textId="07CCE8AF" w:rsidR="00050B6E" w:rsidRDefault="00050B6E" w:rsidP="00050B6E">
      <w:pPr>
        <w:rPr>
          <w:lang w:val="en-GB" w:eastAsia="en-US"/>
        </w:rPr>
      </w:pPr>
      <w:r w:rsidRPr="00050B6E">
        <w:rPr>
          <w:noProof/>
          <w:lang w:eastAsia="en-US"/>
        </w:rPr>
        <w:lastRenderedPageBreak/>
        <w:drawing>
          <wp:inline distT="0" distB="0" distL="0" distR="0" wp14:anchorId="5B073473" wp14:editId="5C867144">
            <wp:extent cx="4538133" cy="3204042"/>
            <wp:effectExtent l="0" t="0" r="0" b="0"/>
            <wp:docPr id="20538852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885237" name=""/>
                    <pic:cNvPicPr/>
                  </pic:nvPicPr>
                  <pic:blipFill>
                    <a:blip r:embed="rId11"/>
                    <a:stretch>
                      <a:fillRect/>
                    </a:stretch>
                  </pic:blipFill>
                  <pic:spPr>
                    <a:xfrm>
                      <a:off x="0" y="0"/>
                      <a:ext cx="4556629" cy="3217101"/>
                    </a:xfrm>
                    <a:prstGeom prst="rect">
                      <a:avLst/>
                    </a:prstGeom>
                  </pic:spPr>
                </pic:pic>
              </a:graphicData>
            </a:graphic>
          </wp:inline>
        </w:drawing>
      </w:r>
    </w:p>
    <w:p w14:paraId="17C67554" w14:textId="6BE7B25E" w:rsidR="00050B6E" w:rsidRDefault="00050B6E" w:rsidP="00050B6E">
      <w:pPr>
        <w:jc w:val="center"/>
        <w:rPr>
          <w:lang w:val="en-GB" w:eastAsia="en-US"/>
        </w:rPr>
      </w:pPr>
      <w:r>
        <w:rPr>
          <w:bCs/>
        </w:rPr>
        <w:t>Figure 1: Simultaneous LTM in MN and SN</w:t>
      </w:r>
    </w:p>
    <w:p w14:paraId="583BB92E" w14:textId="77777777" w:rsidR="00050B6E" w:rsidRDefault="00050B6E" w:rsidP="00050B6E">
      <w:pPr>
        <w:rPr>
          <w:lang w:val="en-GB" w:eastAsia="en-US"/>
        </w:rPr>
      </w:pPr>
    </w:p>
    <w:p w14:paraId="0BA18FDE" w14:textId="109250BB" w:rsidR="00050B6E" w:rsidRDefault="0089157A" w:rsidP="00050B6E">
      <w:pPr>
        <w:rPr>
          <w:lang w:val="en-GB" w:eastAsia="en-US"/>
        </w:rPr>
      </w:pPr>
      <w:r>
        <w:rPr>
          <w:lang w:val="en-GB" w:eastAsia="en-US"/>
        </w:rPr>
        <w:t xml:space="preserve">It was agreed in Rel18 that intra-CU LTM can be configured at both MN and SN simultaneously without needing any further co-ordination. </w:t>
      </w:r>
      <w:r w:rsidR="001400D5">
        <w:rPr>
          <w:lang w:val="en-GB" w:eastAsia="en-US"/>
        </w:rPr>
        <w:t xml:space="preserve">Subsequently, in R2#126, it was agreed that there is no restriction on intra-CU LTM configuration at MN and SN simultaneously. </w:t>
      </w:r>
      <w:r>
        <w:rPr>
          <w:lang w:val="en-GB" w:eastAsia="en-US"/>
        </w:rPr>
        <w:t xml:space="preserve">In intra-CU LTM, change of security keys was not permitted. From [4], it entails that intra </w:t>
      </w:r>
      <w:proofErr w:type="spellStart"/>
      <w:r>
        <w:rPr>
          <w:lang w:val="en-GB" w:eastAsia="en-US"/>
        </w:rPr>
        <w:t>gNB</w:t>
      </w:r>
      <w:proofErr w:type="spellEnd"/>
      <w:r>
        <w:rPr>
          <w:lang w:val="en-GB" w:eastAsia="en-US"/>
        </w:rPr>
        <w:t xml:space="preserve"> inter </w:t>
      </w:r>
      <w:proofErr w:type="spellStart"/>
      <w:r>
        <w:rPr>
          <w:lang w:val="en-GB" w:eastAsia="en-US"/>
        </w:rPr>
        <w:t>gNB</w:t>
      </w:r>
      <w:proofErr w:type="spellEnd"/>
      <w:r>
        <w:rPr>
          <w:lang w:val="en-GB" w:eastAsia="en-US"/>
        </w:rPr>
        <w:t xml:space="preserve">-CU-UP relocation is another use-case where security key change </w:t>
      </w:r>
      <w:proofErr w:type="gramStart"/>
      <w:r>
        <w:rPr>
          <w:lang w:val="en-GB" w:eastAsia="en-US"/>
        </w:rPr>
        <w:t>has to</w:t>
      </w:r>
      <w:proofErr w:type="gramEnd"/>
      <w:r>
        <w:rPr>
          <w:lang w:val="en-GB" w:eastAsia="en-US"/>
        </w:rPr>
        <w:t xml:space="preserve"> be supported inside the same </w:t>
      </w:r>
      <w:proofErr w:type="spellStart"/>
      <w:r>
        <w:rPr>
          <w:lang w:val="en-GB" w:eastAsia="en-US"/>
        </w:rPr>
        <w:t>gNB</w:t>
      </w:r>
      <w:proofErr w:type="spellEnd"/>
      <w:r>
        <w:rPr>
          <w:lang w:val="en-GB" w:eastAsia="en-US"/>
        </w:rPr>
        <w:t>.</w:t>
      </w:r>
    </w:p>
    <w:p w14:paraId="07A3F2D1" w14:textId="77777777" w:rsidR="0089157A" w:rsidRDefault="0089157A" w:rsidP="00050B6E">
      <w:pPr>
        <w:rPr>
          <w:lang w:val="en-GB" w:eastAsia="en-US"/>
        </w:rPr>
      </w:pPr>
    </w:p>
    <w:p w14:paraId="17D3EFC5" w14:textId="448834C1" w:rsidR="0089157A" w:rsidRDefault="0089157A" w:rsidP="00050B6E">
      <w:pPr>
        <w:rPr>
          <w:lang w:val="en-GB" w:eastAsia="en-US"/>
        </w:rPr>
      </w:pPr>
      <w:r>
        <w:rPr>
          <w:lang w:val="en-GB" w:eastAsia="en-US"/>
        </w:rPr>
        <w:t xml:space="preserve">Consider Figure 1, where there is a MN with 2 </w:t>
      </w:r>
      <w:proofErr w:type="spellStart"/>
      <w:r>
        <w:rPr>
          <w:lang w:val="en-GB" w:eastAsia="en-US"/>
        </w:rPr>
        <w:t>gNB</w:t>
      </w:r>
      <w:proofErr w:type="spellEnd"/>
      <w:r>
        <w:rPr>
          <w:lang w:val="en-GB" w:eastAsia="en-US"/>
        </w:rPr>
        <w:t xml:space="preserve">-DUs and SN with 5 </w:t>
      </w:r>
      <w:proofErr w:type="spellStart"/>
      <w:r>
        <w:rPr>
          <w:lang w:val="en-GB" w:eastAsia="en-US"/>
        </w:rPr>
        <w:t>gNB</w:t>
      </w:r>
      <w:proofErr w:type="spellEnd"/>
      <w:r>
        <w:rPr>
          <w:lang w:val="en-GB" w:eastAsia="en-US"/>
        </w:rPr>
        <w:t xml:space="preserve">-DUs. All intra SN </w:t>
      </w:r>
      <w:proofErr w:type="spellStart"/>
      <w:r>
        <w:rPr>
          <w:lang w:val="en-GB" w:eastAsia="en-US"/>
        </w:rPr>
        <w:t>PSCell</w:t>
      </w:r>
      <w:proofErr w:type="spellEnd"/>
      <w:r>
        <w:rPr>
          <w:lang w:val="en-GB" w:eastAsia="en-US"/>
        </w:rPr>
        <w:t xml:space="preserve"> changes</w:t>
      </w:r>
      <w:r w:rsidR="000D5CDA">
        <w:rPr>
          <w:lang w:val="en-GB" w:eastAsia="en-US"/>
        </w:rPr>
        <w:t xml:space="preserve"> except the one in RED (SN1-DU3)</w:t>
      </w:r>
      <w:r>
        <w:rPr>
          <w:lang w:val="en-GB" w:eastAsia="en-US"/>
        </w:rPr>
        <w:t xml:space="preserve"> </w:t>
      </w:r>
      <w:r w:rsidR="000D5CDA">
        <w:rPr>
          <w:lang w:val="en-GB" w:eastAsia="en-US"/>
        </w:rPr>
        <w:t xml:space="preserve">are possible to be executed autonomously. In the case where </w:t>
      </w:r>
      <w:proofErr w:type="spellStart"/>
      <w:r w:rsidR="000D5CDA">
        <w:rPr>
          <w:lang w:val="en-GB" w:eastAsia="en-US"/>
        </w:rPr>
        <w:t>PCell</w:t>
      </w:r>
      <w:proofErr w:type="spellEnd"/>
      <w:r w:rsidR="000D5CDA">
        <w:rPr>
          <w:lang w:val="en-GB" w:eastAsia="en-US"/>
        </w:rPr>
        <w:t xml:space="preserve"> undergoes an inter-DU LTM inside the same MN, it is possible that the source and target MN-DUs are served by different CU-UPs and hence needing a security key change.</w:t>
      </w:r>
    </w:p>
    <w:p w14:paraId="55A32ACE" w14:textId="77777777" w:rsidR="000D5CDA" w:rsidRDefault="000D5CDA" w:rsidP="00050B6E">
      <w:pPr>
        <w:rPr>
          <w:lang w:val="en-GB" w:eastAsia="en-US"/>
        </w:rPr>
      </w:pPr>
    </w:p>
    <w:p w14:paraId="64ADE829" w14:textId="77777777" w:rsidR="00AD1D6F" w:rsidRDefault="000D5CDA" w:rsidP="00050B6E">
      <w:pPr>
        <w:rPr>
          <w:lang w:val="en-GB" w:eastAsia="en-US"/>
        </w:rPr>
      </w:pPr>
      <w:r>
        <w:rPr>
          <w:lang w:val="en-GB" w:eastAsia="en-US"/>
        </w:rPr>
        <w:t xml:space="preserve">Moreover, there is a possibility of frequencies, band combinations etc being different at the source and target MN-DUs as well. We think that there are multiple ways of addressing this issue. </w:t>
      </w:r>
    </w:p>
    <w:p w14:paraId="0F16DEE6" w14:textId="31F76581" w:rsidR="00AD1D6F" w:rsidRPr="00045D2B" w:rsidRDefault="00AD1D6F" w:rsidP="00045D2B">
      <w:pPr>
        <w:pStyle w:val="ListParagraph"/>
        <w:numPr>
          <w:ilvl w:val="0"/>
          <w:numId w:val="19"/>
        </w:numPr>
        <w:rPr>
          <w:rFonts w:ascii="Calibri" w:eastAsiaTheme="minorEastAsia" w:hAnsi="Calibri"/>
          <w:sz w:val="22"/>
          <w:szCs w:val="22"/>
          <w:lang w:eastAsia="en-US"/>
        </w:rPr>
      </w:pPr>
      <w:r w:rsidRPr="00045D2B">
        <w:rPr>
          <w:rFonts w:ascii="Calibri" w:eastAsiaTheme="minorEastAsia" w:hAnsi="Calibri"/>
          <w:sz w:val="22"/>
          <w:szCs w:val="22"/>
          <w:lang w:eastAsia="en-US"/>
        </w:rPr>
        <w:t>O</w:t>
      </w:r>
      <w:r w:rsidR="000D5CDA" w:rsidRPr="00045D2B">
        <w:rPr>
          <w:rFonts w:ascii="Calibri" w:eastAsiaTheme="minorEastAsia" w:hAnsi="Calibri"/>
          <w:sz w:val="22"/>
          <w:szCs w:val="22"/>
          <w:lang w:eastAsia="en-US"/>
        </w:rPr>
        <w:t>ption</w:t>
      </w:r>
      <w:r w:rsidRPr="00045D2B">
        <w:rPr>
          <w:rFonts w:ascii="Calibri" w:eastAsiaTheme="minorEastAsia" w:hAnsi="Calibri"/>
          <w:sz w:val="22"/>
          <w:szCs w:val="22"/>
          <w:lang w:eastAsia="en-US"/>
        </w:rPr>
        <w:t xml:space="preserve"> 1:</w:t>
      </w:r>
      <w:r w:rsidR="000D5CDA" w:rsidRPr="00045D2B">
        <w:rPr>
          <w:rFonts w:ascii="Calibri" w:eastAsiaTheme="minorEastAsia" w:hAnsi="Calibri"/>
          <w:sz w:val="22"/>
          <w:szCs w:val="22"/>
          <w:lang w:eastAsia="en-US"/>
        </w:rPr>
        <w:t xml:space="preserve"> </w:t>
      </w:r>
      <w:r w:rsidRPr="00045D2B">
        <w:rPr>
          <w:rFonts w:ascii="Calibri" w:eastAsiaTheme="minorEastAsia" w:hAnsi="Calibri"/>
          <w:sz w:val="22"/>
          <w:szCs w:val="22"/>
          <w:lang w:eastAsia="en-US"/>
        </w:rPr>
        <w:t>T</w:t>
      </w:r>
      <w:r w:rsidR="000D5CDA" w:rsidRPr="00045D2B">
        <w:rPr>
          <w:rFonts w:ascii="Calibri" w:eastAsiaTheme="minorEastAsia" w:hAnsi="Calibri"/>
          <w:sz w:val="22"/>
          <w:szCs w:val="22"/>
          <w:lang w:eastAsia="en-US"/>
        </w:rPr>
        <w:t xml:space="preserve">o adapt the same solution that RAN2 agrees for inter-CU LTM with security key change. </w:t>
      </w:r>
    </w:p>
    <w:p w14:paraId="3D59E8D4" w14:textId="77777777" w:rsidR="00AD1D6F" w:rsidRPr="00045D2B" w:rsidRDefault="00AD1D6F" w:rsidP="00045D2B">
      <w:pPr>
        <w:pStyle w:val="ListParagraph"/>
        <w:numPr>
          <w:ilvl w:val="0"/>
          <w:numId w:val="19"/>
        </w:numPr>
        <w:rPr>
          <w:rFonts w:ascii="Calibri" w:eastAsiaTheme="minorEastAsia" w:hAnsi="Calibri"/>
          <w:sz w:val="22"/>
          <w:szCs w:val="22"/>
          <w:lang w:eastAsia="en-US"/>
        </w:rPr>
      </w:pPr>
      <w:r w:rsidRPr="00045D2B">
        <w:rPr>
          <w:rFonts w:ascii="Calibri" w:eastAsiaTheme="minorEastAsia" w:hAnsi="Calibri"/>
          <w:sz w:val="22"/>
          <w:szCs w:val="22"/>
          <w:lang w:eastAsia="en-US"/>
        </w:rPr>
        <w:t>O</w:t>
      </w:r>
      <w:r w:rsidR="000D5CDA" w:rsidRPr="00045D2B">
        <w:rPr>
          <w:rFonts w:ascii="Calibri" w:eastAsiaTheme="minorEastAsia" w:hAnsi="Calibri"/>
          <w:sz w:val="22"/>
          <w:szCs w:val="22"/>
          <w:lang w:eastAsia="en-US"/>
        </w:rPr>
        <w:t xml:space="preserve">ption </w:t>
      </w:r>
      <w:r w:rsidRPr="00045D2B">
        <w:rPr>
          <w:rFonts w:ascii="Calibri" w:eastAsiaTheme="minorEastAsia" w:hAnsi="Calibri"/>
          <w:sz w:val="22"/>
          <w:szCs w:val="22"/>
          <w:lang w:eastAsia="en-US"/>
        </w:rPr>
        <w:t>2: T</w:t>
      </w:r>
      <w:r w:rsidR="000D5CDA" w:rsidRPr="00045D2B">
        <w:rPr>
          <w:rFonts w:ascii="Calibri" w:eastAsiaTheme="minorEastAsia" w:hAnsi="Calibri"/>
          <w:sz w:val="22"/>
          <w:szCs w:val="22"/>
          <w:lang w:eastAsia="en-US"/>
        </w:rPr>
        <w:t xml:space="preserve">o </w:t>
      </w:r>
      <w:r w:rsidRPr="00045D2B">
        <w:rPr>
          <w:rFonts w:ascii="Calibri" w:eastAsiaTheme="minorEastAsia" w:hAnsi="Calibri"/>
          <w:sz w:val="22"/>
          <w:szCs w:val="22"/>
          <w:lang w:eastAsia="en-US"/>
        </w:rPr>
        <w:t xml:space="preserve">exchange the negotiated MN and SN configurations corresponding to their respective DUs/cells during F1 setup. </w:t>
      </w:r>
    </w:p>
    <w:p w14:paraId="7FD2B7E3" w14:textId="110A0EC8" w:rsidR="000D5CDA" w:rsidRDefault="00AD1D6F" w:rsidP="00045D2B">
      <w:pPr>
        <w:pStyle w:val="ListParagraph"/>
        <w:numPr>
          <w:ilvl w:val="0"/>
          <w:numId w:val="19"/>
        </w:numPr>
        <w:rPr>
          <w:rFonts w:ascii="Calibri" w:eastAsiaTheme="minorEastAsia" w:hAnsi="Calibri"/>
          <w:sz w:val="22"/>
          <w:szCs w:val="22"/>
          <w:lang w:eastAsia="en-US"/>
        </w:rPr>
      </w:pPr>
      <w:r w:rsidRPr="00045D2B">
        <w:rPr>
          <w:rFonts w:ascii="Calibri" w:eastAsiaTheme="minorEastAsia" w:hAnsi="Calibri"/>
          <w:sz w:val="22"/>
          <w:szCs w:val="22"/>
          <w:lang w:eastAsia="en-US"/>
        </w:rPr>
        <w:t xml:space="preserve">Option 3: To </w:t>
      </w:r>
      <w:r w:rsidR="00045D2B" w:rsidRPr="00045D2B">
        <w:rPr>
          <w:rFonts w:ascii="Calibri" w:eastAsiaTheme="minorEastAsia" w:hAnsi="Calibri"/>
          <w:sz w:val="22"/>
          <w:szCs w:val="22"/>
          <w:lang w:eastAsia="en-US"/>
        </w:rPr>
        <w:t>negotiate the MN and SN configurations corresponding to their respective DUs/cells during UE’s candidate cell preparation.</w:t>
      </w:r>
    </w:p>
    <w:p w14:paraId="0D631C4E" w14:textId="77777777" w:rsidR="00045D2B" w:rsidRDefault="00045D2B" w:rsidP="00045D2B">
      <w:pPr>
        <w:rPr>
          <w:lang w:eastAsia="en-US"/>
        </w:rPr>
      </w:pPr>
    </w:p>
    <w:p w14:paraId="3C3F3DC7" w14:textId="3B73612F" w:rsidR="00045D2B" w:rsidRPr="00045D2B" w:rsidRDefault="00045D2B" w:rsidP="00045D2B">
      <w:pPr>
        <w:pStyle w:val="Proposal"/>
        <w:rPr>
          <w:lang w:val="en-US"/>
        </w:rPr>
      </w:pPr>
      <w:bookmarkStart w:id="5" w:name="_Ref178931720"/>
      <w:r>
        <w:rPr>
          <w:lang w:val="en-US"/>
        </w:rPr>
        <w:t xml:space="preserve">RAN2 to discuss the impacts of security key change </w:t>
      </w:r>
      <w:r w:rsidR="00781102">
        <w:rPr>
          <w:lang w:val="en-US"/>
        </w:rPr>
        <w:t xml:space="preserve">on SN </w:t>
      </w:r>
      <w:r>
        <w:rPr>
          <w:lang w:val="en-US"/>
        </w:rPr>
        <w:t>due to Intra-MN LTM and agree a way forward to address the issue.</w:t>
      </w:r>
      <w:bookmarkEnd w:id="5"/>
    </w:p>
    <w:p w14:paraId="65EA28D7" w14:textId="77777777" w:rsidR="00050B6E" w:rsidRPr="00050B6E" w:rsidRDefault="00050B6E" w:rsidP="00050B6E">
      <w:pPr>
        <w:rPr>
          <w:lang w:val="en-GB" w:eastAsia="en-US"/>
        </w:rPr>
      </w:pPr>
    </w:p>
    <w:p w14:paraId="2D9EBD88" w14:textId="77777777" w:rsidR="00050B6E" w:rsidRDefault="00050B6E" w:rsidP="00050B6E">
      <w:pPr>
        <w:pStyle w:val="Heading2"/>
        <w:rPr>
          <w:rFonts w:cs="Arial"/>
        </w:rPr>
      </w:pPr>
      <w:r>
        <w:rPr>
          <w:rFonts w:cs="Arial"/>
        </w:rPr>
        <w:t>LTM Failure in Dual Connectivity</w:t>
      </w:r>
    </w:p>
    <w:p w14:paraId="3DF100BE" w14:textId="77777777" w:rsidR="00AE72F0" w:rsidRDefault="00AE72F0" w:rsidP="004533B0">
      <w:pPr>
        <w:rPr>
          <w:rFonts w:ascii="Arial" w:hAnsi="Arial" w:cs="Arial"/>
          <w:sz w:val="20"/>
          <w:szCs w:val="20"/>
          <w:lang w:val="en-GB"/>
        </w:rPr>
      </w:pPr>
      <w:r>
        <w:rPr>
          <w:rFonts w:ascii="Arial" w:hAnsi="Arial" w:cs="Arial"/>
          <w:sz w:val="20"/>
          <w:szCs w:val="20"/>
          <w:lang w:val="en-GB"/>
        </w:rPr>
        <w:t>The dual connectivity can be configured to a UE in two variants as shown below.</w:t>
      </w:r>
    </w:p>
    <w:p w14:paraId="59D79AF7" w14:textId="77777777" w:rsidR="00AE72F0" w:rsidRDefault="00AE72F0" w:rsidP="004533B0">
      <w:pPr>
        <w:rPr>
          <w:rFonts w:ascii="Arial" w:hAnsi="Arial" w:cs="Arial"/>
          <w:sz w:val="20"/>
          <w:szCs w:val="20"/>
          <w:lang w:val="en-GB"/>
        </w:rPr>
      </w:pPr>
    </w:p>
    <w:p w14:paraId="73BBE1EB" w14:textId="37CE45F8" w:rsidR="008511D4" w:rsidRDefault="00AE72F0" w:rsidP="004533B0">
      <w:pPr>
        <w:rPr>
          <w:rFonts w:ascii="Arial" w:hAnsi="Arial" w:cs="Arial"/>
          <w:sz w:val="20"/>
          <w:szCs w:val="20"/>
          <w:lang w:val="en-GB"/>
        </w:rPr>
      </w:pPr>
      <w:r w:rsidRPr="00B819BF">
        <w:rPr>
          <w:bCs/>
          <w:noProof/>
        </w:rPr>
        <w:lastRenderedPageBreak/>
        <w:drawing>
          <wp:inline distT="0" distB="0" distL="0" distR="0" wp14:anchorId="7F5F1E5F" wp14:editId="7F1D2D33">
            <wp:extent cx="4403750" cy="3142052"/>
            <wp:effectExtent l="0" t="0" r="3175" b="0"/>
            <wp:docPr id="20505868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586868" name=""/>
                    <pic:cNvPicPr/>
                  </pic:nvPicPr>
                  <pic:blipFill>
                    <a:blip r:embed="rId12"/>
                    <a:stretch>
                      <a:fillRect/>
                    </a:stretch>
                  </pic:blipFill>
                  <pic:spPr>
                    <a:xfrm>
                      <a:off x="0" y="0"/>
                      <a:ext cx="4421375" cy="3154627"/>
                    </a:xfrm>
                    <a:prstGeom prst="rect">
                      <a:avLst/>
                    </a:prstGeom>
                  </pic:spPr>
                </pic:pic>
              </a:graphicData>
            </a:graphic>
          </wp:inline>
        </w:drawing>
      </w:r>
      <w:r w:rsidR="008511D4">
        <w:rPr>
          <w:rFonts w:ascii="Arial" w:hAnsi="Arial" w:cs="Arial"/>
          <w:sz w:val="20"/>
          <w:szCs w:val="20"/>
          <w:lang w:val="en-GB"/>
        </w:rPr>
        <w:t xml:space="preserve"> </w:t>
      </w:r>
    </w:p>
    <w:p w14:paraId="30229A60" w14:textId="4BD649FE" w:rsidR="00AE72F0" w:rsidRDefault="00AE72F0" w:rsidP="00AE72F0">
      <w:pPr>
        <w:jc w:val="center"/>
        <w:rPr>
          <w:rFonts w:ascii="Arial" w:hAnsi="Arial" w:cs="Arial"/>
          <w:sz w:val="20"/>
          <w:szCs w:val="20"/>
          <w:lang w:val="en-GB"/>
        </w:rPr>
      </w:pPr>
      <w:r>
        <w:rPr>
          <w:bCs/>
        </w:rPr>
        <w:t xml:space="preserve">Figure </w:t>
      </w:r>
      <w:r w:rsidR="00050B6E">
        <w:rPr>
          <w:bCs/>
        </w:rPr>
        <w:t>2</w:t>
      </w:r>
      <w:r>
        <w:rPr>
          <w:bCs/>
        </w:rPr>
        <w:t xml:space="preserve">: NR-DC over </w:t>
      </w:r>
      <w:proofErr w:type="spellStart"/>
      <w:r>
        <w:rPr>
          <w:bCs/>
        </w:rPr>
        <w:t>Xn</w:t>
      </w:r>
      <w:proofErr w:type="spellEnd"/>
      <w:r>
        <w:rPr>
          <w:bCs/>
        </w:rPr>
        <w:t xml:space="preserve"> (Variant 1)</w:t>
      </w:r>
    </w:p>
    <w:p w14:paraId="202BCBB0" w14:textId="77777777" w:rsidR="00AE72F0" w:rsidRDefault="00AE72F0" w:rsidP="004533B0">
      <w:pPr>
        <w:rPr>
          <w:rFonts w:ascii="Arial" w:hAnsi="Arial" w:cs="Arial"/>
          <w:sz w:val="20"/>
          <w:szCs w:val="20"/>
          <w:lang w:val="en-GB"/>
        </w:rPr>
      </w:pPr>
    </w:p>
    <w:p w14:paraId="64FE8343" w14:textId="77777777" w:rsidR="00AE72F0" w:rsidRDefault="00AE72F0" w:rsidP="004533B0">
      <w:pPr>
        <w:rPr>
          <w:rFonts w:ascii="Arial" w:hAnsi="Arial" w:cs="Arial"/>
          <w:sz w:val="20"/>
          <w:szCs w:val="20"/>
          <w:lang w:val="en-GB"/>
        </w:rPr>
      </w:pPr>
    </w:p>
    <w:p w14:paraId="1E1F6092" w14:textId="1FDCF6A3" w:rsidR="00AE72F0" w:rsidRDefault="00AE72F0" w:rsidP="004533B0">
      <w:pPr>
        <w:rPr>
          <w:rFonts w:ascii="Arial" w:hAnsi="Arial" w:cs="Arial"/>
          <w:sz w:val="20"/>
          <w:szCs w:val="20"/>
          <w:lang w:val="en-GB"/>
        </w:rPr>
      </w:pPr>
      <w:r w:rsidRPr="00B819BF">
        <w:rPr>
          <w:bCs/>
          <w:noProof/>
        </w:rPr>
        <w:drawing>
          <wp:inline distT="0" distB="0" distL="0" distR="0" wp14:anchorId="7AEE85E1" wp14:editId="2B93118F">
            <wp:extent cx="4069956" cy="3145536"/>
            <wp:effectExtent l="0" t="0" r="0" b="0"/>
            <wp:docPr id="1410881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088138" name=""/>
                    <pic:cNvPicPr/>
                  </pic:nvPicPr>
                  <pic:blipFill>
                    <a:blip r:embed="rId13"/>
                    <a:stretch>
                      <a:fillRect/>
                    </a:stretch>
                  </pic:blipFill>
                  <pic:spPr>
                    <a:xfrm>
                      <a:off x="0" y="0"/>
                      <a:ext cx="4095168" cy="3165021"/>
                    </a:xfrm>
                    <a:prstGeom prst="rect">
                      <a:avLst/>
                    </a:prstGeom>
                  </pic:spPr>
                </pic:pic>
              </a:graphicData>
            </a:graphic>
          </wp:inline>
        </w:drawing>
      </w:r>
    </w:p>
    <w:p w14:paraId="74B940DB" w14:textId="44D77605" w:rsidR="00AE72F0" w:rsidRDefault="00AE72F0" w:rsidP="00AE72F0">
      <w:pPr>
        <w:jc w:val="center"/>
        <w:rPr>
          <w:bCs/>
        </w:rPr>
      </w:pPr>
      <w:r>
        <w:rPr>
          <w:bCs/>
        </w:rPr>
        <w:t xml:space="preserve">Figure </w:t>
      </w:r>
      <w:r w:rsidR="00050B6E">
        <w:rPr>
          <w:bCs/>
        </w:rPr>
        <w:t>3</w:t>
      </w:r>
      <w:r>
        <w:rPr>
          <w:bCs/>
        </w:rPr>
        <w:t>: NR-DC over F1(Variant 2)</w:t>
      </w:r>
    </w:p>
    <w:p w14:paraId="090F8F0D" w14:textId="77777777" w:rsidR="00AE72F0" w:rsidRDefault="00AE72F0" w:rsidP="00AE72F0">
      <w:pPr>
        <w:jc w:val="center"/>
        <w:rPr>
          <w:bCs/>
        </w:rPr>
      </w:pPr>
    </w:p>
    <w:p w14:paraId="23F5690C" w14:textId="77777777" w:rsidR="00AE72F0" w:rsidRDefault="00AE72F0" w:rsidP="00AE72F0">
      <w:pPr>
        <w:rPr>
          <w:rFonts w:ascii="Arial" w:hAnsi="Arial" w:cs="Arial"/>
          <w:sz w:val="20"/>
          <w:szCs w:val="20"/>
          <w:lang w:val="en-GB"/>
        </w:rPr>
      </w:pPr>
    </w:p>
    <w:p w14:paraId="106E4B44" w14:textId="49948E45" w:rsidR="00AE72F0" w:rsidRDefault="00877E9C" w:rsidP="00AE72F0">
      <w:pPr>
        <w:rPr>
          <w:rFonts w:ascii="Arial" w:hAnsi="Arial" w:cs="Arial"/>
          <w:sz w:val="20"/>
          <w:szCs w:val="20"/>
          <w:lang w:val="en-GB"/>
        </w:rPr>
      </w:pPr>
      <w:r>
        <w:rPr>
          <w:rFonts w:ascii="Arial" w:hAnsi="Arial" w:cs="Arial"/>
          <w:sz w:val="20"/>
          <w:szCs w:val="20"/>
          <w:lang w:val="en-GB"/>
        </w:rPr>
        <w:t>NR-</w:t>
      </w:r>
      <w:r w:rsidR="00AE72F0">
        <w:rPr>
          <w:rFonts w:ascii="Arial" w:hAnsi="Arial" w:cs="Arial"/>
          <w:sz w:val="20"/>
          <w:szCs w:val="20"/>
          <w:lang w:val="en-GB"/>
        </w:rPr>
        <w:t xml:space="preserve">DC can be configured over </w:t>
      </w:r>
      <w:proofErr w:type="spellStart"/>
      <w:r w:rsidR="00AE72F0">
        <w:rPr>
          <w:rFonts w:ascii="Arial" w:hAnsi="Arial" w:cs="Arial"/>
          <w:sz w:val="20"/>
          <w:szCs w:val="20"/>
          <w:lang w:val="en-GB"/>
        </w:rPr>
        <w:t>Xn</w:t>
      </w:r>
      <w:proofErr w:type="spellEnd"/>
      <w:r w:rsidR="00AE72F0">
        <w:rPr>
          <w:rFonts w:ascii="Arial" w:hAnsi="Arial" w:cs="Arial"/>
          <w:sz w:val="20"/>
          <w:szCs w:val="20"/>
          <w:lang w:val="en-GB"/>
        </w:rPr>
        <w:t xml:space="preserve"> where MN and SN roles are assigned to two different </w:t>
      </w:r>
      <w:proofErr w:type="spellStart"/>
      <w:r w:rsidR="00AE72F0">
        <w:rPr>
          <w:rFonts w:ascii="Arial" w:hAnsi="Arial" w:cs="Arial"/>
          <w:sz w:val="20"/>
          <w:szCs w:val="20"/>
          <w:lang w:val="en-GB"/>
        </w:rPr>
        <w:t>gNBs</w:t>
      </w:r>
      <w:proofErr w:type="spellEnd"/>
      <w:r w:rsidR="00AE72F0">
        <w:rPr>
          <w:rFonts w:ascii="Arial" w:hAnsi="Arial" w:cs="Arial"/>
          <w:sz w:val="20"/>
          <w:szCs w:val="20"/>
          <w:lang w:val="en-GB"/>
        </w:rPr>
        <w:t xml:space="preserve"> and the </w:t>
      </w:r>
      <w:proofErr w:type="spellStart"/>
      <w:r>
        <w:rPr>
          <w:rFonts w:ascii="Arial" w:hAnsi="Arial" w:cs="Arial"/>
          <w:sz w:val="20"/>
          <w:szCs w:val="20"/>
          <w:lang w:val="en-GB"/>
        </w:rPr>
        <w:t>Pcell</w:t>
      </w:r>
      <w:proofErr w:type="spellEnd"/>
      <w:r>
        <w:rPr>
          <w:rFonts w:ascii="Arial" w:hAnsi="Arial" w:cs="Arial"/>
          <w:sz w:val="20"/>
          <w:szCs w:val="20"/>
          <w:lang w:val="en-GB"/>
        </w:rPr>
        <w:t xml:space="preserve"> configured in the MN </w:t>
      </w:r>
      <w:proofErr w:type="spellStart"/>
      <w:r>
        <w:rPr>
          <w:rFonts w:ascii="Arial" w:hAnsi="Arial" w:cs="Arial"/>
          <w:sz w:val="20"/>
          <w:szCs w:val="20"/>
          <w:lang w:val="en-GB"/>
        </w:rPr>
        <w:t>gNB</w:t>
      </w:r>
      <w:proofErr w:type="spellEnd"/>
      <w:r>
        <w:rPr>
          <w:rFonts w:ascii="Arial" w:hAnsi="Arial" w:cs="Arial"/>
          <w:sz w:val="20"/>
          <w:szCs w:val="20"/>
          <w:lang w:val="en-GB"/>
        </w:rPr>
        <w:t xml:space="preserve"> belongs to Master Cell Group (MCG) and the </w:t>
      </w:r>
      <w:proofErr w:type="spellStart"/>
      <w:r>
        <w:rPr>
          <w:rFonts w:ascii="Arial" w:hAnsi="Arial" w:cs="Arial"/>
          <w:sz w:val="20"/>
          <w:szCs w:val="20"/>
          <w:lang w:val="en-GB"/>
        </w:rPr>
        <w:t>PSCell</w:t>
      </w:r>
      <w:proofErr w:type="spellEnd"/>
      <w:r>
        <w:rPr>
          <w:rFonts w:ascii="Arial" w:hAnsi="Arial" w:cs="Arial"/>
          <w:sz w:val="20"/>
          <w:szCs w:val="20"/>
          <w:lang w:val="en-GB"/>
        </w:rPr>
        <w:t xml:space="preserve"> configured in the SN belongs to the Secondary Cell Group (SCG). NR-DC can also be configured over F1 where MN and SN roles are assigned to the same </w:t>
      </w:r>
      <w:proofErr w:type="spellStart"/>
      <w:r>
        <w:rPr>
          <w:rFonts w:ascii="Arial" w:hAnsi="Arial" w:cs="Arial"/>
          <w:sz w:val="20"/>
          <w:szCs w:val="20"/>
          <w:lang w:val="en-GB"/>
        </w:rPr>
        <w:t>gNB</w:t>
      </w:r>
      <w:proofErr w:type="spellEnd"/>
      <w:r>
        <w:rPr>
          <w:rFonts w:ascii="Arial" w:hAnsi="Arial" w:cs="Arial"/>
          <w:sz w:val="20"/>
          <w:szCs w:val="20"/>
          <w:lang w:val="en-GB"/>
        </w:rPr>
        <w:t xml:space="preserve">. The </w:t>
      </w:r>
      <w:proofErr w:type="spellStart"/>
      <w:r>
        <w:rPr>
          <w:rFonts w:ascii="Arial" w:hAnsi="Arial" w:cs="Arial"/>
          <w:sz w:val="20"/>
          <w:szCs w:val="20"/>
          <w:lang w:val="en-GB"/>
        </w:rPr>
        <w:t>Pcell</w:t>
      </w:r>
      <w:proofErr w:type="spellEnd"/>
      <w:r>
        <w:rPr>
          <w:rFonts w:ascii="Arial" w:hAnsi="Arial" w:cs="Arial"/>
          <w:sz w:val="20"/>
          <w:szCs w:val="20"/>
          <w:lang w:val="en-GB"/>
        </w:rPr>
        <w:t xml:space="preserve"> belongs to one </w:t>
      </w:r>
      <w:proofErr w:type="spellStart"/>
      <w:r>
        <w:rPr>
          <w:rFonts w:ascii="Arial" w:hAnsi="Arial" w:cs="Arial"/>
          <w:sz w:val="20"/>
          <w:szCs w:val="20"/>
          <w:lang w:val="en-GB"/>
        </w:rPr>
        <w:t>gNB</w:t>
      </w:r>
      <w:proofErr w:type="spellEnd"/>
      <w:r>
        <w:rPr>
          <w:rFonts w:ascii="Arial" w:hAnsi="Arial" w:cs="Arial"/>
          <w:sz w:val="20"/>
          <w:szCs w:val="20"/>
          <w:lang w:val="en-GB"/>
        </w:rPr>
        <w:t xml:space="preserve">-DU and that belongs to Master Cell Group (MCG) and the </w:t>
      </w:r>
      <w:proofErr w:type="spellStart"/>
      <w:r>
        <w:rPr>
          <w:rFonts w:ascii="Arial" w:hAnsi="Arial" w:cs="Arial"/>
          <w:sz w:val="20"/>
          <w:szCs w:val="20"/>
          <w:lang w:val="en-GB"/>
        </w:rPr>
        <w:t>PSCell</w:t>
      </w:r>
      <w:proofErr w:type="spellEnd"/>
      <w:r>
        <w:rPr>
          <w:rFonts w:ascii="Arial" w:hAnsi="Arial" w:cs="Arial"/>
          <w:sz w:val="20"/>
          <w:szCs w:val="20"/>
          <w:lang w:val="en-GB"/>
        </w:rPr>
        <w:t xml:space="preserve"> may belong to the same or a different </w:t>
      </w:r>
      <w:proofErr w:type="spellStart"/>
      <w:r>
        <w:rPr>
          <w:rFonts w:ascii="Arial" w:hAnsi="Arial" w:cs="Arial"/>
          <w:sz w:val="20"/>
          <w:szCs w:val="20"/>
          <w:lang w:val="en-GB"/>
        </w:rPr>
        <w:t>gNB</w:t>
      </w:r>
      <w:proofErr w:type="spellEnd"/>
      <w:r>
        <w:rPr>
          <w:rFonts w:ascii="Arial" w:hAnsi="Arial" w:cs="Arial"/>
          <w:sz w:val="20"/>
          <w:szCs w:val="20"/>
          <w:lang w:val="en-GB"/>
        </w:rPr>
        <w:t xml:space="preserve">-DU and belongs to the Secondary Cell Group (SCG). </w:t>
      </w:r>
    </w:p>
    <w:p w14:paraId="424D2578" w14:textId="77777777" w:rsidR="00877E9C" w:rsidRDefault="00877E9C" w:rsidP="00AE72F0">
      <w:pPr>
        <w:rPr>
          <w:rFonts w:ascii="Arial" w:hAnsi="Arial" w:cs="Arial"/>
          <w:sz w:val="20"/>
          <w:szCs w:val="20"/>
          <w:lang w:val="en-GB"/>
        </w:rPr>
      </w:pPr>
    </w:p>
    <w:p w14:paraId="350D2185" w14:textId="28E0C91B" w:rsidR="00877E9C" w:rsidRDefault="00877E9C" w:rsidP="00AE72F0">
      <w:pPr>
        <w:rPr>
          <w:rFonts w:ascii="Arial" w:hAnsi="Arial" w:cs="Arial"/>
          <w:sz w:val="20"/>
          <w:szCs w:val="20"/>
          <w:lang w:val="en-GB"/>
        </w:rPr>
      </w:pPr>
      <w:r>
        <w:rPr>
          <w:rFonts w:ascii="Arial" w:hAnsi="Arial" w:cs="Arial"/>
          <w:sz w:val="20"/>
          <w:szCs w:val="20"/>
          <w:lang w:val="en-GB"/>
        </w:rPr>
        <w:t>The MCG is configured with SRB 0/1/2 and SCG is configured with SRB3.</w:t>
      </w:r>
    </w:p>
    <w:p w14:paraId="48040D41" w14:textId="77777777" w:rsidR="00877E9C" w:rsidRDefault="00877E9C" w:rsidP="00AE72F0">
      <w:pPr>
        <w:rPr>
          <w:rFonts w:ascii="Arial" w:hAnsi="Arial" w:cs="Arial"/>
          <w:sz w:val="20"/>
          <w:szCs w:val="20"/>
          <w:lang w:val="en-GB"/>
        </w:rPr>
      </w:pPr>
    </w:p>
    <w:p w14:paraId="3F40AC43" w14:textId="0A5F75BC" w:rsidR="00877E9C" w:rsidRDefault="00877E9C" w:rsidP="00AE72F0">
      <w:pPr>
        <w:rPr>
          <w:rFonts w:ascii="Arial" w:hAnsi="Arial" w:cs="Arial"/>
          <w:sz w:val="20"/>
          <w:szCs w:val="20"/>
          <w:lang w:val="en-GB"/>
        </w:rPr>
      </w:pPr>
      <w:r>
        <w:rPr>
          <w:rFonts w:ascii="Arial" w:hAnsi="Arial" w:cs="Arial"/>
          <w:sz w:val="20"/>
          <w:szCs w:val="20"/>
          <w:lang w:val="en-GB"/>
        </w:rPr>
        <w:t xml:space="preserve">In case of LTM cell switch failure, </w:t>
      </w:r>
      <w:r w:rsidR="005747DC">
        <w:rPr>
          <w:rFonts w:ascii="Arial" w:hAnsi="Arial" w:cs="Arial"/>
          <w:sz w:val="20"/>
          <w:szCs w:val="20"/>
          <w:lang w:val="en-GB"/>
        </w:rPr>
        <w:t>following is the behaviour (from TS 38.300)</w:t>
      </w:r>
    </w:p>
    <w:p w14:paraId="74433969" w14:textId="77777777" w:rsidR="005747DC" w:rsidRDefault="005747DC" w:rsidP="00AE72F0">
      <w:pPr>
        <w:rPr>
          <w:rFonts w:ascii="Arial" w:hAnsi="Arial" w:cs="Arial"/>
          <w:sz w:val="20"/>
          <w:szCs w:val="20"/>
          <w:lang w:val="en-GB"/>
        </w:rPr>
      </w:pPr>
    </w:p>
    <w:p w14:paraId="538D1270" w14:textId="77777777" w:rsidR="005747DC" w:rsidRPr="00802C32" w:rsidRDefault="005747DC" w:rsidP="005747DC">
      <w:pPr>
        <w:pStyle w:val="B1"/>
        <w:rPr>
          <w:i/>
          <w:iCs/>
        </w:rPr>
      </w:pPr>
      <w:r w:rsidRPr="00802C32">
        <w:rPr>
          <w:i/>
          <w:iCs/>
        </w:rPr>
        <w:lastRenderedPageBreak/>
        <w:t>-</w:t>
      </w:r>
      <w:r w:rsidRPr="00802C32">
        <w:rPr>
          <w:i/>
          <w:iCs/>
        </w:rPr>
        <w:tab/>
        <w:t>When initial LTM execution attempt fails or HO fails, the UE performs cell selection and if the selected cell is an LTM candidate cell and if network configured the UE to try LTM after LTM execution failure, then the UE attempts LTM execution once, otherwise re-establishment is performed.</w:t>
      </w:r>
    </w:p>
    <w:p w14:paraId="335F2884" w14:textId="77777777" w:rsidR="005747DC" w:rsidRDefault="005747DC" w:rsidP="00AE72F0">
      <w:pPr>
        <w:rPr>
          <w:rFonts w:ascii="Arial" w:hAnsi="Arial" w:cs="Arial"/>
          <w:sz w:val="20"/>
          <w:szCs w:val="20"/>
          <w:lang w:val="en-GB"/>
        </w:rPr>
      </w:pPr>
    </w:p>
    <w:p w14:paraId="4653886E" w14:textId="4485B52F" w:rsidR="005747DC" w:rsidRPr="005747DC" w:rsidRDefault="005747DC" w:rsidP="005747DC">
      <w:pPr>
        <w:rPr>
          <w:rFonts w:ascii="Arial" w:hAnsi="Arial" w:cs="Arial"/>
          <w:sz w:val="20"/>
          <w:szCs w:val="20"/>
        </w:rPr>
      </w:pPr>
      <w:r w:rsidRPr="005747DC">
        <w:rPr>
          <w:rFonts w:ascii="Arial" w:hAnsi="Arial" w:cs="Arial"/>
          <w:sz w:val="20"/>
          <w:szCs w:val="20"/>
        </w:rPr>
        <w:t>This implies the following</w:t>
      </w:r>
      <w:r>
        <w:rPr>
          <w:rFonts w:ascii="Arial" w:hAnsi="Arial" w:cs="Arial"/>
          <w:sz w:val="20"/>
          <w:szCs w:val="20"/>
        </w:rPr>
        <w:t xml:space="preserve"> in our understanding</w:t>
      </w:r>
    </w:p>
    <w:p w14:paraId="0DA5CB11" w14:textId="2CB65882" w:rsidR="005747DC" w:rsidRPr="005747DC" w:rsidRDefault="005747DC" w:rsidP="005747DC">
      <w:pPr>
        <w:numPr>
          <w:ilvl w:val="0"/>
          <w:numId w:val="26"/>
        </w:numPr>
        <w:rPr>
          <w:rFonts w:ascii="Arial" w:hAnsi="Arial" w:cs="Arial"/>
          <w:sz w:val="20"/>
          <w:szCs w:val="20"/>
        </w:rPr>
      </w:pPr>
      <w:r w:rsidRPr="005747DC">
        <w:rPr>
          <w:rFonts w:ascii="Arial" w:hAnsi="Arial" w:cs="Arial"/>
          <w:sz w:val="20"/>
          <w:szCs w:val="20"/>
        </w:rPr>
        <w:t>Whenever there is an LTM cell switch failure, the UE performs a cell selection based on the prevalent radio conditions. If the selected cell happens to be a</w:t>
      </w:r>
      <w:r>
        <w:rPr>
          <w:rFonts w:ascii="Arial" w:hAnsi="Arial" w:cs="Arial"/>
          <w:sz w:val="20"/>
          <w:szCs w:val="20"/>
        </w:rPr>
        <w:t>n LTM candidate</w:t>
      </w:r>
      <w:r w:rsidRPr="005747DC">
        <w:rPr>
          <w:rFonts w:ascii="Arial" w:hAnsi="Arial" w:cs="Arial"/>
          <w:sz w:val="20"/>
          <w:szCs w:val="20"/>
        </w:rPr>
        <w:t xml:space="preserve"> cell, the UE performs another LTM execution, post failure (only if the network has configured).</w:t>
      </w:r>
    </w:p>
    <w:p w14:paraId="2C6BFC41" w14:textId="77777777" w:rsidR="005747DC" w:rsidRPr="005747DC" w:rsidRDefault="005747DC" w:rsidP="005747DC">
      <w:pPr>
        <w:numPr>
          <w:ilvl w:val="0"/>
          <w:numId w:val="26"/>
        </w:numPr>
        <w:rPr>
          <w:rFonts w:ascii="Arial" w:hAnsi="Arial" w:cs="Arial"/>
          <w:sz w:val="20"/>
          <w:szCs w:val="20"/>
        </w:rPr>
      </w:pPr>
      <w:r w:rsidRPr="005747DC">
        <w:rPr>
          <w:rFonts w:ascii="Arial" w:hAnsi="Arial" w:cs="Arial"/>
          <w:sz w:val="20"/>
          <w:szCs w:val="20"/>
        </w:rPr>
        <w:t xml:space="preserve">This is attempted only once and if failure occurs again, </w:t>
      </w:r>
      <w:proofErr w:type="spellStart"/>
      <w:r w:rsidRPr="005747DC">
        <w:rPr>
          <w:rFonts w:ascii="Arial" w:hAnsi="Arial" w:cs="Arial"/>
          <w:sz w:val="20"/>
          <w:szCs w:val="20"/>
        </w:rPr>
        <w:t>rrc</w:t>
      </w:r>
      <w:proofErr w:type="spellEnd"/>
      <w:r w:rsidRPr="005747DC">
        <w:rPr>
          <w:rFonts w:ascii="Arial" w:hAnsi="Arial" w:cs="Arial"/>
          <w:sz w:val="20"/>
          <w:szCs w:val="20"/>
        </w:rPr>
        <w:t xml:space="preserve"> re-establishment is initiated.</w:t>
      </w:r>
    </w:p>
    <w:p w14:paraId="45B9227A" w14:textId="77777777" w:rsidR="005747DC" w:rsidRPr="005747DC" w:rsidRDefault="005747DC" w:rsidP="005747DC">
      <w:pPr>
        <w:numPr>
          <w:ilvl w:val="0"/>
          <w:numId w:val="26"/>
        </w:numPr>
        <w:rPr>
          <w:rFonts w:ascii="Arial" w:hAnsi="Arial" w:cs="Arial"/>
          <w:sz w:val="20"/>
          <w:szCs w:val="20"/>
        </w:rPr>
      </w:pPr>
      <w:r w:rsidRPr="005747DC">
        <w:rPr>
          <w:rFonts w:ascii="Arial" w:hAnsi="Arial" w:cs="Arial"/>
          <w:sz w:val="20"/>
          <w:szCs w:val="20"/>
        </w:rPr>
        <w:t>RRC re-establishment will mean both MCG and SCG bearers will have to be released and set-up again.</w:t>
      </w:r>
    </w:p>
    <w:p w14:paraId="650C254C" w14:textId="77777777" w:rsidR="005747DC" w:rsidRDefault="005747DC" w:rsidP="005747DC">
      <w:pPr>
        <w:rPr>
          <w:rFonts w:ascii="Arial" w:hAnsi="Arial" w:cs="Arial"/>
          <w:sz w:val="20"/>
          <w:szCs w:val="20"/>
        </w:rPr>
      </w:pPr>
    </w:p>
    <w:p w14:paraId="0F98EECB" w14:textId="77777777" w:rsidR="005747DC" w:rsidRDefault="005747DC" w:rsidP="005747DC">
      <w:pPr>
        <w:rPr>
          <w:rFonts w:ascii="Arial" w:hAnsi="Arial" w:cs="Arial"/>
          <w:sz w:val="20"/>
          <w:szCs w:val="20"/>
        </w:rPr>
      </w:pPr>
      <w:r w:rsidRPr="005747DC">
        <w:rPr>
          <w:rFonts w:ascii="Arial" w:hAnsi="Arial" w:cs="Arial"/>
          <w:sz w:val="20"/>
          <w:szCs w:val="20"/>
        </w:rPr>
        <w:t>The LTM failure recovery is autonomous in nature and doesn’t require an LTM switch command (DL MAC CE) from the network.</w:t>
      </w:r>
      <w:r>
        <w:rPr>
          <w:rFonts w:ascii="Arial" w:hAnsi="Arial" w:cs="Arial"/>
          <w:sz w:val="20"/>
          <w:szCs w:val="20"/>
        </w:rPr>
        <w:t xml:space="preserve"> </w:t>
      </w:r>
    </w:p>
    <w:p w14:paraId="3B9BF9E0" w14:textId="77777777" w:rsidR="005747DC" w:rsidRDefault="005747DC" w:rsidP="005747DC">
      <w:pPr>
        <w:rPr>
          <w:rFonts w:ascii="Arial" w:hAnsi="Arial" w:cs="Arial"/>
          <w:sz w:val="20"/>
          <w:szCs w:val="20"/>
        </w:rPr>
      </w:pPr>
    </w:p>
    <w:p w14:paraId="22B75EE0" w14:textId="53A78073" w:rsidR="005747DC" w:rsidRPr="009C3926" w:rsidRDefault="005747DC" w:rsidP="00AE72F0">
      <w:pPr>
        <w:rPr>
          <w:rFonts w:ascii="Arial" w:hAnsi="Arial" w:cs="Arial"/>
          <w:sz w:val="20"/>
          <w:szCs w:val="20"/>
        </w:rPr>
      </w:pPr>
      <w:r w:rsidRPr="005747DC">
        <w:rPr>
          <w:rFonts w:ascii="Arial" w:hAnsi="Arial" w:cs="Arial"/>
          <w:sz w:val="20"/>
          <w:szCs w:val="20"/>
        </w:rPr>
        <w:t xml:space="preserve">In the context of NR-DC the LTM failure recovery </w:t>
      </w:r>
      <w:r>
        <w:rPr>
          <w:rFonts w:ascii="Arial" w:hAnsi="Arial" w:cs="Arial"/>
          <w:sz w:val="20"/>
          <w:szCs w:val="20"/>
        </w:rPr>
        <w:t>is possible to be</w:t>
      </w:r>
      <w:r w:rsidRPr="005747DC">
        <w:rPr>
          <w:rFonts w:ascii="Arial" w:hAnsi="Arial" w:cs="Arial"/>
          <w:sz w:val="20"/>
          <w:szCs w:val="20"/>
        </w:rPr>
        <w:t xml:space="preserve"> addressed differently</w:t>
      </w:r>
      <w:r>
        <w:rPr>
          <w:rFonts w:ascii="Arial" w:hAnsi="Arial" w:cs="Arial"/>
          <w:sz w:val="20"/>
          <w:szCs w:val="20"/>
        </w:rPr>
        <w:t xml:space="preserve"> than what is specified in R18</w:t>
      </w:r>
      <w:r w:rsidRPr="005747DC">
        <w:rPr>
          <w:rFonts w:ascii="Arial" w:hAnsi="Arial" w:cs="Arial"/>
          <w:sz w:val="20"/>
          <w:szCs w:val="20"/>
        </w:rPr>
        <w:t xml:space="preserve">. </w:t>
      </w:r>
      <w:r>
        <w:rPr>
          <w:rFonts w:ascii="Arial" w:hAnsi="Arial" w:cs="Arial"/>
          <w:sz w:val="20"/>
          <w:szCs w:val="20"/>
        </w:rPr>
        <w:t>In a DC setup, unless there is a simultaneous MCG and SCG failure, MCG SRB is available whenever there is an SCG LTM failure and SCG SRB is available whenever there is an MCG LTM failure.</w:t>
      </w:r>
    </w:p>
    <w:p w14:paraId="494FED37" w14:textId="77777777" w:rsidR="008511D4" w:rsidRDefault="008511D4" w:rsidP="004533B0">
      <w:pPr>
        <w:rPr>
          <w:rFonts w:ascii="Arial" w:hAnsi="Arial" w:cs="Arial"/>
          <w:sz w:val="20"/>
          <w:szCs w:val="20"/>
          <w:lang w:val="en-GB"/>
        </w:rPr>
      </w:pPr>
    </w:p>
    <w:p w14:paraId="225D3059" w14:textId="6CDA5977" w:rsidR="008511D4" w:rsidRDefault="009C3926" w:rsidP="008511D4">
      <w:pPr>
        <w:pStyle w:val="Observation"/>
        <w:rPr>
          <w:lang w:val="en-US"/>
        </w:rPr>
      </w:pPr>
      <w:bookmarkStart w:id="6" w:name="_Ref166153225"/>
      <w:r>
        <w:rPr>
          <w:lang w:val="en-US"/>
        </w:rPr>
        <w:t xml:space="preserve">Barring </w:t>
      </w:r>
      <w:r>
        <w:rPr>
          <w:rFonts w:cs="Arial"/>
        </w:rPr>
        <w:t xml:space="preserve">a simultaneous MCG and SCG failure, MCG SRB is available whenever there is an SCG LTM failure and SCG SRB </w:t>
      </w:r>
      <w:r w:rsidR="00886B4C">
        <w:rPr>
          <w:rFonts w:cs="Arial"/>
        </w:rPr>
        <w:t>is</w:t>
      </w:r>
      <w:r>
        <w:rPr>
          <w:rFonts w:cs="Arial"/>
        </w:rPr>
        <w:t xml:space="preserve"> available</w:t>
      </w:r>
      <w:r w:rsidR="00886B4C">
        <w:rPr>
          <w:rFonts w:cs="Arial"/>
        </w:rPr>
        <w:t xml:space="preserve"> (if SRB3 is configured)</w:t>
      </w:r>
      <w:r>
        <w:rPr>
          <w:rFonts w:cs="Arial"/>
        </w:rPr>
        <w:t xml:space="preserve"> whenever there is an MCG LTM failure</w:t>
      </w:r>
      <w:r w:rsidR="008511D4">
        <w:rPr>
          <w:lang w:val="en-US"/>
        </w:rPr>
        <w:t>.</w:t>
      </w:r>
      <w:bookmarkEnd w:id="6"/>
    </w:p>
    <w:p w14:paraId="366296DB" w14:textId="77777777" w:rsidR="009C3926" w:rsidRDefault="009C3926" w:rsidP="009C3926">
      <w:pPr>
        <w:pStyle w:val="Observation"/>
        <w:numPr>
          <w:ilvl w:val="0"/>
          <w:numId w:val="0"/>
        </w:numPr>
        <w:ind w:left="1701" w:hanging="1701"/>
        <w:rPr>
          <w:lang w:val="en-US"/>
        </w:rPr>
      </w:pPr>
    </w:p>
    <w:p w14:paraId="4C2B3791" w14:textId="76A0BFFF" w:rsidR="009C3926" w:rsidRPr="009C3926" w:rsidRDefault="009C3926" w:rsidP="009C3926">
      <w:pPr>
        <w:rPr>
          <w:rFonts w:ascii="Arial" w:hAnsi="Arial" w:cs="Arial"/>
          <w:sz w:val="20"/>
          <w:szCs w:val="20"/>
        </w:rPr>
      </w:pPr>
      <w:r w:rsidRPr="009C3926">
        <w:rPr>
          <w:rFonts w:ascii="Arial" w:hAnsi="Arial" w:cs="Arial"/>
          <w:sz w:val="20"/>
          <w:szCs w:val="20"/>
        </w:rPr>
        <w:t xml:space="preserve">Since the whole objective of an LTM failure recovery is to avoid RRC re-establishment, the active and available radio link </w:t>
      </w:r>
      <w:r>
        <w:rPr>
          <w:rFonts w:ascii="Arial" w:hAnsi="Arial" w:cs="Arial"/>
          <w:sz w:val="20"/>
          <w:szCs w:val="20"/>
        </w:rPr>
        <w:t xml:space="preserve">can be used to recover the failed link </w:t>
      </w:r>
      <w:proofErr w:type="spellStart"/>
      <w:r>
        <w:rPr>
          <w:rFonts w:ascii="Arial" w:hAnsi="Arial" w:cs="Arial"/>
          <w:sz w:val="20"/>
          <w:szCs w:val="20"/>
        </w:rPr>
        <w:t>i.e</w:t>
      </w:r>
      <w:proofErr w:type="spellEnd"/>
      <w:r>
        <w:rPr>
          <w:rFonts w:ascii="Arial" w:hAnsi="Arial" w:cs="Arial"/>
          <w:sz w:val="20"/>
          <w:szCs w:val="20"/>
        </w:rPr>
        <w:t xml:space="preserve"> after the LTM recovery attempt as specified in R18, instead of triggering RRC re-establishment, the active SRB (MCG SRB in case of SCG LTM failure and SCG SRB in case of MCG LTM failure) could be configured to be used by the UE to send the </w:t>
      </w:r>
      <w:r w:rsidRPr="009C3926">
        <w:rPr>
          <w:rFonts w:ascii="Arial" w:hAnsi="Arial" w:cs="Arial"/>
          <w:sz w:val="20"/>
          <w:szCs w:val="20"/>
        </w:rPr>
        <w:t xml:space="preserve">latest measurement reports to the </w:t>
      </w:r>
      <w:proofErr w:type="spellStart"/>
      <w:r w:rsidRPr="009C3926">
        <w:rPr>
          <w:rFonts w:ascii="Arial" w:hAnsi="Arial" w:cs="Arial"/>
          <w:sz w:val="20"/>
          <w:szCs w:val="20"/>
        </w:rPr>
        <w:t>gNB</w:t>
      </w:r>
      <w:proofErr w:type="spellEnd"/>
      <w:r w:rsidRPr="009C3926">
        <w:rPr>
          <w:rFonts w:ascii="Arial" w:hAnsi="Arial" w:cs="Arial"/>
          <w:sz w:val="20"/>
          <w:szCs w:val="20"/>
        </w:rPr>
        <w:t>-CU.</w:t>
      </w:r>
      <w:r w:rsidR="003D0886">
        <w:rPr>
          <w:rFonts w:ascii="Arial" w:hAnsi="Arial" w:cs="Arial"/>
          <w:sz w:val="20"/>
          <w:szCs w:val="20"/>
        </w:rPr>
        <w:t xml:space="preserve"> This could be forwarded to the MN/SN which underwent an LTM failure. The MN/SN that underwent failure could prepare a new candidate cell</w:t>
      </w:r>
      <w:r w:rsidR="00F46680">
        <w:rPr>
          <w:rFonts w:ascii="Arial" w:hAnsi="Arial" w:cs="Arial"/>
          <w:sz w:val="20"/>
          <w:szCs w:val="20"/>
        </w:rPr>
        <w:t xml:space="preserve"> based on the latest measurement reports</w:t>
      </w:r>
      <w:r w:rsidR="003D0886">
        <w:rPr>
          <w:rFonts w:ascii="Arial" w:hAnsi="Arial" w:cs="Arial"/>
          <w:sz w:val="20"/>
          <w:szCs w:val="20"/>
        </w:rPr>
        <w:t xml:space="preserve"> and send the new LTM candidate cell configuration </w:t>
      </w:r>
      <w:r w:rsidR="00F46680">
        <w:rPr>
          <w:rFonts w:ascii="Arial" w:hAnsi="Arial" w:cs="Arial"/>
          <w:sz w:val="20"/>
          <w:szCs w:val="20"/>
        </w:rPr>
        <w:t xml:space="preserve">to the UE </w:t>
      </w:r>
      <w:r w:rsidR="003D0886">
        <w:rPr>
          <w:rFonts w:ascii="Arial" w:hAnsi="Arial" w:cs="Arial"/>
          <w:sz w:val="20"/>
          <w:szCs w:val="20"/>
        </w:rPr>
        <w:t>using the active radio link. The LTM cell switch command could also be sent together with the new LTM candidate cell configuration as well.</w:t>
      </w:r>
    </w:p>
    <w:p w14:paraId="012D7689" w14:textId="77777777" w:rsidR="009C3926" w:rsidRDefault="009C3926" w:rsidP="009C3926">
      <w:pPr>
        <w:pStyle w:val="Observation"/>
        <w:numPr>
          <w:ilvl w:val="0"/>
          <w:numId w:val="0"/>
        </w:numPr>
        <w:ind w:left="1701" w:hanging="1701"/>
        <w:rPr>
          <w:lang w:val="en-US"/>
        </w:rPr>
      </w:pPr>
    </w:p>
    <w:p w14:paraId="6C14863E" w14:textId="7D387D05" w:rsidR="008511D4" w:rsidRPr="00724E6F" w:rsidRDefault="003D0886" w:rsidP="008511D4">
      <w:pPr>
        <w:pStyle w:val="Proposal"/>
        <w:rPr>
          <w:lang w:val="en-US"/>
        </w:rPr>
      </w:pPr>
      <w:bookmarkStart w:id="7" w:name="_Ref166153330"/>
      <w:r>
        <w:rPr>
          <w:lang w:val="en-US"/>
        </w:rPr>
        <w:t xml:space="preserve">Post LTM failure and recovery, the latest measurement results are </w:t>
      </w:r>
      <w:r w:rsidR="00F46680">
        <w:rPr>
          <w:lang w:val="en-US"/>
        </w:rPr>
        <w:t>sent</w:t>
      </w:r>
      <w:r>
        <w:rPr>
          <w:lang w:val="en-US"/>
        </w:rPr>
        <w:t xml:space="preserve"> </w:t>
      </w:r>
      <w:r w:rsidR="00F46680">
        <w:rPr>
          <w:lang w:val="en-US"/>
        </w:rPr>
        <w:t xml:space="preserve">from UE </w:t>
      </w:r>
      <w:r>
        <w:rPr>
          <w:lang w:val="en-US"/>
        </w:rPr>
        <w:t xml:space="preserve">to the </w:t>
      </w:r>
      <w:proofErr w:type="spellStart"/>
      <w:r>
        <w:rPr>
          <w:lang w:val="en-US"/>
        </w:rPr>
        <w:t>gNB</w:t>
      </w:r>
      <w:proofErr w:type="spellEnd"/>
      <w:r>
        <w:rPr>
          <w:lang w:val="en-US"/>
        </w:rPr>
        <w:t>-CU which are forwarded to the MN/SN that underwent failure</w:t>
      </w:r>
      <w:r w:rsidR="008511D4">
        <w:rPr>
          <w:lang w:val="en-US"/>
        </w:rPr>
        <w:t>.</w:t>
      </w:r>
      <w:bookmarkEnd w:id="7"/>
    </w:p>
    <w:p w14:paraId="7AFEF72B" w14:textId="77777777" w:rsidR="008511D4" w:rsidRDefault="008511D4" w:rsidP="004533B0">
      <w:pPr>
        <w:rPr>
          <w:rFonts w:ascii="Arial" w:hAnsi="Arial" w:cs="Arial"/>
          <w:sz w:val="20"/>
          <w:szCs w:val="20"/>
          <w:lang w:val="en-GB"/>
        </w:rPr>
      </w:pPr>
    </w:p>
    <w:p w14:paraId="726ED0B5" w14:textId="4C86A4EF" w:rsidR="00BB31FF" w:rsidRDefault="003D0886" w:rsidP="00BB31FF">
      <w:pPr>
        <w:pStyle w:val="Proposal"/>
        <w:rPr>
          <w:lang w:val="en-US"/>
        </w:rPr>
      </w:pPr>
      <w:bookmarkStart w:id="8" w:name="_Ref166153336"/>
      <w:r>
        <w:rPr>
          <w:lang w:val="en-US"/>
        </w:rPr>
        <w:t xml:space="preserve">Latest measurement results are used to prepare a </w:t>
      </w:r>
      <w:r w:rsidR="00F46680">
        <w:rPr>
          <w:lang w:val="en-US"/>
        </w:rPr>
        <w:t xml:space="preserve">fresh </w:t>
      </w:r>
      <w:r>
        <w:rPr>
          <w:lang w:val="en-US"/>
        </w:rPr>
        <w:t xml:space="preserve">LTM </w:t>
      </w:r>
      <w:r w:rsidR="00F46680">
        <w:rPr>
          <w:lang w:val="en-US"/>
        </w:rPr>
        <w:t>candidate/target cell</w:t>
      </w:r>
      <w:r w:rsidR="00BB31FF">
        <w:rPr>
          <w:lang w:val="en-US"/>
        </w:rPr>
        <w:t>.</w:t>
      </w:r>
      <w:bookmarkEnd w:id="8"/>
    </w:p>
    <w:p w14:paraId="5EB07D9F" w14:textId="77777777" w:rsidR="00F46680" w:rsidRDefault="00F46680" w:rsidP="00F46680">
      <w:pPr>
        <w:pStyle w:val="ListParagraph"/>
        <w:rPr>
          <w:lang w:val="en-US"/>
        </w:rPr>
      </w:pPr>
    </w:p>
    <w:p w14:paraId="71A4E9F6" w14:textId="5B7DAD59" w:rsidR="00F46680" w:rsidRPr="00724E6F" w:rsidRDefault="00F46680" w:rsidP="00BB31FF">
      <w:pPr>
        <w:pStyle w:val="Proposal"/>
        <w:rPr>
          <w:lang w:val="en-US"/>
        </w:rPr>
      </w:pPr>
      <w:bookmarkStart w:id="9" w:name="_Ref174038290"/>
      <w:r>
        <w:rPr>
          <w:lang w:val="en-US"/>
        </w:rPr>
        <w:t>The newly prepared LTM candidate/target cell configuration and the LTM cell switch command for the new candidate/target cell are delivered to the UE using an RRC message over the active radio link.</w:t>
      </w:r>
      <w:bookmarkEnd w:id="9"/>
    </w:p>
    <w:p w14:paraId="14B80399" w14:textId="77777777" w:rsidR="00BB31FF" w:rsidRDefault="00BB31FF" w:rsidP="004533B0">
      <w:pPr>
        <w:rPr>
          <w:rFonts w:ascii="Arial" w:hAnsi="Arial" w:cs="Arial"/>
          <w:sz w:val="20"/>
          <w:szCs w:val="20"/>
          <w:lang w:val="en-GB"/>
        </w:rPr>
      </w:pPr>
    </w:p>
    <w:p w14:paraId="5D0C3DD4" w14:textId="79DA0A97" w:rsidR="00F46680" w:rsidRPr="004533B0" w:rsidRDefault="00F46680" w:rsidP="004533B0">
      <w:pPr>
        <w:rPr>
          <w:rFonts w:ascii="Arial" w:hAnsi="Arial" w:cs="Arial"/>
          <w:sz w:val="20"/>
          <w:szCs w:val="20"/>
          <w:lang w:val="en-GB"/>
        </w:rPr>
      </w:pPr>
      <w:r>
        <w:rPr>
          <w:rFonts w:ascii="Arial" w:hAnsi="Arial" w:cs="Arial"/>
          <w:sz w:val="20"/>
          <w:szCs w:val="20"/>
          <w:lang w:val="en-GB"/>
        </w:rPr>
        <w:t xml:space="preserve">The UE performs an LTM cell switch to the newly prepared </w:t>
      </w:r>
      <w:r>
        <w:t xml:space="preserve">candidate/target </w:t>
      </w:r>
      <w:r>
        <w:rPr>
          <w:rFonts w:ascii="Arial" w:hAnsi="Arial" w:cs="Arial"/>
          <w:sz w:val="20"/>
          <w:szCs w:val="20"/>
          <w:lang w:val="en-GB"/>
        </w:rPr>
        <w:t xml:space="preserve">cell and applies the </w:t>
      </w:r>
      <w:r>
        <w:t xml:space="preserve">candidate/target </w:t>
      </w:r>
      <w:r>
        <w:rPr>
          <w:rFonts w:ascii="Arial" w:hAnsi="Arial" w:cs="Arial"/>
          <w:sz w:val="20"/>
          <w:szCs w:val="20"/>
          <w:lang w:val="en-GB"/>
        </w:rPr>
        <w:t>cell configuration delivered using the RRC message. Thus</w:t>
      </w:r>
      <w:r w:rsidR="00234AE5">
        <w:rPr>
          <w:rFonts w:ascii="Arial" w:hAnsi="Arial" w:cs="Arial"/>
          <w:sz w:val="20"/>
          <w:szCs w:val="20"/>
          <w:lang w:val="en-GB"/>
        </w:rPr>
        <w:t>,</w:t>
      </w:r>
      <w:r>
        <w:rPr>
          <w:rFonts w:ascii="Arial" w:hAnsi="Arial" w:cs="Arial"/>
          <w:sz w:val="20"/>
          <w:szCs w:val="20"/>
          <w:lang w:val="en-GB"/>
        </w:rPr>
        <w:t xml:space="preserve"> RRC re-establishment is </w:t>
      </w:r>
      <w:r w:rsidR="00234AE5">
        <w:rPr>
          <w:rFonts w:ascii="Arial" w:hAnsi="Arial" w:cs="Arial"/>
          <w:sz w:val="20"/>
          <w:szCs w:val="20"/>
          <w:lang w:val="en-GB"/>
        </w:rPr>
        <w:t>avoided,</w:t>
      </w:r>
      <w:r>
        <w:rPr>
          <w:rFonts w:ascii="Arial" w:hAnsi="Arial" w:cs="Arial"/>
          <w:sz w:val="20"/>
          <w:szCs w:val="20"/>
          <w:lang w:val="en-GB"/>
        </w:rPr>
        <w:t xml:space="preserve"> and the UE recovers from LTM failure.</w:t>
      </w:r>
    </w:p>
    <w:p w14:paraId="710A4523" w14:textId="77777777" w:rsidR="00CD498E" w:rsidRPr="00422F5B" w:rsidRDefault="00CD498E" w:rsidP="00422F5B">
      <w:pPr>
        <w:rPr>
          <w:lang w:val="en-GB" w:eastAsia="en-US"/>
        </w:rPr>
      </w:pPr>
    </w:p>
    <w:p w14:paraId="3ABE87B9" w14:textId="77777777" w:rsidR="00CD5D5B" w:rsidRDefault="00CD5D5B" w:rsidP="00CD5D5B">
      <w:pPr>
        <w:rPr>
          <w:i/>
          <w:iCs/>
        </w:rPr>
      </w:pPr>
    </w:p>
    <w:p w14:paraId="14A5A648" w14:textId="47D427EF" w:rsidR="006C7A06" w:rsidRPr="00C742A7" w:rsidRDefault="006C7A06">
      <w:pPr>
        <w:rPr>
          <w:rFonts w:ascii="Arial" w:hAnsi="Arial" w:cs="Arial"/>
          <w:sz w:val="20"/>
          <w:szCs w:val="20"/>
        </w:rPr>
      </w:pPr>
      <w:r w:rsidRPr="00C742A7">
        <w:rPr>
          <w:rFonts w:ascii="Arial" w:hAnsi="Arial" w:cs="Arial"/>
          <w:sz w:val="20"/>
          <w:szCs w:val="20"/>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24EF4D42" w14:textId="624FEAB8" w:rsidR="00AE49E4" w:rsidRPr="00886B4C" w:rsidRDefault="00AE49E4" w:rsidP="006C7A06">
      <w:pPr>
        <w:spacing w:before="120" w:after="120"/>
        <w:jc w:val="both"/>
        <w:rPr>
          <w:rFonts w:ascii="Arial" w:hAnsi="Arial" w:cs="Arial"/>
          <w:b/>
          <w:bCs/>
          <w:sz w:val="20"/>
          <w:szCs w:val="20"/>
          <w:lang w:val="en-GB"/>
        </w:rPr>
      </w:pPr>
      <w:r w:rsidRPr="00886B4C">
        <w:rPr>
          <w:rFonts w:ascii="Arial" w:hAnsi="Arial" w:cs="Arial"/>
          <w:b/>
          <w:bCs/>
          <w:sz w:val="20"/>
          <w:szCs w:val="20"/>
          <w:lang w:val="en-GB"/>
        </w:rPr>
        <w:fldChar w:fldCharType="begin"/>
      </w:r>
      <w:r w:rsidRPr="00886B4C">
        <w:rPr>
          <w:rFonts w:ascii="Arial" w:hAnsi="Arial" w:cs="Arial"/>
          <w:b/>
          <w:bCs/>
          <w:sz w:val="20"/>
          <w:szCs w:val="20"/>
          <w:lang w:val="en-GB"/>
        </w:rPr>
        <w:instrText xml:space="preserve"> REF _Ref166153225 \r \h </w:instrText>
      </w:r>
      <w:r w:rsidR="00886B4C">
        <w:rPr>
          <w:rFonts w:ascii="Arial" w:hAnsi="Arial" w:cs="Arial"/>
          <w:b/>
          <w:bCs/>
          <w:sz w:val="20"/>
          <w:szCs w:val="20"/>
          <w:lang w:val="en-GB"/>
        </w:rPr>
        <w:instrText xml:space="preserve"> \* MERGEFORMAT </w:instrText>
      </w:r>
      <w:r w:rsidRPr="00886B4C">
        <w:rPr>
          <w:rFonts w:ascii="Arial" w:hAnsi="Arial" w:cs="Arial"/>
          <w:b/>
          <w:bCs/>
          <w:sz w:val="20"/>
          <w:szCs w:val="20"/>
          <w:lang w:val="en-GB"/>
        </w:rPr>
      </w:r>
      <w:r w:rsidRPr="00886B4C">
        <w:rPr>
          <w:rFonts w:ascii="Arial" w:hAnsi="Arial" w:cs="Arial"/>
          <w:b/>
          <w:bCs/>
          <w:sz w:val="20"/>
          <w:szCs w:val="20"/>
          <w:lang w:val="en-GB"/>
        </w:rPr>
        <w:fldChar w:fldCharType="separate"/>
      </w:r>
      <w:r w:rsidR="00781102">
        <w:rPr>
          <w:rFonts w:ascii="Arial" w:hAnsi="Arial" w:cs="Arial"/>
          <w:b/>
          <w:bCs/>
          <w:sz w:val="20"/>
          <w:szCs w:val="20"/>
          <w:lang w:val="en-GB"/>
        </w:rPr>
        <w:t>Observation 1</w:t>
      </w:r>
      <w:r w:rsidRPr="00886B4C">
        <w:rPr>
          <w:rFonts w:ascii="Arial" w:hAnsi="Arial" w:cs="Arial"/>
          <w:b/>
          <w:bCs/>
          <w:sz w:val="20"/>
          <w:szCs w:val="20"/>
          <w:lang w:val="en-GB"/>
        </w:rPr>
        <w:fldChar w:fldCharType="end"/>
      </w:r>
      <w:r w:rsidRPr="00886B4C">
        <w:rPr>
          <w:rFonts w:ascii="Arial" w:hAnsi="Arial" w:cs="Arial"/>
          <w:b/>
          <w:bCs/>
          <w:sz w:val="20"/>
          <w:szCs w:val="20"/>
          <w:lang w:val="en-GB"/>
        </w:rPr>
        <w:tab/>
      </w:r>
      <w:r w:rsidRPr="00886B4C">
        <w:rPr>
          <w:rFonts w:ascii="Arial" w:hAnsi="Arial" w:cs="Arial"/>
          <w:b/>
          <w:bCs/>
          <w:sz w:val="20"/>
          <w:szCs w:val="20"/>
          <w:lang w:val="en-GB"/>
        </w:rPr>
        <w:fldChar w:fldCharType="begin"/>
      </w:r>
      <w:r w:rsidRPr="00886B4C">
        <w:rPr>
          <w:rFonts w:ascii="Arial" w:hAnsi="Arial" w:cs="Arial"/>
          <w:b/>
          <w:bCs/>
          <w:sz w:val="20"/>
          <w:szCs w:val="20"/>
          <w:lang w:val="en-GB"/>
        </w:rPr>
        <w:instrText xml:space="preserve"> REF _Ref166153225 \h </w:instrText>
      </w:r>
      <w:r w:rsidR="00886B4C">
        <w:rPr>
          <w:rFonts w:ascii="Arial" w:hAnsi="Arial" w:cs="Arial"/>
          <w:b/>
          <w:bCs/>
          <w:sz w:val="20"/>
          <w:szCs w:val="20"/>
          <w:lang w:val="en-GB"/>
        </w:rPr>
        <w:instrText xml:space="preserve"> \* MERGEFORMAT </w:instrText>
      </w:r>
      <w:r w:rsidRPr="00886B4C">
        <w:rPr>
          <w:rFonts w:ascii="Arial" w:hAnsi="Arial" w:cs="Arial"/>
          <w:b/>
          <w:bCs/>
          <w:sz w:val="20"/>
          <w:szCs w:val="20"/>
          <w:lang w:val="en-GB"/>
        </w:rPr>
      </w:r>
      <w:r w:rsidRPr="00886B4C">
        <w:rPr>
          <w:rFonts w:ascii="Arial" w:hAnsi="Arial" w:cs="Arial"/>
          <w:b/>
          <w:bCs/>
          <w:sz w:val="20"/>
          <w:szCs w:val="20"/>
          <w:lang w:val="en-GB"/>
        </w:rPr>
        <w:fldChar w:fldCharType="separate"/>
      </w:r>
      <w:r w:rsidR="00781102" w:rsidRPr="00781102">
        <w:rPr>
          <w:b/>
          <w:bCs/>
        </w:rPr>
        <w:t xml:space="preserve">Barring </w:t>
      </w:r>
      <w:r w:rsidR="00781102" w:rsidRPr="00781102">
        <w:rPr>
          <w:rFonts w:cs="Arial"/>
          <w:b/>
          <w:bCs/>
        </w:rPr>
        <w:t>a simultaneous MCG and SCG failure, MCG SRB is available whenever there is an SCG LTM failure and SCG SRB is available (if SRB3 is configured) whenever there is an MCG LTM failure</w:t>
      </w:r>
      <w:r w:rsidR="00781102" w:rsidRPr="00781102">
        <w:rPr>
          <w:b/>
          <w:bCs/>
        </w:rPr>
        <w:t>.</w:t>
      </w:r>
      <w:r w:rsidRPr="00886B4C">
        <w:rPr>
          <w:rFonts w:ascii="Arial" w:hAnsi="Arial" w:cs="Arial"/>
          <w:b/>
          <w:bCs/>
          <w:sz w:val="20"/>
          <w:szCs w:val="20"/>
          <w:lang w:val="en-GB"/>
        </w:rPr>
        <w:fldChar w:fldCharType="end"/>
      </w:r>
    </w:p>
    <w:p w14:paraId="683A7C3E" w14:textId="77777777" w:rsidR="00045D2B"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roposals:</w:t>
      </w:r>
    </w:p>
    <w:p w14:paraId="179E33B6" w14:textId="5F52D049" w:rsidR="009D77BC" w:rsidRPr="00045D2B" w:rsidRDefault="00045D2B" w:rsidP="006C7A06">
      <w:pPr>
        <w:spacing w:before="120" w:after="120"/>
        <w:jc w:val="both"/>
        <w:rPr>
          <w:rFonts w:ascii="Arial" w:hAnsi="Arial" w:cs="Arial"/>
          <w:b/>
          <w:bCs/>
          <w:sz w:val="20"/>
          <w:szCs w:val="20"/>
          <w:lang w:val="en-GB"/>
        </w:rPr>
      </w:pPr>
      <w:r w:rsidRPr="00045D2B">
        <w:rPr>
          <w:rFonts w:ascii="Arial" w:hAnsi="Arial" w:cs="Arial"/>
          <w:b/>
          <w:bCs/>
          <w:sz w:val="20"/>
          <w:szCs w:val="20"/>
          <w:lang w:val="en-GB"/>
        </w:rPr>
        <w:fldChar w:fldCharType="begin"/>
      </w:r>
      <w:r w:rsidRPr="00045D2B">
        <w:rPr>
          <w:rFonts w:ascii="Arial" w:hAnsi="Arial" w:cs="Arial"/>
          <w:b/>
          <w:bCs/>
          <w:sz w:val="20"/>
          <w:szCs w:val="20"/>
          <w:lang w:val="en-GB"/>
        </w:rPr>
        <w:instrText xml:space="preserve"> REF _Ref178931720 \r \h </w:instrText>
      </w:r>
      <w:r>
        <w:rPr>
          <w:rFonts w:ascii="Arial" w:hAnsi="Arial" w:cs="Arial"/>
          <w:b/>
          <w:bCs/>
          <w:sz w:val="20"/>
          <w:szCs w:val="20"/>
          <w:lang w:val="en-GB"/>
        </w:rPr>
        <w:instrText xml:space="preserve"> \* MERGEFORMAT </w:instrText>
      </w:r>
      <w:r w:rsidRPr="00045D2B">
        <w:rPr>
          <w:rFonts w:ascii="Arial" w:hAnsi="Arial" w:cs="Arial"/>
          <w:b/>
          <w:bCs/>
          <w:sz w:val="20"/>
          <w:szCs w:val="20"/>
          <w:lang w:val="en-GB"/>
        </w:rPr>
      </w:r>
      <w:r w:rsidRPr="00045D2B">
        <w:rPr>
          <w:rFonts w:ascii="Arial" w:hAnsi="Arial" w:cs="Arial"/>
          <w:b/>
          <w:bCs/>
          <w:sz w:val="20"/>
          <w:szCs w:val="20"/>
          <w:lang w:val="en-GB"/>
        </w:rPr>
        <w:fldChar w:fldCharType="separate"/>
      </w:r>
      <w:r w:rsidR="00781102">
        <w:rPr>
          <w:rFonts w:ascii="Arial" w:hAnsi="Arial" w:cs="Arial"/>
          <w:b/>
          <w:bCs/>
          <w:sz w:val="20"/>
          <w:szCs w:val="20"/>
          <w:lang w:val="en-GB"/>
        </w:rPr>
        <w:t>Proposal 1</w:t>
      </w:r>
      <w:r w:rsidRPr="00045D2B">
        <w:rPr>
          <w:rFonts w:ascii="Arial" w:hAnsi="Arial" w:cs="Arial"/>
          <w:b/>
          <w:bCs/>
          <w:sz w:val="20"/>
          <w:szCs w:val="20"/>
          <w:lang w:val="en-GB"/>
        </w:rPr>
        <w:fldChar w:fldCharType="end"/>
      </w:r>
      <w:r>
        <w:rPr>
          <w:rFonts w:ascii="Arial" w:hAnsi="Arial" w:cs="Arial"/>
          <w:b/>
          <w:bCs/>
          <w:sz w:val="20"/>
          <w:szCs w:val="20"/>
          <w:lang w:val="en-GB"/>
        </w:rPr>
        <w:tab/>
      </w:r>
      <w:r w:rsidRPr="00045D2B">
        <w:rPr>
          <w:rFonts w:ascii="Arial" w:hAnsi="Arial" w:cs="Arial"/>
          <w:b/>
          <w:bCs/>
          <w:sz w:val="20"/>
          <w:szCs w:val="20"/>
          <w:lang w:val="en-GB"/>
        </w:rPr>
        <w:fldChar w:fldCharType="begin"/>
      </w:r>
      <w:r w:rsidRPr="00045D2B">
        <w:rPr>
          <w:rFonts w:ascii="Arial" w:hAnsi="Arial" w:cs="Arial"/>
          <w:b/>
          <w:bCs/>
          <w:sz w:val="20"/>
          <w:szCs w:val="20"/>
          <w:lang w:val="en-GB"/>
        </w:rPr>
        <w:instrText xml:space="preserve"> REF _Ref178931720 \h </w:instrText>
      </w:r>
      <w:r>
        <w:rPr>
          <w:rFonts w:ascii="Arial" w:hAnsi="Arial" w:cs="Arial"/>
          <w:b/>
          <w:bCs/>
          <w:sz w:val="20"/>
          <w:szCs w:val="20"/>
          <w:lang w:val="en-GB"/>
        </w:rPr>
        <w:instrText xml:space="preserve"> \* MERGEFORMAT </w:instrText>
      </w:r>
      <w:r w:rsidRPr="00045D2B">
        <w:rPr>
          <w:rFonts w:ascii="Arial" w:hAnsi="Arial" w:cs="Arial"/>
          <w:b/>
          <w:bCs/>
          <w:sz w:val="20"/>
          <w:szCs w:val="20"/>
          <w:lang w:val="en-GB"/>
        </w:rPr>
      </w:r>
      <w:r w:rsidRPr="00045D2B">
        <w:rPr>
          <w:rFonts w:ascii="Arial" w:hAnsi="Arial" w:cs="Arial"/>
          <w:b/>
          <w:bCs/>
          <w:sz w:val="20"/>
          <w:szCs w:val="20"/>
          <w:lang w:val="en-GB"/>
        </w:rPr>
        <w:fldChar w:fldCharType="separate"/>
      </w:r>
      <w:r w:rsidR="00781102" w:rsidRPr="00781102">
        <w:rPr>
          <w:b/>
          <w:bCs/>
        </w:rPr>
        <w:t>RAN2 to discuss the impacts of security key change on SN due to Intra-MN LTM and agree a way forward to address the issue.</w:t>
      </w:r>
      <w:r w:rsidRPr="00045D2B">
        <w:rPr>
          <w:rFonts w:ascii="Arial" w:hAnsi="Arial" w:cs="Arial"/>
          <w:b/>
          <w:bCs/>
          <w:sz w:val="20"/>
          <w:szCs w:val="20"/>
          <w:lang w:val="en-GB"/>
        </w:rPr>
        <w:fldChar w:fldCharType="end"/>
      </w:r>
      <w:r w:rsidR="00C82115" w:rsidRPr="00045D2B">
        <w:rPr>
          <w:rFonts w:ascii="Arial" w:hAnsi="Arial" w:cs="Arial"/>
          <w:b/>
          <w:bCs/>
          <w:sz w:val="20"/>
          <w:szCs w:val="20"/>
          <w:lang w:val="en-GB"/>
        </w:rPr>
        <w:t xml:space="preserve"> </w:t>
      </w:r>
    </w:p>
    <w:p w14:paraId="09C563B6" w14:textId="7EA3F9E4" w:rsidR="00AE49E4" w:rsidRPr="00AE49E4" w:rsidRDefault="00AE49E4" w:rsidP="006C7A06">
      <w:pPr>
        <w:spacing w:before="120" w:after="120"/>
        <w:jc w:val="both"/>
        <w:rPr>
          <w:rFonts w:ascii="Arial" w:hAnsi="Arial" w:cs="Arial"/>
          <w:b/>
          <w:bCs/>
          <w:sz w:val="20"/>
          <w:szCs w:val="20"/>
          <w:lang w:val="en-GB"/>
        </w:rPr>
      </w:pP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_Ref166153330 \r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781102">
        <w:rPr>
          <w:rFonts w:ascii="Arial" w:hAnsi="Arial" w:cs="Arial"/>
          <w:b/>
          <w:bCs/>
          <w:sz w:val="20"/>
          <w:szCs w:val="20"/>
          <w:lang w:val="en-GB"/>
        </w:rPr>
        <w:t>Proposal 2</w:t>
      </w:r>
      <w:r w:rsidRPr="00AE49E4">
        <w:rPr>
          <w:rFonts w:ascii="Arial" w:hAnsi="Arial" w:cs="Arial"/>
          <w:b/>
          <w:bCs/>
          <w:sz w:val="20"/>
          <w:szCs w:val="20"/>
          <w:lang w:val="en-GB"/>
        </w:rPr>
        <w:fldChar w:fldCharType="end"/>
      </w:r>
      <w:r w:rsidRPr="00AE49E4">
        <w:rPr>
          <w:rFonts w:ascii="Arial" w:hAnsi="Arial" w:cs="Arial"/>
          <w:b/>
          <w:bCs/>
          <w:sz w:val="20"/>
          <w:szCs w:val="20"/>
          <w:lang w:val="en-GB"/>
        </w:rPr>
        <w:tab/>
      </w: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_Ref166153330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781102" w:rsidRPr="00781102">
        <w:rPr>
          <w:b/>
          <w:bCs/>
        </w:rPr>
        <w:t xml:space="preserve">Post LTM failure and recovery, the latest measurement results are sent from UE to the </w:t>
      </w:r>
      <w:proofErr w:type="spellStart"/>
      <w:r w:rsidR="00781102" w:rsidRPr="00781102">
        <w:rPr>
          <w:b/>
          <w:bCs/>
        </w:rPr>
        <w:t>gNB</w:t>
      </w:r>
      <w:proofErr w:type="spellEnd"/>
      <w:r w:rsidR="00781102" w:rsidRPr="00781102">
        <w:rPr>
          <w:b/>
          <w:bCs/>
        </w:rPr>
        <w:t>-CU which are forwarded to the MN/SN that underwent failure</w:t>
      </w:r>
      <w:r w:rsidR="00781102">
        <w:t>.</w:t>
      </w:r>
      <w:r w:rsidRPr="00AE49E4">
        <w:rPr>
          <w:rFonts w:ascii="Arial" w:hAnsi="Arial" w:cs="Arial"/>
          <w:b/>
          <w:bCs/>
          <w:sz w:val="20"/>
          <w:szCs w:val="20"/>
          <w:lang w:val="en-GB"/>
        </w:rPr>
        <w:fldChar w:fldCharType="end"/>
      </w:r>
    </w:p>
    <w:p w14:paraId="02EC05FB" w14:textId="05AA0D82" w:rsidR="00AE49E4" w:rsidRDefault="00AE49E4" w:rsidP="006C7A06">
      <w:pPr>
        <w:spacing w:before="120" w:after="120"/>
        <w:jc w:val="both"/>
        <w:rPr>
          <w:rFonts w:ascii="Arial" w:hAnsi="Arial" w:cs="Arial"/>
          <w:b/>
          <w:bCs/>
          <w:sz w:val="20"/>
          <w:szCs w:val="20"/>
          <w:lang w:val="en-GB"/>
        </w:rPr>
      </w:pP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_Ref166153336 \r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781102">
        <w:rPr>
          <w:rFonts w:ascii="Arial" w:hAnsi="Arial" w:cs="Arial"/>
          <w:b/>
          <w:bCs/>
          <w:sz w:val="20"/>
          <w:szCs w:val="20"/>
          <w:lang w:val="en-GB"/>
        </w:rPr>
        <w:t>Proposal 3</w:t>
      </w:r>
      <w:r w:rsidRPr="00AE49E4">
        <w:rPr>
          <w:rFonts w:ascii="Arial" w:hAnsi="Arial" w:cs="Arial"/>
          <w:b/>
          <w:bCs/>
          <w:sz w:val="20"/>
          <w:szCs w:val="20"/>
          <w:lang w:val="en-GB"/>
        </w:rPr>
        <w:fldChar w:fldCharType="end"/>
      </w:r>
      <w:r w:rsidRPr="00AE49E4">
        <w:rPr>
          <w:rFonts w:ascii="Arial" w:hAnsi="Arial" w:cs="Arial"/>
          <w:b/>
          <w:bCs/>
          <w:sz w:val="20"/>
          <w:szCs w:val="20"/>
          <w:lang w:val="en-GB"/>
        </w:rPr>
        <w:tab/>
      </w: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_Ref166153336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781102" w:rsidRPr="00781102">
        <w:rPr>
          <w:b/>
          <w:bCs/>
        </w:rPr>
        <w:t>Latest measurement results are used to prepare a fresh LTM candidate/target cell.</w:t>
      </w:r>
      <w:r w:rsidRPr="00AE49E4">
        <w:rPr>
          <w:rFonts w:ascii="Arial" w:hAnsi="Arial" w:cs="Arial"/>
          <w:b/>
          <w:bCs/>
          <w:sz w:val="20"/>
          <w:szCs w:val="20"/>
          <w:lang w:val="en-GB"/>
        </w:rPr>
        <w:fldChar w:fldCharType="end"/>
      </w:r>
    </w:p>
    <w:p w14:paraId="1165E623" w14:textId="6D098BD8" w:rsidR="00886B4C" w:rsidRPr="00886B4C" w:rsidRDefault="00886B4C" w:rsidP="006C7A06">
      <w:pPr>
        <w:spacing w:before="120" w:after="120"/>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_Ref174038290 \w \h </w:instrText>
      </w:r>
      <w:r>
        <w:rPr>
          <w:rFonts w:ascii="Arial" w:hAnsi="Arial" w:cs="Arial"/>
          <w:b/>
          <w:bCs/>
          <w:sz w:val="20"/>
          <w:szCs w:val="20"/>
          <w:lang w:val="en-GB"/>
        </w:rPr>
      </w:r>
      <w:r>
        <w:rPr>
          <w:rFonts w:ascii="Arial" w:hAnsi="Arial" w:cs="Arial"/>
          <w:b/>
          <w:bCs/>
          <w:sz w:val="20"/>
          <w:szCs w:val="20"/>
          <w:lang w:val="en-GB"/>
        </w:rPr>
        <w:fldChar w:fldCharType="separate"/>
      </w:r>
      <w:r w:rsidR="00781102">
        <w:rPr>
          <w:rFonts w:ascii="Arial" w:hAnsi="Arial" w:cs="Arial"/>
          <w:b/>
          <w:bCs/>
          <w:sz w:val="20"/>
          <w:szCs w:val="20"/>
          <w:lang w:val="en-GB"/>
        </w:rPr>
        <w:t>Proposal 4</w:t>
      </w:r>
      <w:r>
        <w:rPr>
          <w:rFonts w:ascii="Arial" w:hAnsi="Arial" w:cs="Arial"/>
          <w:b/>
          <w:bCs/>
          <w:sz w:val="20"/>
          <w:szCs w:val="20"/>
          <w:lang w:val="en-GB"/>
        </w:rPr>
        <w:fldChar w:fldCharType="end"/>
      </w:r>
      <w:r>
        <w:rPr>
          <w:rFonts w:ascii="Arial" w:hAnsi="Arial" w:cs="Arial"/>
          <w:b/>
          <w:bCs/>
          <w:sz w:val="20"/>
          <w:szCs w:val="20"/>
          <w:lang w:val="en-GB"/>
        </w:rPr>
        <w:tab/>
      </w:r>
      <w:r w:rsidRPr="00886B4C">
        <w:rPr>
          <w:rFonts w:ascii="Arial" w:hAnsi="Arial" w:cs="Arial"/>
          <w:b/>
          <w:bCs/>
          <w:sz w:val="20"/>
          <w:szCs w:val="20"/>
          <w:lang w:val="en-GB"/>
        </w:rPr>
        <w:fldChar w:fldCharType="begin"/>
      </w:r>
      <w:r w:rsidRPr="00886B4C">
        <w:rPr>
          <w:rFonts w:ascii="Arial" w:hAnsi="Arial" w:cs="Arial"/>
          <w:b/>
          <w:bCs/>
          <w:sz w:val="20"/>
          <w:szCs w:val="20"/>
          <w:lang w:val="en-GB"/>
        </w:rPr>
        <w:instrText xml:space="preserve"> REF _Ref174038290 \h  \* MERGEFORMAT </w:instrText>
      </w:r>
      <w:r w:rsidRPr="00886B4C">
        <w:rPr>
          <w:rFonts w:ascii="Arial" w:hAnsi="Arial" w:cs="Arial"/>
          <w:b/>
          <w:bCs/>
          <w:sz w:val="20"/>
          <w:szCs w:val="20"/>
          <w:lang w:val="en-GB"/>
        </w:rPr>
      </w:r>
      <w:r w:rsidRPr="00886B4C">
        <w:rPr>
          <w:rFonts w:ascii="Arial" w:hAnsi="Arial" w:cs="Arial"/>
          <w:b/>
          <w:bCs/>
          <w:sz w:val="20"/>
          <w:szCs w:val="20"/>
          <w:lang w:val="en-GB"/>
        </w:rPr>
        <w:fldChar w:fldCharType="separate"/>
      </w:r>
      <w:r w:rsidR="00781102" w:rsidRPr="00781102">
        <w:rPr>
          <w:b/>
          <w:bCs/>
        </w:rPr>
        <w:t>The newly prepared LTM candidate/target cell configuration and the LTM cell switch command for the new candidate/target cell are delivered to the UE using an RRC message over the active radio link.</w:t>
      </w:r>
      <w:r w:rsidRPr="00886B4C">
        <w:rPr>
          <w:rFonts w:ascii="Arial" w:hAnsi="Arial" w:cs="Arial"/>
          <w:b/>
          <w:bCs/>
          <w:sz w:val="20"/>
          <w:szCs w:val="20"/>
          <w:lang w:val="en-GB"/>
        </w:rPr>
        <w:fldChar w:fldCharType="end"/>
      </w:r>
    </w:p>
    <w:p w14:paraId="7CDA90C1" w14:textId="4AD51612"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r w:rsidR="005447E1">
        <w:rPr>
          <w:rFonts w:eastAsia="PMingLiU" w:cs="Arial"/>
        </w:rPr>
        <w:t>s</w:t>
      </w:r>
    </w:p>
    <w:bookmarkStart w:id="10" w:name="_Ref162005699"/>
    <w:p w14:paraId="18657A3F" w14:textId="519291AD" w:rsidR="00B77B09" w:rsidRDefault="00B77B09" w:rsidP="00B77B09">
      <w:pPr>
        <w:pStyle w:val="Reference"/>
        <w:rPr>
          <w:lang w:val="en-US"/>
        </w:rPr>
      </w:pPr>
      <w:r w:rsidRPr="003B1AE6">
        <w:rPr>
          <w:lang w:val="en-US"/>
        </w:rPr>
        <w:fldChar w:fldCharType="begin"/>
      </w:r>
      <w:r w:rsidRPr="003B1AE6">
        <w:rPr>
          <w:lang w:val="en-US"/>
        </w:rPr>
        <w:instrText>HYPERLINK "http://www.3gpp.org/ftp/tsg_ran/TSG_RAN/TSGR_103/Docs/RP-240299.zip"</w:instrText>
      </w:r>
      <w:r w:rsidR="00781102" w:rsidRPr="003B1AE6">
        <w:rPr>
          <w:lang w:val="en-US"/>
        </w:rPr>
      </w:r>
      <w:r w:rsidRPr="003B1AE6">
        <w:rPr>
          <w:lang w:val="en-US"/>
        </w:rPr>
        <w:fldChar w:fldCharType="separate"/>
      </w:r>
      <w:r w:rsidRPr="003B1AE6">
        <w:rPr>
          <w:rStyle w:val="Hyperlink"/>
          <w:lang w:val="en-US"/>
        </w:rPr>
        <w:t>RP-240299</w:t>
      </w:r>
      <w:r w:rsidRPr="003B1AE6">
        <w:rPr>
          <w:lang w:val="en-US"/>
        </w:rPr>
        <w:fldChar w:fldCharType="end"/>
      </w:r>
      <w:r w:rsidRPr="003B1AE6">
        <w:rPr>
          <w:lang w:val="en-US"/>
        </w:rPr>
        <w:t>, Revised Work Item: NR mobility enhancements Phase 4, Apple Inc, China Telecom, 3GPP TSG RAN #103, Maastricht, Netherlands, March 18-21, 2024</w:t>
      </w:r>
      <w:bookmarkEnd w:id="10"/>
    </w:p>
    <w:p w14:paraId="7B312A39" w14:textId="58C8AF4A" w:rsidR="004D18BF" w:rsidRPr="001B2F67" w:rsidRDefault="004D18BF" w:rsidP="00B77B09">
      <w:pPr>
        <w:pStyle w:val="Reference"/>
        <w:rPr>
          <w:rStyle w:val="Hyperlink"/>
          <w:color w:val="auto"/>
          <w:u w:val="none"/>
          <w:lang w:val="en-US"/>
        </w:rPr>
      </w:pPr>
      <w:r>
        <w:rPr>
          <w:lang w:val="en-US"/>
        </w:rPr>
        <w:t xml:space="preserve">RAN2 Chairman Notes </w:t>
      </w:r>
      <w:hyperlink r:id="rId14" w:history="1">
        <w:r w:rsidRPr="004D18BF">
          <w:rPr>
            <w:rStyle w:val="Hyperlink"/>
            <w:lang w:val="en-US"/>
          </w:rPr>
          <w:t>R2_125bis_ChairNotes</w:t>
        </w:r>
      </w:hyperlink>
    </w:p>
    <w:p w14:paraId="2B1B1130" w14:textId="38869505" w:rsidR="001B2F67" w:rsidRDefault="001B2F67" w:rsidP="00B77B09">
      <w:pPr>
        <w:pStyle w:val="Reference"/>
        <w:rPr>
          <w:lang w:val="en-US"/>
        </w:rPr>
      </w:pPr>
      <w:r>
        <w:rPr>
          <w:lang w:val="en-US"/>
        </w:rPr>
        <w:t xml:space="preserve">3GPP TS 38.300. </w:t>
      </w:r>
      <w:r w:rsidRPr="001B2F67">
        <w:rPr>
          <w:lang w:val="en-US"/>
        </w:rPr>
        <w:t>NR; NR and NG-RAN Overall Description; Stage 2 (Release 1</w:t>
      </w:r>
      <w:r>
        <w:rPr>
          <w:lang w:val="en-US"/>
        </w:rPr>
        <w:t>8</w:t>
      </w:r>
      <w:r w:rsidRPr="001B2F67">
        <w:rPr>
          <w:lang w:val="en-US"/>
        </w:rPr>
        <w:t>)</w:t>
      </w:r>
    </w:p>
    <w:p w14:paraId="735CE666" w14:textId="6C42BCAD" w:rsidR="0089157A" w:rsidRPr="003B1AE6" w:rsidRDefault="0089157A" w:rsidP="00B77B09">
      <w:pPr>
        <w:pStyle w:val="Reference"/>
        <w:rPr>
          <w:lang w:val="en-US"/>
        </w:rPr>
      </w:pPr>
      <w:r w:rsidRPr="0089157A">
        <w:rPr>
          <w:bCs/>
          <w:lang w:val="en-US"/>
        </w:rPr>
        <w:t>R2-2408867</w:t>
      </w:r>
      <w:r>
        <w:rPr>
          <w:bCs/>
          <w:lang w:val="en-US"/>
        </w:rPr>
        <w:t>:</w:t>
      </w:r>
      <w:r w:rsidRPr="0089157A">
        <w:rPr>
          <w:lang w:val="en-US"/>
        </w:rPr>
        <w:t xml:space="preserve"> Initial considerations for inter-CU LTM</w:t>
      </w:r>
    </w:p>
    <w:p w14:paraId="0E7BE2FF" w14:textId="3BEED9BD" w:rsidR="006970AC" w:rsidRPr="00D052E3" w:rsidRDefault="006970AC" w:rsidP="00AD07D6">
      <w:pPr>
        <w:pStyle w:val="ListParagraph"/>
        <w:spacing w:after="120"/>
        <w:ind w:left="482"/>
        <w:contextualSpacing w:val="0"/>
        <w:textAlignment w:val="auto"/>
        <w:rPr>
          <w:rFonts w:ascii="Arial" w:hAnsi="Arial" w:cs="Arial"/>
        </w:rPr>
      </w:pPr>
    </w:p>
    <w:sectPr w:rsidR="006970AC" w:rsidRPr="00D052E3" w:rsidSect="002C23C9">
      <w:footerReference w:type="default" r:id="rId15"/>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2C7431" w14:textId="77777777" w:rsidR="00DA38C3" w:rsidRDefault="00DA38C3">
      <w:pPr>
        <w:pStyle w:val="TAL"/>
      </w:pPr>
      <w:r>
        <w:separator/>
      </w:r>
    </w:p>
  </w:endnote>
  <w:endnote w:type="continuationSeparator" w:id="0">
    <w:p w14:paraId="1A2690EA" w14:textId="77777777" w:rsidR="00DA38C3" w:rsidRDefault="00DA38C3">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674F9E" w14:textId="77777777" w:rsidR="00DA38C3" w:rsidRDefault="00DA38C3">
      <w:pPr>
        <w:pStyle w:val="TAL"/>
      </w:pPr>
      <w:r>
        <w:separator/>
      </w:r>
    </w:p>
  </w:footnote>
  <w:footnote w:type="continuationSeparator" w:id="0">
    <w:p w14:paraId="7575D514" w14:textId="77777777" w:rsidR="00DA38C3" w:rsidRDefault="00DA38C3">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6624B"/>
    <w:multiLevelType w:val="hybridMultilevel"/>
    <w:tmpl w:val="8F9E2BD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D930500"/>
    <w:multiLevelType w:val="multilevel"/>
    <w:tmpl w:val="16562C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3EFB7432"/>
    <w:multiLevelType w:val="hybridMultilevel"/>
    <w:tmpl w:val="D02E3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0584986"/>
    <w:multiLevelType w:val="hybridMultilevel"/>
    <w:tmpl w:val="833618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64207137"/>
    <w:multiLevelType w:val="hybridMultilevel"/>
    <w:tmpl w:val="688AE71C"/>
    <w:lvl w:ilvl="0" w:tplc="C80E4FDE">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9BD4386"/>
    <w:multiLevelType w:val="hybridMultilevel"/>
    <w:tmpl w:val="741256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2"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9A745EC"/>
    <w:multiLevelType w:val="hybridMultilevel"/>
    <w:tmpl w:val="3A1E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7"/>
  </w:num>
  <w:num w:numId="2" w16cid:durableId="1712925209">
    <w:abstractNumId w:val="25"/>
  </w:num>
  <w:num w:numId="3" w16cid:durableId="1459103136">
    <w:abstractNumId w:val="21"/>
  </w:num>
  <w:num w:numId="4" w16cid:durableId="1141001138">
    <w:abstractNumId w:val="12"/>
  </w:num>
  <w:num w:numId="5" w16cid:durableId="734744943">
    <w:abstractNumId w:val="2"/>
  </w:num>
  <w:num w:numId="6" w16cid:durableId="1392147612">
    <w:abstractNumId w:val="21"/>
  </w:num>
  <w:num w:numId="7" w16cid:durableId="1980916596">
    <w:abstractNumId w:val="4"/>
  </w:num>
  <w:num w:numId="8" w16cid:durableId="544022156">
    <w:abstractNumId w:val="3"/>
  </w:num>
  <w:num w:numId="9" w16cid:durableId="223220381">
    <w:abstractNumId w:val="21"/>
  </w:num>
  <w:num w:numId="10" w16cid:durableId="2089769091">
    <w:abstractNumId w:val="22"/>
  </w:num>
  <w:num w:numId="11" w16cid:durableId="1967614257">
    <w:abstractNumId w:val="26"/>
  </w:num>
  <w:num w:numId="12" w16cid:durableId="161240221">
    <w:abstractNumId w:val="9"/>
  </w:num>
  <w:num w:numId="13" w16cid:durableId="940725846">
    <w:abstractNumId w:val="15"/>
  </w:num>
  <w:num w:numId="14" w16cid:durableId="1956788693">
    <w:abstractNumId w:val="20"/>
  </w:num>
  <w:num w:numId="15" w16cid:durableId="774136100">
    <w:abstractNumId w:val="18"/>
  </w:num>
  <w:num w:numId="16" w16cid:durableId="1123812728">
    <w:abstractNumId w:val="17"/>
  </w:num>
  <w:num w:numId="17" w16cid:durableId="1915168103">
    <w:abstractNumId w:val="24"/>
  </w:num>
  <w:num w:numId="18" w16cid:durableId="125317429">
    <w:abstractNumId w:val="14"/>
  </w:num>
  <w:num w:numId="19" w16cid:durableId="145899448">
    <w:abstractNumId w:val="0"/>
  </w:num>
  <w:num w:numId="20" w16cid:durableId="1275096279">
    <w:abstractNumId w:val="11"/>
  </w:num>
  <w:num w:numId="21" w16cid:durableId="1013848472">
    <w:abstractNumId w:val="10"/>
  </w:num>
  <w:num w:numId="22" w16cid:durableId="491719827">
    <w:abstractNumId w:val="13"/>
  </w:num>
  <w:num w:numId="23" w16cid:durableId="515073769">
    <w:abstractNumId w:val="6"/>
  </w:num>
  <w:num w:numId="24" w16cid:durableId="902135417">
    <w:abstractNumId w:val="23"/>
  </w:num>
  <w:num w:numId="25" w16cid:durableId="1971940421">
    <w:abstractNumId w:val="1"/>
  </w:num>
  <w:num w:numId="26" w16cid:durableId="985354978">
    <w:abstractNumId w:val="16"/>
  </w:num>
  <w:num w:numId="27" w16cid:durableId="1230918910">
    <w:abstractNumId w:val="8"/>
  </w:num>
  <w:num w:numId="28" w16cid:durableId="1748728366">
    <w:abstractNumId w:val="19"/>
  </w:num>
  <w:num w:numId="29" w16cid:durableId="71311516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48C"/>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691"/>
    <w:rsid w:val="0002371A"/>
    <w:rsid w:val="00023A66"/>
    <w:rsid w:val="00023AE2"/>
    <w:rsid w:val="000244C9"/>
    <w:rsid w:val="000245E4"/>
    <w:rsid w:val="00024665"/>
    <w:rsid w:val="00024762"/>
    <w:rsid w:val="00024983"/>
    <w:rsid w:val="00024B57"/>
    <w:rsid w:val="00024CF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2B"/>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B6E"/>
    <w:rsid w:val="00050FB5"/>
    <w:rsid w:val="000517D9"/>
    <w:rsid w:val="000519F3"/>
    <w:rsid w:val="00051B79"/>
    <w:rsid w:val="00051D4C"/>
    <w:rsid w:val="00051E85"/>
    <w:rsid w:val="0005249D"/>
    <w:rsid w:val="000524B1"/>
    <w:rsid w:val="000524B4"/>
    <w:rsid w:val="000527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373"/>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054"/>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6C3"/>
    <w:rsid w:val="000937D1"/>
    <w:rsid w:val="00093B6F"/>
    <w:rsid w:val="00093D2E"/>
    <w:rsid w:val="000940CF"/>
    <w:rsid w:val="00094F00"/>
    <w:rsid w:val="00094F98"/>
    <w:rsid w:val="000956F2"/>
    <w:rsid w:val="00095C76"/>
    <w:rsid w:val="00095D02"/>
    <w:rsid w:val="00095EA5"/>
    <w:rsid w:val="00096112"/>
    <w:rsid w:val="00096338"/>
    <w:rsid w:val="0009633D"/>
    <w:rsid w:val="00096389"/>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2E3"/>
    <w:rsid w:val="000A15F3"/>
    <w:rsid w:val="000A18F0"/>
    <w:rsid w:val="000A1B88"/>
    <w:rsid w:val="000A1D25"/>
    <w:rsid w:val="000A2082"/>
    <w:rsid w:val="000A3564"/>
    <w:rsid w:val="000A3672"/>
    <w:rsid w:val="000A4A89"/>
    <w:rsid w:val="000A51B1"/>
    <w:rsid w:val="000A54D7"/>
    <w:rsid w:val="000A583C"/>
    <w:rsid w:val="000A5C81"/>
    <w:rsid w:val="000A5CB4"/>
    <w:rsid w:val="000A62E2"/>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5C9"/>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1F"/>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25"/>
    <w:rsid w:val="000D36DD"/>
    <w:rsid w:val="000D3D53"/>
    <w:rsid w:val="000D3E30"/>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5CD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26"/>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7B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67F6"/>
    <w:rsid w:val="00137428"/>
    <w:rsid w:val="00137935"/>
    <w:rsid w:val="00137A6A"/>
    <w:rsid w:val="00140061"/>
    <w:rsid w:val="001400D5"/>
    <w:rsid w:val="001401CB"/>
    <w:rsid w:val="0014058C"/>
    <w:rsid w:val="00140847"/>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AF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EEF"/>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2C"/>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31D"/>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7"/>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0E"/>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11D"/>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B2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6D9"/>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322"/>
    <w:rsid w:val="00234770"/>
    <w:rsid w:val="00234899"/>
    <w:rsid w:val="00234AE5"/>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4BD"/>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68E"/>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B9B"/>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3C9"/>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40C"/>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111"/>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123"/>
    <w:rsid w:val="002E614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62"/>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3E22"/>
    <w:rsid w:val="003042F7"/>
    <w:rsid w:val="00304301"/>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3E4"/>
    <w:rsid w:val="00314410"/>
    <w:rsid w:val="00314705"/>
    <w:rsid w:val="0031472D"/>
    <w:rsid w:val="003148BD"/>
    <w:rsid w:val="00314961"/>
    <w:rsid w:val="00314C42"/>
    <w:rsid w:val="00314EB0"/>
    <w:rsid w:val="00314EF3"/>
    <w:rsid w:val="0031526A"/>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2"/>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78"/>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D3B"/>
    <w:rsid w:val="00353E44"/>
    <w:rsid w:val="00354179"/>
    <w:rsid w:val="003546F0"/>
    <w:rsid w:val="00354897"/>
    <w:rsid w:val="00354D00"/>
    <w:rsid w:val="0035678C"/>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03E"/>
    <w:rsid w:val="00372240"/>
    <w:rsid w:val="00372413"/>
    <w:rsid w:val="00372A6E"/>
    <w:rsid w:val="00372A89"/>
    <w:rsid w:val="00372AD0"/>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4AC"/>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5FF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102"/>
    <w:rsid w:val="003A326B"/>
    <w:rsid w:val="003A32DD"/>
    <w:rsid w:val="003A347E"/>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A5C"/>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13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E55"/>
    <w:rsid w:val="003C6FEA"/>
    <w:rsid w:val="003C75E2"/>
    <w:rsid w:val="003C772C"/>
    <w:rsid w:val="003C7A7E"/>
    <w:rsid w:val="003C7DA2"/>
    <w:rsid w:val="003C7E54"/>
    <w:rsid w:val="003D02E8"/>
    <w:rsid w:val="003D0735"/>
    <w:rsid w:val="003D0886"/>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AC1"/>
    <w:rsid w:val="00411C24"/>
    <w:rsid w:val="004120CE"/>
    <w:rsid w:val="004122A9"/>
    <w:rsid w:val="0041231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6C2"/>
    <w:rsid w:val="004207B2"/>
    <w:rsid w:val="004208A2"/>
    <w:rsid w:val="00420A03"/>
    <w:rsid w:val="00420B17"/>
    <w:rsid w:val="00420C0C"/>
    <w:rsid w:val="0042161C"/>
    <w:rsid w:val="00421A84"/>
    <w:rsid w:val="00421EB5"/>
    <w:rsid w:val="00422343"/>
    <w:rsid w:val="00422506"/>
    <w:rsid w:val="00422738"/>
    <w:rsid w:val="00422826"/>
    <w:rsid w:val="004228F8"/>
    <w:rsid w:val="00422F5B"/>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278"/>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4D0"/>
    <w:rsid w:val="00451FC5"/>
    <w:rsid w:val="00452123"/>
    <w:rsid w:val="00452551"/>
    <w:rsid w:val="00452631"/>
    <w:rsid w:val="00452B0E"/>
    <w:rsid w:val="00452B81"/>
    <w:rsid w:val="00452E92"/>
    <w:rsid w:val="00452F51"/>
    <w:rsid w:val="004533B0"/>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882"/>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C02"/>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9759C"/>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6784"/>
    <w:rsid w:val="004C70D8"/>
    <w:rsid w:val="004C7288"/>
    <w:rsid w:val="004C7333"/>
    <w:rsid w:val="004C75BE"/>
    <w:rsid w:val="004C766B"/>
    <w:rsid w:val="004C771F"/>
    <w:rsid w:val="004C77A2"/>
    <w:rsid w:val="004D0445"/>
    <w:rsid w:val="004D07E2"/>
    <w:rsid w:val="004D0A53"/>
    <w:rsid w:val="004D0B6D"/>
    <w:rsid w:val="004D1693"/>
    <w:rsid w:val="004D1803"/>
    <w:rsid w:val="004D18BF"/>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D7961"/>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5B4"/>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425"/>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1797F"/>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0F"/>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762"/>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7E1"/>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82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905"/>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7DC"/>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8FA"/>
    <w:rsid w:val="00577D0C"/>
    <w:rsid w:val="00577DED"/>
    <w:rsid w:val="00580084"/>
    <w:rsid w:val="0058045B"/>
    <w:rsid w:val="00580525"/>
    <w:rsid w:val="005807CE"/>
    <w:rsid w:val="00580971"/>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7D3"/>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8F5"/>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60"/>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1AF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6B9A"/>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9B"/>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11"/>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8BC"/>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21"/>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C02"/>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0AC"/>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0EEE"/>
    <w:rsid w:val="006B187F"/>
    <w:rsid w:val="006B1A0E"/>
    <w:rsid w:val="006B213C"/>
    <w:rsid w:val="006B216F"/>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4B40"/>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3D52"/>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2B23"/>
    <w:rsid w:val="006F3084"/>
    <w:rsid w:val="006F3119"/>
    <w:rsid w:val="006F31D3"/>
    <w:rsid w:val="006F34E7"/>
    <w:rsid w:val="006F3A33"/>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7CB"/>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65A"/>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0F98"/>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30"/>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102"/>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2D0"/>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83C"/>
    <w:rsid w:val="007B7857"/>
    <w:rsid w:val="007B7DAB"/>
    <w:rsid w:val="007C03A2"/>
    <w:rsid w:val="007C07BE"/>
    <w:rsid w:val="007C1082"/>
    <w:rsid w:val="007C13DA"/>
    <w:rsid w:val="007C14FD"/>
    <w:rsid w:val="007C1A4A"/>
    <w:rsid w:val="007C1CCC"/>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B72"/>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3C2"/>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6E71"/>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4B4"/>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1F42"/>
    <w:rsid w:val="008120EF"/>
    <w:rsid w:val="00812389"/>
    <w:rsid w:val="008124E0"/>
    <w:rsid w:val="00812570"/>
    <w:rsid w:val="0081284C"/>
    <w:rsid w:val="00812EF5"/>
    <w:rsid w:val="00812F61"/>
    <w:rsid w:val="00813C6B"/>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6B6"/>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343"/>
    <w:rsid w:val="00841D56"/>
    <w:rsid w:val="0084217D"/>
    <w:rsid w:val="00842377"/>
    <w:rsid w:val="008423BC"/>
    <w:rsid w:val="0084240C"/>
    <w:rsid w:val="008426B0"/>
    <w:rsid w:val="00842A7D"/>
    <w:rsid w:val="00842B6B"/>
    <w:rsid w:val="00842FEA"/>
    <w:rsid w:val="00843107"/>
    <w:rsid w:val="0084318A"/>
    <w:rsid w:val="00843548"/>
    <w:rsid w:val="00843663"/>
    <w:rsid w:val="008439A0"/>
    <w:rsid w:val="008439E8"/>
    <w:rsid w:val="00843AF3"/>
    <w:rsid w:val="00843FBC"/>
    <w:rsid w:val="00844375"/>
    <w:rsid w:val="0084446D"/>
    <w:rsid w:val="00844C2B"/>
    <w:rsid w:val="00845398"/>
    <w:rsid w:val="008455D7"/>
    <w:rsid w:val="008456BA"/>
    <w:rsid w:val="008458E9"/>
    <w:rsid w:val="00845B7D"/>
    <w:rsid w:val="00845FCC"/>
    <w:rsid w:val="0084616E"/>
    <w:rsid w:val="008461DA"/>
    <w:rsid w:val="008462A3"/>
    <w:rsid w:val="00846530"/>
    <w:rsid w:val="008465A7"/>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1D4"/>
    <w:rsid w:val="00851921"/>
    <w:rsid w:val="00851C57"/>
    <w:rsid w:val="008521B9"/>
    <w:rsid w:val="008522AA"/>
    <w:rsid w:val="00852553"/>
    <w:rsid w:val="008532AF"/>
    <w:rsid w:val="008532B7"/>
    <w:rsid w:val="00853559"/>
    <w:rsid w:val="008536C3"/>
    <w:rsid w:val="008537AD"/>
    <w:rsid w:val="00854AA6"/>
    <w:rsid w:val="0085507D"/>
    <w:rsid w:val="00855802"/>
    <w:rsid w:val="00855B06"/>
    <w:rsid w:val="00855B9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13A"/>
    <w:rsid w:val="0087697D"/>
    <w:rsid w:val="00876C05"/>
    <w:rsid w:val="00876F4C"/>
    <w:rsid w:val="00877142"/>
    <w:rsid w:val="0087769A"/>
    <w:rsid w:val="00877A23"/>
    <w:rsid w:val="00877E9C"/>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908"/>
    <w:rsid w:val="00885FF7"/>
    <w:rsid w:val="00886843"/>
    <w:rsid w:val="00886A31"/>
    <w:rsid w:val="00886B4C"/>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57A"/>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8ED"/>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093"/>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0BC"/>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15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B21"/>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765"/>
    <w:rsid w:val="009B28E1"/>
    <w:rsid w:val="009B2B07"/>
    <w:rsid w:val="009B322D"/>
    <w:rsid w:val="009B325F"/>
    <w:rsid w:val="009B3661"/>
    <w:rsid w:val="009B3E96"/>
    <w:rsid w:val="009B4499"/>
    <w:rsid w:val="009B4A2D"/>
    <w:rsid w:val="009B4A71"/>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26"/>
    <w:rsid w:val="009C39A8"/>
    <w:rsid w:val="009C3DD3"/>
    <w:rsid w:val="009C449D"/>
    <w:rsid w:val="009C4872"/>
    <w:rsid w:val="009C4CA6"/>
    <w:rsid w:val="009C4F54"/>
    <w:rsid w:val="009C5730"/>
    <w:rsid w:val="009C5AC1"/>
    <w:rsid w:val="009C5B46"/>
    <w:rsid w:val="009C5DCA"/>
    <w:rsid w:val="009C65B1"/>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01"/>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DCE"/>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1C"/>
    <w:rsid w:val="00A04B57"/>
    <w:rsid w:val="00A05052"/>
    <w:rsid w:val="00A054D3"/>
    <w:rsid w:val="00A05CD0"/>
    <w:rsid w:val="00A05FF6"/>
    <w:rsid w:val="00A0606F"/>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322"/>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8F1"/>
    <w:rsid w:val="00A32A2B"/>
    <w:rsid w:val="00A32DFB"/>
    <w:rsid w:val="00A32FF6"/>
    <w:rsid w:val="00A34708"/>
    <w:rsid w:val="00A3497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678"/>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19C"/>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37F"/>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7D"/>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7D6"/>
    <w:rsid w:val="00AD088D"/>
    <w:rsid w:val="00AD0910"/>
    <w:rsid w:val="00AD0E46"/>
    <w:rsid w:val="00AD1693"/>
    <w:rsid w:val="00AD16CF"/>
    <w:rsid w:val="00AD1859"/>
    <w:rsid w:val="00AD1D6F"/>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CF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9E4"/>
    <w:rsid w:val="00AE4F88"/>
    <w:rsid w:val="00AE5101"/>
    <w:rsid w:val="00AE518D"/>
    <w:rsid w:val="00AE56CB"/>
    <w:rsid w:val="00AE5C31"/>
    <w:rsid w:val="00AE5E1E"/>
    <w:rsid w:val="00AE5F03"/>
    <w:rsid w:val="00AE6792"/>
    <w:rsid w:val="00AE6869"/>
    <w:rsid w:val="00AE6F0C"/>
    <w:rsid w:val="00AE72F0"/>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04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334"/>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14"/>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0AF"/>
    <w:rsid w:val="00B241F0"/>
    <w:rsid w:val="00B242E2"/>
    <w:rsid w:val="00B243A1"/>
    <w:rsid w:val="00B244BA"/>
    <w:rsid w:val="00B248AC"/>
    <w:rsid w:val="00B24F35"/>
    <w:rsid w:val="00B25354"/>
    <w:rsid w:val="00B254E2"/>
    <w:rsid w:val="00B25A81"/>
    <w:rsid w:val="00B25A91"/>
    <w:rsid w:val="00B25B65"/>
    <w:rsid w:val="00B25E72"/>
    <w:rsid w:val="00B26126"/>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66B5"/>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6D1C"/>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09"/>
    <w:rsid w:val="00B77BB7"/>
    <w:rsid w:val="00B77D01"/>
    <w:rsid w:val="00B803E6"/>
    <w:rsid w:val="00B80791"/>
    <w:rsid w:val="00B80B80"/>
    <w:rsid w:val="00B80D8C"/>
    <w:rsid w:val="00B80DCD"/>
    <w:rsid w:val="00B80EA7"/>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8"/>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C32"/>
    <w:rsid w:val="00BB2E03"/>
    <w:rsid w:val="00BB31FF"/>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9EE"/>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3C0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0E7"/>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763"/>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A51"/>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440"/>
    <w:rsid w:val="00C55578"/>
    <w:rsid w:val="00C55664"/>
    <w:rsid w:val="00C556D1"/>
    <w:rsid w:val="00C55745"/>
    <w:rsid w:val="00C55A06"/>
    <w:rsid w:val="00C55AD9"/>
    <w:rsid w:val="00C55F26"/>
    <w:rsid w:val="00C56225"/>
    <w:rsid w:val="00C56661"/>
    <w:rsid w:val="00C56831"/>
    <w:rsid w:val="00C568A9"/>
    <w:rsid w:val="00C56B18"/>
    <w:rsid w:val="00C571FA"/>
    <w:rsid w:val="00C57751"/>
    <w:rsid w:val="00C57C0C"/>
    <w:rsid w:val="00C57C91"/>
    <w:rsid w:val="00C57D26"/>
    <w:rsid w:val="00C57E31"/>
    <w:rsid w:val="00C57ED1"/>
    <w:rsid w:val="00C60569"/>
    <w:rsid w:val="00C6063B"/>
    <w:rsid w:val="00C6073D"/>
    <w:rsid w:val="00C60A7F"/>
    <w:rsid w:val="00C61555"/>
    <w:rsid w:val="00C61E58"/>
    <w:rsid w:val="00C62599"/>
    <w:rsid w:val="00C6267A"/>
    <w:rsid w:val="00C6285F"/>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2A7"/>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37"/>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5F62"/>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617"/>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98E"/>
    <w:rsid w:val="00CD4D1B"/>
    <w:rsid w:val="00CD4E94"/>
    <w:rsid w:val="00CD5384"/>
    <w:rsid w:val="00CD54B7"/>
    <w:rsid w:val="00CD59BB"/>
    <w:rsid w:val="00CD5D5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24F"/>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4EA9"/>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8BF"/>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31"/>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AC"/>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6D79"/>
    <w:rsid w:val="00D97496"/>
    <w:rsid w:val="00D97A2E"/>
    <w:rsid w:val="00DA072E"/>
    <w:rsid w:val="00DA0844"/>
    <w:rsid w:val="00DA0ACB"/>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8C3"/>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8D3"/>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3EAC"/>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8D7"/>
    <w:rsid w:val="00DD7E2B"/>
    <w:rsid w:val="00DE03AB"/>
    <w:rsid w:val="00DE0560"/>
    <w:rsid w:val="00DE07CE"/>
    <w:rsid w:val="00DE0D2C"/>
    <w:rsid w:val="00DE0EBA"/>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50D"/>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4A18"/>
    <w:rsid w:val="00E057B1"/>
    <w:rsid w:val="00E05B46"/>
    <w:rsid w:val="00E05D42"/>
    <w:rsid w:val="00E06150"/>
    <w:rsid w:val="00E067B9"/>
    <w:rsid w:val="00E06B36"/>
    <w:rsid w:val="00E06D9F"/>
    <w:rsid w:val="00E076F5"/>
    <w:rsid w:val="00E07850"/>
    <w:rsid w:val="00E07B3E"/>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3FA"/>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0FBB"/>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D51"/>
    <w:rsid w:val="00E41E33"/>
    <w:rsid w:val="00E427E7"/>
    <w:rsid w:val="00E42BD3"/>
    <w:rsid w:val="00E430B0"/>
    <w:rsid w:val="00E4346D"/>
    <w:rsid w:val="00E43A42"/>
    <w:rsid w:val="00E44553"/>
    <w:rsid w:val="00E44889"/>
    <w:rsid w:val="00E44AD1"/>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19"/>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3F5B"/>
    <w:rsid w:val="00E7406A"/>
    <w:rsid w:val="00E742F5"/>
    <w:rsid w:val="00E743B1"/>
    <w:rsid w:val="00E7470D"/>
    <w:rsid w:val="00E7493E"/>
    <w:rsid w:val="00E75521"/>
    <w:rsid w:val="00E7616C"/>
    <w:rsid w:val="00E764A4"/>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CE9"/>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4E9C"/>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D7B73"/>
    <w:rsid w:val="00EE0061"/>
    <w:rsid w:val="00EE0649"/>
    <w:rsid w:val="00EE06AA"/>
    <w:rsid w:val="00EE0845"/>
    <w:rsid w:val="00EE091B"/>
    <w:rsid w:val="00EE0D1C"/>
    <w:rsid w:val="00EE1135"/>
    <w:rsid w:val="00EE1290"/>
    <w:rsid w:val="00EE1421"/>
    <w:rsid w:val="00EE154C"/>
    <w:rsid w:val="00EE1978"/>
    <w:rsid w:val="00EE19D9"/>
    <w:rsid w:val="00EE1EF5"/>
    <w:rsid w:val="00EE2164"/>
    <w:rsid w:val="00EE2199"/>
    <w:rsid w:val="00EE222B"/>
    <w:rsid w:val="00EE2374"/>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148"/>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2F5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680"/>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CFA"/>
    <w:rsid w:val="00F90EB5"/>
    <w:rsid w:val="00F9157E"/>
    <w:rsid w:val="00F917E2"/>
    <w:rsid w:val="00F91865"/>
    <w:rsid w:val="00F91E3D"/>
    <w:rsid w:val="00F92240"/>
    <w:rsid w:val="00F92460"/>
    <w:rsid w:val="00F92C57"/>
    <w:rsid w:val="00F92E67"/>
    <w:rsid w:val="00F92E75"/>
    <w:rsid w:val="00F931D6"/>
    <w:rsid w:val="00F9366B"/>
    <w:rsid w:val="00F93BC3"/>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18"/>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35F"/>
    <w:rsid w:val="00FA2459"/>
    <w:rsid w:val="00FA2A6F"/>
    <w:rsid w:val="00FA2CF8"/>
    <w:rsid w:val="00FA3F29"/>
    <w:rsid w:val="00FA4171"/>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CE2"/>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5B"/>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10D"/>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ê¥¹¥È¶ÎÂä,¥¡¡¡¡ì¬º¥¹¥È¶ÎÂä,ÁÐ³ö¶ÎÂä,列表段落1,—ño’i—Ž,1st level - Bullet List Paragraph,Lettre d'introduction,Paragrafo elenco,Normal bullet 2,Bullet list,목록단락,列,P,목록"/>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リスト段落 Char,列出段落1 Char,中等深浅网格 1 - 着色 21 Char,¥ê¥¹¥È¶ÎÂä Char,¥¡¡¡¡ì¬º¥¹¥È¶ÎÂä Char,ÁÐ³ö¶ÎÂä Char,列表段落1 Char,—ño’i—Ž Char,Lettre d'introduction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qForma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B77B09"/>
    <w:pPr>
      <w:numPr>
        <w:numId w:val="20"/>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52119"/>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C57D26"/>
    <w:pPr>
      <w:numPr>
        <w:numId w:val="2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4Char">
    <w:name w:val="B4 Char"/>
    <w:link w:val="B4"/>
    <w:qFormat/>
    <w:rsid w:val="003A310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0245708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70838749">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Meetings_3GPP_SYNC/RAN2/Inbox/Chair_Notes/R2_125bis_ChairNotes_25-04-15_13-00.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TotalTime>
  <Pages>5</Pages>
  <Words>1525</Words>
  <Characters>7291</Characters>
  <Application>Microsoft Office Word</Application>
  <DocSecurity>0</DocSecurity>
  <Lines>137</Lines>
  <Paragraphs>73</Paragraphs>
  <ScaleCrop>false</ScaleCrop>
  <HeadingPairs>
    <vt:vector size="2" baseType="variant">
      <vt:variant>
        <vt:lpstr>Title</vt:lpstr>
      </vt:variant>
      <vt:variant>
        <vt:i4>1</vt:i4>
      </vt:variant>
    </vt:vector>
  </HeadingPairs>
  <TitlesOfParts>
    <vt:vector size="1" baseType="lpstr">
      <vt:lpstr>Initial considerations for inter-CU LTM</vt:lpstr>
    </vt:vector>
  </TitlesOfParts>
  <Manager/>
  <Company>Rakuten Inc</Company>
  <LinksUpToDate>false</LinksUpToDate>
  <CharactersWithSpaces>8743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considerations for inter-CU LTM</dc:title>
  <dc:subject/>
  <dc:creator>Subramanya Chandrashekar</dc:creator>
  <cp:keywords/>
  <dc:description/>
  <cp:lastModifiedBy>Rakuten Symphony (Subramanya)</cp:lastModifiedBy>
  <cp:revision>2</cp:revision>
  <cp:lastPrinted>2007-12-21T04:58:00Z</cp:lastPrinted>
  <dcterms:created xsi:type="dcterms:W3CDTF">2024-11-08T06:41:00Z</dcterms:created>
  <dcterms:modified xsi:type="dcterms:W3CDTF">2024-11-08T06:41:00Z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