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CEEE1F" w14:textId="054BFD2D"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3D0A03">
        <w:rPr>
          <w:rFonts w:ascii="Arial" w:eastAsia="MS Mincho" w:hAnsi="Arial"/>
          <w:b/>
          <w:sz w:val="24"/>
          <w:szCs w:val="24"/>
          <w:lang w:eastAsia="x-none"/>
        </w:rPr>
        <w:t>2</w:t>
      </w:r>
      <w:r w:rsidR="00E31ECA">
        <w:rPr>
          <w:rFonts w:ascii="Arial" w:eastAsia="MS Mincho" w:hAnsi="Arial"/>
          <w:b/>
          <w:sz w:val="24"/>
          <w:szCs w:val="24"/>
          <w:lang w:eastAsia="x-none"/>
        </w:rPr>
        <w:t>8</w:t>
      </w:r>
      <w:r w:rsidR="00733538">
        <w:rPr>
          <w:rFonts w:ascii="Arial" w:eastAsia="MS Mincho" w:hAnsi="Arial"/>
          <w:b/>
          <w:sz w:val="24"/>
          <w:szCs w:val="24"/>
          <w:lang w:eastAsia="x-none"/>
        </w:rPr>
        <w:tab/>
        <w:t>R2-2</w:t>
      </w:r>
      <w:r w:rsidR="00F92893">
        <w:rPr>
          <w:rFonts w:ascii="Arial" w:eastAsia="MS Mincho" w:hAnsi="Arial"/>
          <w:b/>
          <w:sz w:val="24"/>
          <w:szCs w:val="24"/>
          <w:lang w:eastAsia="x-none"/>
        </w:rPr>
        <w:t>4</w:t>
      </w:r>
      <w:r w:rsidR="00DE5084">
        <w:rPr>
          <w:rFonts w:ascii="Arial" w:eastAsia="MS Mincho" w:hAnsi="Arial"/>
          <w:b/>
          <w:sz w:val="24"/>
          <w:szCs w:val="24"/>
          <w:lang w:eastAsia="x-none"/>
        </w:rPr>
        <w:t>09703</w:t>
      </w:r>
    </w:p>
    <w:p w14:paraId="7791F180" w14:textId="7EDFE9C2" w:rsidR="00A32E79" w:rsidRPr="00A32E79" w:rsidRDefault="00E31ECA"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Pr>
          <w:rFonts w:ascii="Arial" w:eastAsia="MS Mincho" w:hAnsi="Arial"/>
          <w:b/>
          <w:sz w:val="24"/>
          <w:szCs w:val="24"/>
          <w:lang w:eastAsia="x-none"/>
        </w:rPr>
        <w:t>Orlando, Florida, USA</w:t>
      </w:r>
      <w:r w:rsidR="00A32E79" w:rsidRPr="00A32E79">
        <w:rPr>
          <w:rFonts w:ascii="Arial" w:eastAsia="MS Mincho" w:hAnsi="Arial"/>
          <w:b/>
          <w:sz w:val="24"/>
          <w:szCs w:val="24"/>
          <w:lang w:eastAsia="x-none"/>
        </w:rPr>
        <w:t xml:space="preserve">, </w:t>
      </w:r>
      <w:r>
        <w:rPr>
          <w:rFonts w:ascii="Arial" w:eastAsia="MS Mincho" w:hAnsi="Arial"/>
          <w:b/>
          <w:sz w:val="24"/>
          <w:szCs w:val="24"/>
          <w:lang w:eastAsia="x-none"/>
        </w:rPr>
        <w:t>18</w:t>
      </w:r>
      <w:r w:rsidR="00F84150">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Novem</w:t>
      </w:r>
      <w:r w:rsidR="00A05A31">
        <w:rPr>
          <w:rFonts w:ascii="Arial" w:eastAsia="MS Mincho" w:hAnsi="Arial"/>
          <w:b/>
          <w:sz w:val="24"/>
          <w:szCs w:val="24"/>
          <w:lang w:eastAsia="x-none"/>
        </w:rPr>
        <w:t>ber</w:t>
      </w:r>
      <w:r w:rsidR="00733538">
        <w:rPr>
          <w:rFonts w:ascii="Arial" w:eastAsia="MS Mincho" w:hAnsi="Arial"/>
          <w:b/>
          <w:sz w:val="24"/>
          <w:szCs w:val="24"/>
          <w:lang w:eastAsia="x-none"/>
        </w:rPr>
        <w:t xml:space="preserve"> 202</w:t>
      </w:r>
      <w:r w:rsidR="00F92893">
        <w:rPr>
          <w:rFonts w:ascii="Arial" w:eastAsia="MS Mincho" w:hAnsi="Arial"/>
          <w:b/>
          <w:sz w:val="24"/>
          <w:szCs w:val="24"/>
          <w:lang w:eastAsia="x-none"/>
        </w:rPr>
        <w:t>4</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textAlignment w:val="auto"/>
        <w:rPr>
          <w:rFonts w:ascii="Arial" w:eastAsia="PMingLiU" w:hAnsi="Arial" w:cs="Arial"/>
          <w:b/>
          <w:sz w:val="24"/>
          <w:szCs w:val="24"/>
          <w:lang w:eastAsia="zh-CN"/>
        </w:rPr>
      </w:pPr>
    </w:p>
    <w:p w14:paraId="51A80B1E" w14:textId="749FB34E"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700591">
        <w:rPr>
          <w:rFonts w:ascii="Arial" w:eastAsia="PMingLiU" w:hAnsi="Arial" w:cs="Arial"/>
          <w:b/>
          <w:sz w:val="24"/>
          <w:szCs w:val="24"/>
          <w:lang w:eastAsia="zh-CN"/>
        </w:rPr>
        <w:t>8.2.</w:t>
      </w:r>
      <w:r w:rsidR="00E31ECA">
        <w:rPr>
          <w:rFonts w:ascii="Arial" w:eastAsia="PMingLiU" w:hAnsi="Arial" w:cs="Arial"/>
          <w:b/>
          <w:sz w:val="24"/>
          <w:szCs w:val="24"/>
          <w:lang w:eastAsia="zh-CN"/>
        </w:rPr>
        <w:t>2</w:t>
      </w:r>
    </w:p>
    <w:p w14:paraId="36BF50FF" w14:textId="79D508A2" w:rsidR="00A32E79" w:rsidRPr="00A32E79" w:rsidRDefault="00A32E79" w:rsidP="00012B9A">
      <w:pPr>
        <w:tabs>
          <w:tab w:val="left" w:pos="1701"/>
          <w:tab w:val="right" w:pos="9639"/>
        </w:tabs>
        <w:spacing w:after="240"/>
        <w:ind w:left="1699" w:hanging="1699"/>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57BAB8A2"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05A31">
        <w:rPr>
          <w:rFonts w:ascii="Arial" w:eastAsia="PMingLiU" w:hAnsi="Arial" w:cs="Arial"/>
          <w:b/>
          <w:sz w:val="24"/>
          <w:szCs w:val="24"/>
          <w:lang w:eastAsia="zh-CN"/>
        </w:rPr>
        <w:t>A</w:t>
      </w:r>
      <w:r w:rsidR="009B4032">
        <w:rPr>
          <w:rFonts w:ascii="Arial" w:eastAsia="PMingLiU" w:hAnsi="Arial" w:cs="Arial"/>
          <w:b/>
          <w:sz w:val="24"/>
          <w:szCs w:val="24"/>
          <w:lang w:eastAsia="zh-CN"/>
        </w:rPr>
        <w:t xml:space="preserve">mbient IoT </w:t>
      </w:r>
      <w:r w:rsidR="00E31ECA">
        <w:rPr>
          <w:rFonts w:ascii="Arial" w:eastAsia="PMingLiU" w:hAnsi="Arial" w:cs="Arial"/>
          <w:b/>
          <w:sz w:val="24"/>
          <w:szCs w:val="24"/>
          <w:lang w:eastAsia="zh-CN"/>
        </w:rPr>
        <w:t>ID management</w:t>
      </w:r>
      <w:r w:rsidR="00004F6C">
        <w:rPr>
          <w:rFonts w:ascii="Arial" w:eastAsia="PMingLiU" w:hAnsi="Arial" w:cs="Arial"/>
          <w:b/>
          <w:sz w:val="24"/>
          <w:szCs w:val="24"/>
          <w:lang w:eastAsia="zh-CN"/>
        </w:rPr>
        <w:t xml:space="preserve"> and implications for energy status indication</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4CC4788E" w:rsidR="00A65666" w:rsidRPr="00A65666" w:rsidRDefault="002E2EF1" w:rsidP="00810A2D">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8F298E">
        <w:rPr>
          <w:rFonts w:ascii="Calibri" w:eastAsia="PMingLiU" w:hAnsi="Calibri"/>
          <w:sz w:val="22"/>
          <w:szCs w:val="22"/>
          <w:lang w:eastAsia="zh-TW"/>
        </w:rPr>
        <w:t xml:space="preserve">examines the management of an access stratum identifier in the </w:t>
      </w:r>
      <w:proofErr w:type="spellStart"/>
      <w:r w:rsidR="008F298E">
        <w:rPr>
          <w:rFonts w:ascii="Calibri" w:eastAsia="PMingLiU" w:hAnsi="Calibri"/>
          <w:sz w:val="22"/>
          <w:szCs w:val="22"/>
          <w:lang w:eastAsia="zh-TW"/>
        </w:rPr>
        <w:t>AIoT</w:t>
      </w:r>
      <w:proofErr w:type="spellEnd"/>
      <w:r w:rsidR="008F298E">
        <w:rPr>
          <w:rFonts w:ascii="Calibri" w:eastAsia="PMingLiU" w:hAnsi="Calibri"/>
          <w:sz w:val="22"/>
          <w:szCs w:val="22"/>
          <w:lang w:eastAsia="zh-TW"/>
        </w:rPr>
        <w:t xml:space="preserve"> device</w:t>
      </w:r>
      <w:r w:rsidR="00700591">
        <w:rPr>
          <w:rFonts w:ascii="Calibri" w:eastAsia="PMingLiU" w:hAnsi="Calibri"/>
          <w:sz w:val="22"/>
          <w:szCs w:val="22"/>
          <w:lang w:eastAsia="zh-TW"/>
        </w:rPr>
        <w:t>.</w:t>
      </w:r>
      <w:r w:rsidR="008F298E">
        <w:rPr>
          <w:rFonts w:ascii="Calibri" w:eastAsia="PMingLiU" w:hAnsi="Calibri"/>
          <w:sz w:val="22"/>
          <w:szCs w:val="22"/>
          <w:lang w:eastAsia="zh-TW"/>
        </w:rPr>
        <w:t xml:space="preserve">  The document does not focus primarily on the energy status indication, but it does identify some interaction between this concept and the validity of the AS ID.</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4E7E7E4" w14:textId="49F6B419" w:rsidR="008D2107" w:rsidRDefault="008D2107" w:rsidP="008D2107">
      <w:pPr>
        <w:pStyle w:val="Heading2"/>
        <w:rPr>
          <w:rFonts w:eastAsia="PMingLiU"/>
          <w:lang w:eastAsia="zh-TW"/>
        </w:rPr>
      </w:pPr>
      <w:r>
        <w:rPr>
          <w:rFonts w:eastAsia="PMingLiU"/>
          <w:lang w:eastAsia="zh-TW"/>
        </w:rPr>
        <w:t>2.1</w:t>
      </w:r>
      <w:r>
        <w:rPr>
          <w:rFonts w:eastAsia="PMingLiU"/>
          <w:lang w:eastAsia="zh-TW"/>
        </w:rPr>
        <w:tab/>
      </w:r>
      <w:r w:rsidR="00DC5D2D">
        <w:rPr>
          <w:rFonts w:eastAsia="PMingLiU"/>
          <w:lang w:eastAsia="zh-TW"/>
        </w:rPr>
        <w:t>Status after RAN2#127bis</w:t>
      </w:r>
    </w:p>
    <w:p w14:paraId="4C3048B1" w14:textId="1AD8C728" w:rsidR="00DC5D2D" w:rsidRDefault="00DC5D2D"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RAN2 reached a set of conclusions about the AS ID in RAN2#127bis:</w:t>
      </w:r>
    </w:p>
    <w:tbl>
      <w:tblPr>
        <w:tblStyle w:val="TableGrid"/>
        <w:tblW w:w="0" w:type="auto"/>
        <w:tblInd w:w="1075" w:type="dxa"/>
        <w:tblLook w:val="04A0" w:firstRow="1" w:lastRow="0" w:firstColumn="1" w:lastColumn="0" w:noHBand="0" w:noVBand="1"/>
      </w:tblPr>
      <w:tblGrid>
        <w:gridCol w:w="8556"/>
      </w:tblGrid>
      <w:tr w:rsidR="00DC5D2D" w14:paraId="3A247B48" w14:textId="77777777" w:rsidTr="00DC5D2D">
        <w:tc>
          <w:tcPr>
            <w:tcW w:w="9119" w:type="dxa"/>
            <w:tcBorders>
              <w:top w:val="single" w:sz="4" w:space="0" w:color="auto"/>
              <w:left w:val="single" w:sz="4" w:space="0" w:color="auto"/>
              <w:bottom w:val="single" w:sz="4" w:space="0" w:color="auto"/>
              <w:right w:val="single" w:sz="4" w:space="0" w:color="auto"/>
            </w:tcBorders>
          </w:tcPr>
          <w:p w14:paraId="1C070062" w14:textId="77777777" w:rsidR="00DC5D2D" w:rsidRDefault="00DC5D2D">
            <w:pPr>
              <w:pStyle w:val="Doc-text2"/>
              <w:ind w:left="363"/>
              <w:rPr>
                <w:b/>
                <w:bCs/>
              </w:rPr>
            </w:pPr>
            <w:r>
              <w:rPr>
                <w:b/>
                <w:bCs/>
              </w:rPr>
              <w:t>Agreements on AS ID</w:t>
            </w:r>
          </w:p>
          <w:p w14:paraId="53A66B9E" w14:textId="77777777" w:rsidR="00DC5D2D" w:rsidRDefault="00DC5D2D">
            <w:pPr>
              <w:pStyle w:val="Agreement"/>
              <w:ind w:left="360"/>
            </w:pPr>
            <w:r>
              <w:t xml:space="preserve">RAN2 assumes that if “AS ID” is defined it is used at least for purpose of D2R scheduling and R2D reception.  Up to RAN1 to decide whether a “AS ID” is defined.  </w:t>
            </w:r>
          </w:p>
          <w:p w14:paraId="327B7932" w14:textId="77777777" w:rsidR="00DC5D2D" w:rsidRDefault="00DC5D2D">
            <w:pPr>
              <w:pStyle w:val="Agreement"/>
              <w:ind w:left="360"/>
            </w:pPr>
            <w:r>
              <w:t xml:space="preserve">RAN2 assumes this “AS ID” should be a short AS layer ID, rather than the full upper layer device ID.  FFS on the length.   FFS if AS ID can be based on partial upper layer device ID.   </w:t>
            </w:r>
          </w:p>
          <w:p w14:paraId="45E5431D" w14:textId="77777777" w:rsidR="00DC5D2D" w:rsidRDefault="00DC5D2D">
            <w:pPr>
              <w:pStyle w:val="Agreement"/>
              <w:ind w:left="360"/>
            </w:pPr>
            <w:r>
              <w:t>From RAN2 perspective, following options are possible for “AS ID”:</w:t>
            </w:r>
          </w:p>
          <w:p w14:paraId="074C821C" w14:textId="77777777" w:rsidR="00DC5D2D" w:rsidRDefault="00DC5D2D">
            <w:pPr>
              <w:pStyle w:val="Agreement"/>
              <w:numPr>
                <w:ilvl w:val="0"/>
                <w:numId w:val="0"/>
              </w:numPr>
              <w:tabs>
                <w:tab w:val="left" w:pos="720"/>
              </w:tabs>
              <w:ind w:left="181" w:firstLine="179"/>
            </w:pPr>
            <w:r>
              <w:t xml:space="preserve">Option 1: a random ID if used in Msg1 can be </w:t>
            </w:r>
            <w:proofErr w:type="gramStart"/>
            <w:r>
              <w:t>reused;</w:t>
            </w:r>
            <w:proofErr w:type="gramEnd"/>
          </w:p>
          <w:p w14:paraId="1D282618" w14:textId="77777777" w:rsidR="00DC5D2D" w:rsidRDefault="00DC5D2D">
            <w:pPr>
              <w:pStyle w:val="Agreement"/>
              <w:numPr>
                <w:ilvl w:val="0"/>
                <w:numId w:val="0"/>
              </w:numPr>
              <w:tabs>
                <w:tab w:val="left" w:pos="720"/>
              </w:tabs>
              <w:ind w:left="360"/>
            </w:pPr>
            <w:r>
              <w:t>Option 2: reader assigns this “AS ID”. FFS via which R2D message.</w:t>
            </w:r>
          </w:p>
          <w:p w14:paraId="284A29DB" w14:textId="77777777" w:rsidR="00DC5D2D" w:rsidRDefault="00DC5D2D">
            <w:pPr>
              <w:pStyle w:val="Agreement"/>
              <w:ind w:left="360"/>
            </w:pPr>
            <w:r>
              <w:t xml:space="preserve">RAN2 will aim to define one common design for all RA procedures (if technically possible)   </w:t>
            </w:r>
          </w:p>
          <w:p w14:paraId="403486CF" w14:textId="77777777" w:rsidR="00DC5D2D" w:rsidRDefault="00DC5D2D">
            <w:pPr>
              <w:pStyle w:val="Doc-text2"/>
              <w:ind w:left="0" w:firstLine="0"/>
              <w:rPr>
                <w:u w:val="single"/>
              </w:rPr>
            </w:pPr>
          </w:p>
        </w:tc>
      </w:tr>
    </w:tbl>
    <w:p w14:paraId="51B60CA1" w14:textId="77777777" w:rsidR="00DC5D2D" w:rsidRDefault="00DC5D2D" w:rsidP="008D2107">
      <w:pPr>
        <w:overflowPunct/>
        <w:autoSpaceDE/>
        <w:autoSpaceDN/>
        <w:adjustRightInd/>
        <w:spacing w:after="240"/>
        <w:textAlignment w:val="auto"/>
        <w:rPr>
          <w:rFonts w:ascii="Calibri" w:eastAsia="PMingLiU" w:hAnsi="Calibri"/>
          <w:sz w:val="22"/>
          <w:szCs w:val="22"/>
          <w:lang w:eastAsia="zh-TW"/>
        </w:rPr>
      </w:pPr>
    </w:p>
    <w:p w14:paraId="64DB3518" w14:textId="210C6383" w:rsidR="00DC5D2D" w:rsidRDefault="00D2105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We understand that the RAN1 status is that such an ID will be used for D2R scheduling and R2D reception, and it may be possible to strengthen the second bullet as follows.</w:t>
      </w:r>
    </w:p>
    <w:p w14:paraId="3C44BFE9" w14:textId="0642D7F9" w:rsidR="00D2105C" w:rsidRPr="00D2105C" w:rsidRDefault="00D2105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From RAN2 perspective, take as a conclusion of the SI that any ID used for D2R scheduling and R2D reception (with the exception of paging) should be a short ID assigned in AS layers.  The definition of “short” can be determined in normative work.</w:t>
      </w:r>
    </w:p>
    <w:p w14:paraId="51238F5B" w14:textId="013C98DE" w:rsidR="006B4A58" w:rsidRDefault="00D2105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rationale here is that RAN1 are likely to conclude</w:t>
      </w:r>
      <w:r w:rsidR="005635BA">
        <w:rPr>
          <w:rFonts w:ascii="Calibri" w:eastAsia="PMingLiU" w:hAnsi="Calibri"/>
          <w:sz w:val="22"/>
          <w:szCs w:val="22"/>
          <w:lang w:eastAsia="zh-TW"/>
        </w:rPr>
        <w:t xml:space="preserve"> formally</w:t>
      </w:r>
      <w:r>
        <w:rPr>
          <w:rFonts w:ascii="Calibri" w:eastAsia="PMingLiU" w:hAnsi="Calibri"/>
          <w:sz w:val="22"/>
          <w:szCs w:val="22"/>
          <w:lang w:eastAsia="zh-TW"/>
        </w:rPr>
        <w:t xml:space="preserve"> that an ID is used, but it is not in RAN1 remit to determine what that ID is, and there should be clear guidance for normative work to avoid repeating discussions.</w:t>
      </w:r>
      <w:r w:rsidR="00A65601">
        <w:rPr>
          <w:rFonts w:ascii="Calibri" w:eastAsia="PMingLiU" w:hAnsi="Calibri"/>
          <w:sz w:val="22"/>
          <w:szCs w:val="22"/>
          <w:lang w:eastAsia="zh-TW"/>
        </w:rPr>
        <w:t xml:space="preserve">  We consider it obvious that a permanent ID long enough to be globally unique cannot be </w:t>
      </w:r>
      <w:r w:rsidR="00A65601">
        <w:rPr>
          <w:rFonts w:ascii="Calibri" w:eastAsia="PMingLiU" w:hAnsi="Calibri"/>
          <w:sz w:val="22"/>
          <w:szCs w:val="22"/>
          <w:lang w:eastAsia="zh-TW"/>
        </w:rPr>
        <w:lastRenderedPageBreak/>
        <w:t>used for scheduling in a practical way (especially if RAN1 use an implicit mechanism like masking the CRC, where the permanent ID must be far larger than any practical CRC size).</w:t>
      </w:r>
      <w:r w:rsidR="001E20C8">
        <w:rPr>
          <w:rFonts w:ascii="Calibri" w:eastAsia="PMingLiU" w:hAnsi="Calibri"/>
          <w:sz w:val="22"/>
          <w:szCs w:val="22"/>
          <w:lang w:eastAsia="zh-TW"/>
        </w:rPr>
        <w:t xml:space="preserve">  In addition, there may be security/privacy concerns with using a higher-layer and longer-term ID in a visible way over the air.</w:t>
      </w:r>
    </w:p>
    <w:p w14:paraId="52730BFA" w14:textId="365CECEA" w:rsidR="00D2105C" w:rsidRDefault="00D2105C"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Of the two options suggested in the third bullet, as indicated in [1], we prefer option 2 (assignment by the reader).  In case the AS ID is used over several successive transmissions (e.g., segments of a large write command, or a succession of commands for the same device), the possibility of collision between two devices’ RN16 values grows continuously, and in such a situation the advantage of coordinated assignment by the reader cannot really be contested.  We understand that the main related questions are (1) whether continuing use of the AS ID is a valid use case, and (2) whether there is a complexity burden to the device in storing an assigned identifier.  We address these issues in the following section.</w:t>
      </w:r>
    </w:p>
    <w:p w14:paraId="734DCDF3" w14:textId="3F554684" w:rsidR="00D2105C" w:rsidRDefault="00D2105C" w:rsidP="00D2105C">
      <w:pPr>
        <w:pStyle w:val="Heading2"/>
        <w:rPr>
          <w:rFonts w:eastAsia="PMingLiU"/>
          <w:lang w:eastAsia="zh-TW"/>
        </w:rPr>
      </w:pPr>
      <w:r>
        <w:rPr>
          <w:rFonts w:eastAsia="PMingLiU"/>
          <w:lang w:eastAsia="zh-TW"/>
        </w:rPr>
        <w:t>2.2</w:t>
      </w:r>
      <w:r>
        <w:rPr>
          <w:rFonts w:eastAsia="PMingLiU"/>
          <w:lang w:eastAsia="zh-TW"/>
        </w:rPr>
        <w:tab/>
        <w:t>ID assignment by the reader</w:t>
      </w:r>
    </w:p>
    <w:p w14:paraId="3BD4D66D" w14:textId="29ADC90E" w:rsidR="00D2105C" w:rsidRDefault="00891B5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 protocol aspects of ID assignment by the reader are not complex: Some R2D message (Msg2 and/or a subsequent message in the R2D direction) contains an ID assignment, most likely in a format similar to a MAC CE.  For the device implementation, perhaps the most important concern for avoiding complexity is that the device should never have two AS IDs </w:t>
      </w:r>
      <w:r>
        <w:rPr>
          <w:rFonts w:ascii="Calibri" w:eastAsia="PMingLiU" w:hAnsi="Calibri"/>
          <w:i/>
          <w:iCs/>
          <w:sz w:val="22"/>
          <w:szCs w:val="22"/>
          <w:lang w:eastAsia="zh-TW"/>
        </w:rPr>
        <w:t>at the same time</w:t>
      </w:r>
      <w:r>
        <w:rPr>
          <w:rFonts w:ascii="Calibri" w:eastAsia="PMingLiU" w:hAnsi="Calibri"/>
          <w:sz w:val="22"/>
          <w:szCs w:val="22"/>
          <w:lang w:eastAsia="zh-TW"/>
        </w:rPr>
        <w:t>; it should be able to recognise a transmission addressed to it in a completely automatic way, by extracting the ID from PHY and matching it against a specific piece of stored information.</w:t>
      </w:r>
    </w:p>
    <w:p w14:paraId="202C4CC7" w14:textId="27B9D257" w:rsidR="00891B58" w:rsidRDefault="00891B5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device should never be required to store more than one AS ID at a time.</w:t>
      </w:r>
    </w:p>
    <w:p w14:paraId="564A6C93" w14:textId="533CCF78" w:rsidR="00891B58" w:rsidRDefault="00891B58"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Figure 1 shows a simple procedure for ID management using a single storage location</w:t>
      </w:r>
      <w:r w:rsidR="00A65601">
        <w:rPr>
          <w:rFonts w:ascii="Calibri" w:eastAsia="PMingLiU" w:hAnsi="Calibri"/>
          <w:sz w:val="22"/>
          <w:szCs w:val="22"/>
          <w:lang w:eastAsia="zh-TW"/>
        </w:rPr>
        <w:t>.  This example shows the assignment of an AS ID taking place in Msg2, but it should also be possible to use RN16 throughout the access procedure and have a reader-assigned ID in a subsequent R2D transmission (the equivalent of step 8).</w:t>
      </w:r>
    </w:p>
    <w:p w14:paraId="611927AA" w14:textId="115FC46B" w:rsidR="00891B58" w:rsidRPr="00891B58" w:rsidRDefault="00CE6D3C" w:rsidP="00CE6D3C">
      <w:pPr>
        <w:keepNext/>
        <w:overflowPunct/>
        <w:autoSpaceDE/>
        <w:autoSpaceDN/>
        <w:adjustRightInd/>
        <w:spacing w:after="240"/>
        <w:jc w:val="center"/>
        <w:textAlignment w:val="auto"/>
        <w:rPr>
          <w:rFonts w:ascii="Calibri" w:eastAsia="PMingLiU" w:hAnsi="Calibri"/>
          <w:sz w:val="22"/>
          <w:szCs w:val="22"/>
          <w:lang w:eastAsia="zh-TW"/>
        </w:rPr>
      </w:pPr>
      <w:r>
        <w:object w:dxaOrig="7610" w:dyaOrig="6170" w14:anchorId="55C8BF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25pt;height:308.25pt" o:ole="">
            <v:imagedata r:id="rId8" o:title=""/>
          </v:shape>
          <o:OLEObject Type="Embed" ProgID="Visio.Drawing.15" ShapeID="_x0000_i1025" DrawAspect="Content" ObjectID="_1792509129" r:id="rId9"/>
        </w:object>
      </w:r>
    </w:p>
    <w:p w14:paraId="6310CB79" w14:textId="54D80919" w:rsidR="00CE6D3C" w:rsidRDefault="00CE6D3C" w:rsidP="00CE6D3C">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AS ID management with one storage location</w:t>
      </w:r>
    </w:p>
    <w:p w14:paraId="5F10B7E5" w14:textId="78F9E1D8" w:rsidR="006B4A58" w:rsidRDefault="00A6560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lastRenderedPageBreak/>
        <w:t>In the left-hand column, “AS ID” refers to a particular storage location in the device—depending on implementation, the ID could be stored in RAM, NVRAM, a register, etc., but the point is that the location used for steps 3/5/6/9 should be unitary.  (Note that these steps use the C syntax convention of “=” for assignment and “==” for comparison.)  If needed, later R2D transmissions could rewrite the AS ID with a new value in the same manner as step 4.</w:t>
      </w:r>
    </w:p>
    <w:p w14:paraId="04F07BBF" w14:textId="580F0D0A" w:rsidR="00A65601" w:rsidRDefault="00A6560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The implementation burden on the device of maintaining a single AS ID, with the ability for the reader to reassign it, is minimal.</w:t>
      </w:r>
    </w:p>
    <w:p w14:paraId="07AA12F5" w14:textId="7CB920AD" w:rsidR="00A65601" w:rsidRDefault="00A65601"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Regarding the validity of multiple transmissions to the same device, the most obvious use case is a large command that requires multiple MAC transmissions</w:t>
      </w:r>
      <w:r w:rsidR="009F0F20">
        <w:rPr>
          <w:rFonts w:ascii="Calibri" w:eastAsia="PMingLiU" w:hAnsi="Calibri"/>
          <w:sz w:val="22"/>
          <w:szCs w:val="22"/>
          <w:lang w:eastAsia="zh-TW"/>
        </w:rPr>
        <w:t>,</w:t>
      </w:r>
      <w:r>
        <w:rPr>
          <w:rFonts w:ascii="Calibri" w:eastAsia="PMingLiU" w:hAnsi="Calibri"/>
          <w:sz w:val="22"/>
          <w:szCs w:val="22"/>
          <w:lang w:eastAsia="zh-TW"/>
        </w:rPr>
        <w:t xml:space="preserve"> irrespective of where segmentation takes place—i.e., the command may be broken into multiple upper-layer messages or segmented in MAC, but either way results in a series of MAC-level R2D transmissions </w:t>
      </w:r>
      <w:r w:rsidR="001E20C8">
        <w:rPr>
          <w:rFonts w:ascii="Calibri" w:eastAsia="PMingLiU" w:hAnsi="Calibri"/>
          <w:sz w:val="22"/>
          <w:szCs w:val="22"/>
          <w:lang w:eastAsia="zh-TW"/>
        </w:rPr>
        <w:t>that together constitute a single</w:t>
      </w:r>
      <w:r>
        <w:rPr>
          <w:rFonts w:ascii="Calibri" w:eastAsia="PMingLiU" w:hAnsi="Calibri"/>
          <w:sz w:val="22"/>
          <w:szCs w:val="22"/>
          <w:lang w:eastAsia="zh-TW"/>
        </w:rPr>
        <w:t xml:space="preserve"> command.</w:t>
      </w:r>
      <w:r w:rsidR="009F0F20">
        <w:rPr>
          <w:rFonts w:ascii="Calibri" w:eastAsia="PMingLiU" w:hAnsi="Calibri"/>
          <w:sz w:val="22"/>
          <w:szCs w:val="22"/>
          <w:lang w:eastAsia="zh-TW"/>
        </w:rPr>
        <w:t xml:space="preserve">  Writing a large block (a firmware update, for example) may not be practical in a single TB, even in good radio conditions and with ample device energy.</w:t>
      </w:r>
    </w:p>
    <w:p w14:paraId="20A014DB" w14:textId="58E8F46A" w:rsidR="009F0F20" w:rsidRDefault="009F0F2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Similarly, a large read command like a log file or sensor readings may require multiple D2R transmissions, each of which needs to be scheduled and/or acknowledged by a corresponding R2D transmission.</w:t>
      </w:r>
    </w:p>
    <w:p w14:paraId="112A54BD" w14:textId="2CAD95E4" w:rsidR="009F0F20" w:rsidRDefault="009F0F2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Within the “command” use case, operations can be envisaged that would require multiple R2D/D2R exchanges between the reader and the device.</w:t>
      </w:r>
    </w:p>
    <w:p w14:paraId="59B6BE78" w14:textId="23B1FBCB" w:rsidR="009F0F20" w:rsidRDefault="009F0F20"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seems clear that such multiple exchanges should not require paging and access for the same device over and over.  As long as any PHY conditions for communication are met (e.g., timing for D2R transmissions) and the AS ID is valid, the device should be able to receive an R2D transmission</w:t>
      </w:r>
      <w:r w:rsidR="005635BA">
        <w:rPr>
          <w:rFonts w:ascii="Calibri" w:eastAsia="PMingLiU" w:hAnsi="Calibri"/>
          <w:sz w:val="22"/>
          <w:szCs w:val="22"/>
          <w:lang w:eastAsia="zh-TW"/>
        </w:rPr>
        <w:t xml:space="preserve"> and respond without going through access.</w:t>
      </w:r>
    </w:p>
    <w:p w14:paraId="63F0440B" w14:textId="1B00FF52"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In case of multiple R2D/D2R exchanges between reader and device, there is no clear reason to repeat the paging/access process for each exchange.</w:t>
      </w:r>
    </w:p>
    <w:p w14:paraId="5A4B3C4C" w14:textId="7C7444AC"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Considering proposal 1 and observations 2 and 3, it follows that it should be possible to address the same device repeatedly using an AS ID and that the “usability period” of a device’s AS ID is somewhat unpredictable</w:t>
      </w:r>
      <w:r w:rsidR="00E21BCD">
        <w:rPr>
          <w:rFonts w:ascii="Calibri" w:eastAsia="PMingLiU" w:hAnsi="Calibri"/>
          <w:sz w:val="22"/>
          <w:szCs w:val="22"/>
          <w:lang w:eastAsia="zh-TW"/>
        </w:rPr>
        <w:t>—in particular, it cannot be guaranteed that the use of an ID will be short enough to restrict the risk of collision to any particular threshold</w:t>
      </w:r>
      <w:r>
        <w:rPr>
          <w:rFonts w:ascii="Calibri" w:eastAsia="PMingLiU" w:hAnsi="Calibri"/>
          <w:sz w:val="22"/>
          <w:szCs w:val="22"/>
          <w:lang w:eastAsia="zh-TW"/>
        </w:rPr>
        <w:t>.  Accordingly, it makes sense to minimize the risk of collision by allowing the reader to assign an AS ID as shown in figure 1 above.</w:t>
      </w:r>
    </w:p>
    <w:p w14:paraId="4834DC2F" w14:textId="055EFDB2"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Support repeated addressing of the device using an AS ID assigned by the reader, without repeating the paging and access procedures.</w:t>
      </w:r>
    </w:p>
    <w:p w14:paraId="34CA846C" w14:textId="3BBB4BD4" w:rsidR="005635BA" w:rsidRDefault="005635BA" w:rsidP="005635BA">
      <w:pPr>
        <w:pStyle w:val="Heading2"/>
        <w:rPr>
          <w:rFonts w:eastAsia="PMingLiU"/>
          <w:lang w:eastAsia="zh-TW"/>
        </w:rPr>
      </w:pPr>
      <w:r>
        <w:rPr>
          <w:rFonts w:eastAsia="PMingLiU"/>
          <w:lang w:eastAsia="zh-TW"/>
        </w:rPr>
        <w:t>2.3</w:t>
      </w:r>
      <w:r>
        <w:rPr>
          <w:rFonts w:eastAsia="PMingLiU"/>
          <w:lang w:eastAsia="zh-TW"/>
        </w:rPr>
        <w:tab/>
        <w:t>Validity of a stored ID</w:t>
      </w:r>
      <w:r w:rsidR="00553C22">
        <w:rPr>
          <w:rFonts w:eastAsia="PMingLiU"/>
          <w:lang w:eastAsia="zh-TW"/>
        </w:rPr>
        <w:t xml:space="preserve"> and energy indication</w:t>
      </w:r>
    </w:p>
    <w:p w14:paraId="2D8FA438" w14:textId="03EDE688" w:rsidR="005635BA" w:rsidRDefault="005635BA"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Proposal 3 requires consideration of the expected validity period of an assigned AS ID.  The reader should only use a previously assigned AS ID for a device if it has high confidence that the device has not “forgotten” the ID.  If the ID is stored in NVRAM, the device’s memory should not be a problem, and we understand that this may be feasible for implementations.  (Writing to NVRAM should be infrequent, but reading from NVRAM should be less expensive and might be expected to be feasible at the time granularity of R2D scheduling.)  However, it may not be reasonable to specify that </w:t>
      </w:r>
      <w:r>
        <w:rPr>
          <w:rFonts w:ascii="Calibri" w:eastAsia="PMingLiU" w:hAnsi="Calibri"/>
          <w:i/>
          <w:iCs/>
          <w:sz w:val="22"/>
          <w:szCs w:val="22"/>
          <w:lang w:eastAsia="zh-TW"/>
        </w:rPr>
        <w:t>all</w:t>
      </w:r>
      <w:r>
        <w:rPr>
          <w:rFonts w:ascii="Calibri" w:eastAsia="PMingLiU" w:hAnsi="Calibri"/>
          <w:sz w:val="22"/>
          <w:szCs w:val="22"/>
          <w:lang w:eastAsia="zh-TW"/>
        </w:rPr>
        <w:t xml:space="preserve"> devices store the AS ID in NVRAM and remember it indefinitely, so a mechanism for determining the validity of a stored ID would be useful.</w:t>
      </w:r>
    </w:p>
    <w:p w14:paraId="054A35F4" w14:textId="49ECAC7B" w:rsidR="005635BA" w:rsidRDefault="005019FF"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This problem may be addressable by </w:t>
      </w:r>
      <w:r w:rsidR="00E21BCD">
        <w:rPr>
          <w:rFonts w:ascii="Calibri" w:eastAsia="PMingLiU" w:hAnsi="Calibri"/>
          <w:sz w:val="22"/>
          <w:szCs w:val="22"/>
          <w:lang w:eastAsia="zh-TW"/>
        </w:rPr>
        <w:t>relying</w:t>
      </w:r>
      <w:r>
        <w:rPr>
          <w:rFonts w:ascii="Calibri" w:eastAsia="PMingLiU" w:hAnsi="Calibri"/>
          <w:sz w:val="22"/>
          <w:szCs w:val="22"/>
          <w:lang w:eastAsia="zh-TW"/>
        </w:rPr>
        <w:t xml:space="preserve"> on an energy indication from the device.  When the device makes a D2R transmission, if it includes some indication of its future availability time, the reader should be able to assume that the current AS ID (whether it is inherited from RN16 or assigned by the reader) is valid for that availability time.</w:t>
      </w:r>
    </w:p>
    <w:p w14:paraId="328353B9" w14:textId="6F838DA0" w:rsidR="00553C22" w:rsidRP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lastRenderedPageBreak/>
        <w:t>Proposal 4:</w:t>
      </w:r>
      <w:r>
        <w:rPr>
          <w:rFonts w:ascii="Calibri" w:eastAsia="PMingLiU" w:hAnsi="Calibri"/>
          <w:sz w:val="22"/>
          <w:szCs w:val="22"/>
          <w:lang w:eastAsia="zh-TW"/>
        </w:rPr>
        <w:t xml:space="preserve"> The stored AS ID at the device may be assumed valid for the availability time implied by the device’s energy status indication.</w:t>
      </w:r>
    </w:p>
    <w:p w14:paraId="2F8ED3EE" w14:textId="6A947EF1"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Some devices may have limited ability to predict their availability time, and such devices should be conservative in their energy indications (this is a more general issue than just the ID validity, as the reader needs to know when it can address a transmission to the device</w:t>
      </w:r>
      <w:r w:rsidR="00F010D3">
        <w:rPr>
          <w:rFonts w:ascii="Calibri" w:eastAsia="PMingLiU" w:hAnsi="Calibri"/>
          <w:sz w:val="22"/>
          <w:szCs w:val="22"/>
          <w:lang w:eastAsia="zh-TW"/>
        </w:rPr>
        <w:t>; this issue and the remaining proposals of this section overlap somewhat with the discussion in [2], but in this document we focus on the aspects with a relation to identifier validity specifically</w:t>
      </w:r>
      <w:r>
        <w:rPr>
          <w:rFonts w:ascii="Calibri" w:eastAsia="PMingLiU" w:hAnsi="Calibri"/>
          <w:sz w:val="22"/>
          <w:szCs w:val="22"/>
          <w:lang w:eastAsia="zh-TW"/>
        </w:rPr>
        <w:t xml:space="preserve">).  The general principle as we understand it is that the device should indicate a confident lower bound on the availability time; if the device can stay awake longer, that </w:t>
      </w:r>
      <w:r w:rsidR="009D63AE">
        <w:rPr>
          <w:rFonts w:ascii="Calibri" w:eastAsia="PMingLiU" w:hAnsi="Calibri"/>
          <w:sz w:val="22"/>
          <w:szCs w:val="22"/>
          <w:lang w:eastAsia="zh-TW"/>
        </w:rPr>
        <w:t>should</w:t>
      </w:r>
      <w:r>
        <w:rPr>
          <w:rFonts w:ascii="Calibri" w:eastAsia="PMingLiU" w:hAnsi="Calibri"/>
          <w:sz w:val="22"/>
          <w:szCs w:val="22"/>
          <w:lang w:eastAsia="zh-TW"/>
        </w:rPr>
        <w:t xml:space="preserve"> be possible to indicate in a later D2R transmission, but if the device falls asleep early it will miss transmissions and lose its stored ID.</w:t>
      </w:r>
    </w:p>
    <w:p w14:paraId="5AAE3B5C" w14:textId="154C3CA8"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energy status indication should have sufficient granularity to imply a high-confidence lower bound on the device’s availability time.</w:t>
      </w:r>
    </w:p>
    <w:p w14:paraId="5E1E53D1" w14:textId="1EF27751"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Proposal 5 is not strictly incompatible with the decision of RAN2#127bis to capture (the option of) a 1-bit indication.  However, a 1-bit indication would mean that a fixed availability time must be specified; the device could either indicate “going to sleep immediately” (implying inability to perform any immediately following operation) or “awake for the expected availability time”.  The details of the energy indication can be further discussed in normative work, but we suggest that the possibility of using a finer-grained indication to reflect the availability time should also be captured in the TR.</w:t>
      </w:r>
    </w:p>
    <w:p w14:paraId="3C41A4EC" w14:textId="026A7881" w:rsidR="00553C22" w:rsidRDefault="00553C22"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Capture in the TR the possibility of inferring an availability time from the device’s energy indication, which might require more than 1 bit for the indication.</w:t>
      </w:r>
    </w:p>
    <w:p w14:paraId="6A4A704B" w14:textId="5B00DEB4" w:rsidR="000B6DBB" w:rsidRDefault="000B6DB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It follows from the proposals above that a device that does not support an energy status indication cannot usefully store an AS ID (even RN16)</w:t>
      </w:r>
      <w:r w:rsidR="0073636A">
        <w:rPr>
          <w:rFonts w:ascii="Calibri" w:eastAsia="PMingLiU" w:hAnsi="Calibri"/>
          <w:sz w:val="22"/>
          <w:szCs w:val="22"/>
          <w:lang w:eastAsia="zh-TW"/>
        </w:rPr>
        <w:t>, because the reader will never know when the ID is available for use</w:t>
      </w:r>
      <w:r>
        <w:rPr>
          <w:rFonts w:ascii="Calibri" w:eastAsia="PMingLiU" w:hAnsi="Calibri"/>
          <w:sz w:val="22"/>
          <w:szCs w:val="22"/>
          <w:lang w:eastAsia="zh-TW"/>
        </w:rPr>
        <w:t>.  Such a device might be able to perform the paging/access procedure for inventory only, and nothing else, which could be appropriate for a simple inventory tag that cannot accept any command (even “disable”).  It can be discussed in normative work if the system caters to such devices.</w:t>
      </w:r>
    </w:p>
    <w:p w14:paraId="23100868" w14:textId="20BD5422" w:rsidR="000B6DBB" w:rsidRPr="000B6DBB" w:rsidRDefault="000B6DBB" w:rsidP="008D2107">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Discuss in normative work if the system supports devices that do not send an energy status indication and do not store an AS ID beyond the access procedure.</w:t>
      </w:r>
    </w:p>
    <w:p w14:paraId="3A88A533" w14:textId="7777777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30E23C0C"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This document promulgated the following proposals:</w:t>
      </w:r>
    </w:p>
    <w:p w14:paraId="5FEA816A"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From RAN2 perspective, take as a conclusion of the SI that any ID used for D2R scheduling and R2D reception (with the exception of paging) should be a short ID assigned in AS layers.  The definition of “short” can be determined in normative work.</w:t>
      </w:r>
    </w:p>
    <w:p w14:paraId="42739BBF"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The device should never be required to store more than one AS ID at a time.</w:t>
      </w:r>
    </w:p>
    <w:p w14:paraId="682AB8DD"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Support repeated addressing of the device using an AS ID assigned by the reader, without repeating the paging and access procedures.</w:t>
      </w:r>
    </w:p>
    <w:p w14:paraId="4A02E541"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The stored AS ID at the device may be assumed valid for the availability time implied by the device’s energy status indication.</w:t>
      </w:r>
    </w:p>
    <w:p w14:paraId="6C21C8D3"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energy status indication should have sufficient granularity to imply a high-confidence lower bound on the device’s availability time.</w:t>
      </w:r>
    </w:p>
    <w:p w14:paraId="67223B2A"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lastRenderedPageBreak/>
        <w:t>Proposal 6:</w:t>
      </w:r>
      <w:r>
        <w:rPr>
          <w:rFonts w:ascii="Calibri" w:eastAsia="PMingLiU" w:hAnsi="Calibri"/>
          <w:sz w:val="22"/>
          <w:szCs w:val="22"/>
          <w:lang w:eastAsia="zh-TW"/>
        </w:rPr>
        <w:t xml:space="preserve"> Capture in the TR the possibility of inferring an availability time from the device’s energy indication, which might require more than 1 bit for the indication.</w:t>
      </w:r>
    </w:p>
    <w:p w14:paraId="2744A57B" w14:textId="77777777" w:rsidR="00DE5084" w:rsidRDefault="00DE5084" w:rsidP="00DE5084">
      <w:pPr>
        <w:overflowPunct/>
        <w:autoSpaceDE/>
        <w:adjustRightInd/>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Discuss in normative work if the system supports devices that do not send an energy status indication and do not store an AS ID beyond the access procedure.</w:t>
      </w:r>
    </w:p>
    <w:p w14:paraId="70ABE2E8" w14:textId="5CFC802F" w:rsidR="006624D2" w:rsidRDefault="006624D2" w:rsidP="006624D2">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067A53A3" w14:textId="6C4A62F5" w:rsidR="00CE3B1E" w:rsidRDefault="00CE3B1E" w:rsidP="006624D2">
      <w:pPr>
        <w:spacing w:after="240"/>
        <w:rPr>
          <w:rFonts w:ascii="Calibri" w:eastAsia="PMingLiU" w:hAnsi="Calibri"/>
          <w:sz w:val="22"/>
          <w:szCs w:val="22"/>
          <w:lang w:eastAsia="zh-TW"/>
        </w:rPr>
      </w:pPr>
      <w:r>
        <w:rPr>
          <w:rFonts w:ascii="Calibri" w:eastAsia="PMingLiU" w:hAnsi="Calibri"/>
          <w:sz w:val="22"/>
          <w:szCs w:val="22"/>
          <w:lang w:eastAsia="zh-TW"/>
        </w:rPr>
        <w:t>[</w:t>
      </w:r>
      <w:r w:rsidR="00C31E82">
        <w:rPr>
          <w:rFonts w:ascii="Calibri" w:eastAsia="PMingLiU" w:hAnsi="Calibri"/>
          <w:sz w:val="22"/>
          <w:szCs w:val="22"/>
          <w:lang w:eastAsia="zh-TW"/>
        </w:rPr>
        <w:t>1</w:t>
      </w:r>
      <w:r>
        <w:rPr>
          <w:rFonts w:ascii="Calibri" w:eastAsia="PMingLiU" w:hAnsi="Calibri"/>
          <w:sz w:val="22"/>
          <w:szCs w:val="22"/>
          <w:lang w:eastAsia="zh-TW"/>
        </w:rPr>
        <w:t>]</w:t>
      </w:r>
      <w:r>
        <w:rPr>
          <w:rFonts w:ascii="Calibri" w:eastAsia="PMingLiU" w:hAnsi="Calibri"/>
          <w:sz w:val="22"/>
          <w:szCs w:val="22"/>
          <w:lang w:eastAsia="zh-TW"/>
        </w:rPr>
        <w:tab/>
      </w:r>
      <w:r w:rsidR="00D2105C">
        <w:rPr>
          <w:rFonts w:ascii="Calibri" w:eastAsia="PMingLiU" w:hAnsi="Calibri"/>
          <w:sz w:val="22"/>
          <w:szCs w:val="22"/>
          <w:lang w:eastAsia="zh-TW"/>
        </w:rPr>
        <w:t>R2-2408952: “Ambient IoT data transmission after initial access”, MediaTek Inc., RAN2#127bis</w:t>
      </w:r>
    </w:p>
    <w:bookmarkEnd w:id="2"/>
    <w:bookmarkEnd w:id="3"/>
    <w:bookmarkEnd w:id="4"/>
    <w:bookmarkEnd w:id="5"/>
    <w:bookmarkEnd w:id="6"/>
    <w:bookmarkEnd w:id="7"/>
    <w:p w14:paraId="79A92772" w14:textId="69932EAF" w:rsidR="00455B3B" w:rsidRDefault="00F010D3" w:rsidP="006624D2">
      <w:pPr>
        <w:spacing w:after="240"/>
        <w:rPr>
          <w:rFonts w:ascii="Calibri" w:eastAsia="PMingLiU" w:hAnsi="Calibri"/>
          <w:sz w:val="22"/>
          <w:szCs w:val="22"/>
          <w:lang w:eastAsia="zh-TW"/>
        </w:rPr>
      </w:pPr>
      <w:r>
        <w:rPr>
          <w:rFonts w:ascii="Calibri" w:eastAsia="PMingLiU" w:hAnsi="Calibri"/>
          <w:sz w:val="22"/>
          <w:szCs w:val="22"/>
          <w:lang w:eastAsia="zh-TW"/>
        </w:rPr>
        <w:t>[2] R2-24</w:t>
      </w:r>
      <w:r w:rsidR="00DE5084">
        <w:rPr>
          <w:rFonts w:ascii="Calibri" w:eastAsia="PMingLiU" w:hAnsi="Calibri"/>
          <w:sz w:val="22"/>
          <w:szCs w:val="22"/>
          <w:lang w:eastAsia="zh-TW"/>
        </w:rPr>
        <w:t>09702</w:t>
      </w:r>
      <w:r>
        <w:rPr>
          <w:rFonts w:ascii="Calibri" w:eastAsia="PMingLiU" w:hAnsi="Calibri"/>
          <w:sz w:val="22"/>
          <w:szCs w:val="22"/>
          <w:lang w:eastAsia="zh-TW"/>
        </w:rPr>
        <w:t>: “Ambient IoT coverage, energy, TB size, and all sorts of other things”, MediaTek Inc., RAN2#128</w:t>
      </w:r>
    </w:p>
    <w:sectPr w:rsidR="00455B3B"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44526A" w14:textId="77777777" w:rsidR="00A41624" w:rsidRDefault="00A41624">
      <w:pPr>
        <w:spacing w:after="0"/>
      </w:pPr>
      <w:r>
        <w:separator/>
      </w:r>
    </w:p>
  </w:endnote>
  <w:endnote w:type="continuationSeparator" w:id="0">
    <w:p w14:paraId="6E08D3E0" w14:textId="77777777" w:rsidR="00A41624" w:rsidRDefault="00A41624">
      <w:pPr>
        <w:spacing w:after="0"/>
      </w:pPr>
      <w:r>
        <w:continuationSeparator/>
      </w:r>
    </w:p>
  </w:endnote>
  <w:endnote w:type="continuationNotice" w:id="1">
    <w:p w14:paraId="392604A6" w14:textId="77777777" w:rsidR="00A41624" w:rsidRDefault="00A416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B0F917" w14:textId="77777777" w:rsidR="00A41624" w:rsidRDefault="00A41624">
      <w:pPr>
        <w:spacing w:after="0"/>
      </w:pPr>
      <w:r>
        <w:separator/>
      </w:r>
    </w:p>
  </w:footnote>
  <w:footnote w:type="continuationSeparator" w:id="0">
    <w:p w14:paraId="152B50BC" w14:textId="77777777" w:rsidR="00A41624" w:rsidRDefault="00A41624">
      <w:pPr>
        <w:spacing w:after="0"/>
      </w:pPr>
      <w:r>
        <w:continuationSeparator/>
      </w:r>
    </w:p>
  </w:footnote>
  <w:footnote w:type="continuationNotice" w:id="1">
    <w:p w14:paraId="55659720" w14:textId="77777777" w:rsidR="00A41624" w:rsidRDefault="00A4162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3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3945646">
    <w:abstractNumId w:val="0"/>
  </w:num>
  <w:num w:numId="2" w16cid:durableId="1876773270">
    <w:abstractNumId w:val="23"/>
  </w:num>
  <w:num w:numId="3" w16cid:durableId="405494934">
    <w:abstractNumId w:val="31"/>
  </w:num>
  <w:num w:numId="4" w16cid:durableId="2098673955">
    <w:abstractNumId w:val="26"/>
  </w:num>
  <w:num w:numId="5" w16cid:durableId="16597252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3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4"/>
  </w:num>
  <w:num w:numId="17" w16cid:durableId="319581574">
    <w:abstractNumId w:val="27"/>
  </w:num>
  <w:num w:numId="18" w16cid:durableId="671496083">
    <w:abstractNumId w:val="8"/>
  </w:num>
  <w:num w:numId="19" w16cid:durableId="91249721">
    <w:abstractNumId w:val="10"/>
  </w:num>
  <w:num w:numId="20" w16cid:durableId="265970387">
    <w:abstractNumId w:val="20"/>
  </w:num>
  <w:num w:numId="21" w16cid:durableId="1685325897">
    <w:abstractNumId w:val="22"/>
  </w:num>
  <w:num w:numId="22" w16cid:durableId="1616326705">
    <w:abstractNumId w:val="12"/>
  </w:num>
  <w:num w:numId="23" w16cid:durableId="2003845842">
    <w:abstractNumId w:val="16"/>
  </w:num>
  <w:num w:numId="24" w16cid:durableId="1758012337">
    <w:abstractNumId w:val="24"/>
  </w:num>
  <w:num w:numId="25" w16cid:durableId="61604864">
    <w:abstractNumId w:val="11"/>
  </w:num>
  <w:num w:numId="26" w16cid:durableId="1783725289">
    <w:abstractNumId w:val="30"/>
  </w:num>
  <w:num w:numId="27" w16cid:durableId="943154110">
    <w:abstractNumId w:val="21"/>
  </w:num>
  <w:num w:numId="28" w16cid:durableId="590508564">
    <w:abstractNumId w:val="35"/>
  </w:num>
  <w:num w:numId="29" w16cid:durableId="1333996154">
    <w:abstractNumId w:val="28"/>
  </w:num>
  <w:num w:numId="30" w16cid:durableId="1597665557">
    <w:abstractNumId w:val="13"/>
  </w:num>
  <w:num w:numId="31" w16cid:durableId="1206019505">
    <w:abstractNumId w:val="17"/>
  </w:num>
  <w:num w:numId="32" w16cid:durableId="68579267">
    <w:abstractNumId w:val="19"/>
  </w:num>
  <w:num w:numId="33" w16cid:durableId="871917870">
    <w:abstractNumId w:val="29"/>
  </w:num>
  <w:num w:numId="34" w16cid:durableId="1347367270">
    <w:abstractNumId w:val="9"/>
  </w:num>
  <w:num w:numId="35" w16cid:durableId="1509325865">
    <w:abstractNumId w:val="34"/>
  </w:num>
  <w:num w:numId="36" w16cid:durableId="61411782">
    <w:abstractNumId w:val="15"/>
  </w:num>
  <w:num w:numId="37" w16cid:durableId="1599555567">
    <w:abstractNumId w:val="25"/>
  </w:num>
  <w:num w:numId="38" w16cid:durableId="1509515824">
    <w:abstractNumId w:val="18"/>
  </w:num>
  <w:num w:numId="39" w16cid:durableId="68889537">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A74"/>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37F4A"/>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C06"/>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594"/>
    <w:rsid w:val="001E3AA6"/>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984"/>
    <w:rsid w:val="00570A24"/>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6F"/>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0BA"/>
    <w:rsid w:val="007F5636"/>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2B96"/>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62A4"/>
    <w:rsid w:val="00AC6A3D"/>
    <w:rsid w:val="00AC6DB4"/>
    <w:rsid w:val="00AC79E9"/>
    <w:rsid w:val="00AC7AC5"/>
    <w:rsid w:val="00AD0B29"/>
    <w:rsid w:val="00AD1CD8"/>
    <w:rsid w:val="00AD213E"/>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5BA"/>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3F54"/>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C8"/>
    <w:rsid w:val="00C83185"/>
    <w:rsid w:val="00C83188"/>
    <w:rsid w:val="00C8338F"/>
    <w:rsid w:val="00C8347E"/>
    <w:rsid w:val="00C835D6"/>
    <w:rsid w:val="00C83C24"/>
    <w:rsid w:val="00C83D56"/>
    <w:rsid w:val="00C841C6"/>
    <w:rsid w:val="00C84659"/>
    <w:rsid w:val="00C846E5"/>
    <w:rsid w:val="00C848EB"/>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48"/>
    <w:rsid w:val="00D70239"/>
    <w:rsid w:val="00D7058C"/>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0FB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78</TotalTime>
  <Pages>5</Pages>
  <Words>1734</Words>
  <Characters>10127</Characters>
  <Application>Microsoft Office Word</Application>
  <DocSecurity>0</DocSecurity>
  <Lines>220</Lines>
  <Paragraphs>197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11664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MediaTek (Nathan Tenny)</cp:lastModifiedBy>
  <cp:revision>2</cp:revision>
  <cp:lastPrinted>2017-05-08T10:55:00Z</cp:lastPrinted>
  <dcterms:created xsi:type="dcterms:W3CDTF">2024-11-08T02:12:00Z</dcterms:created>
  <dcterms:modified xsi:type="dcterms:W3CDTF">2024-11-08T02:12:00Z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