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34AFD80A" w:rsidR="00054954" w:rsidRPr="00DB772D" w:rsidRDefault="00F63C06" w:rsidP="00054954">
      <w:pPr>
        <w:keepLines/>
        <w:tabs>
          <w:tab w:val="right" w:pos="10440"/>
          <w:tab w:val="right" w:pos="13323"/>
        </w:tabs>
        <w:rPr>
          <w:rFonts w:ascii="Arial" w:hAnsi="Arial" w:cs="Arial"/>
          <w:b/>
          <w:sz w:val="24"/>
          <w:szCs w:val="24"/>
        </w:rPr>
      </w:pPr>
      <w:bookmarkStart w:id="0" w:name="OLE_LINK109"/>
      <w:bookmarkStart w:id="1" w:name="OLE_LINK110"/>
      <w:bookmarkStart w:id="2" w:name="_Ref399006623"/>
      <w:bookmarkStart w:id="3" w:name="_Toc92513360"/>
      <w:r w:rsidRPr="00DB772D">
        <w:rPr>
          <w:rFonts w:ascii="Arial" w:hAnsi="Arial" w:cs="Arial"/>
          <w:b/>
          <w:sz w:val="24"/>
          <w:szCs w:val="24"/>
        </w:rPr>
        <w:t>3GPP TSG RAN meeting #10</w:t>
      </w:r>
      <w:r w:rsidR="002B0594" w:rsidRPr="00DB772D">
        <w:rPr>
          <w:rFonts w:ascii="Arial" w:hAnsi="Arial" w:cs="Arial"/>
          <w:b/>
          <w:sz w:val="24"/>
          <w:szCs w:val="24"/>
        </w:rPr>
        <w:t>5</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E14DB7">
        <w:rPr>
          <w:rFonts w:ascii="Arial" w:hAnsi="Arial" w:cs="Arial"/>
          <w:b/>
          <w:sz w:val="24"/>
          <w:szCs w:val="24"/>
        </w:rPr>
        <w:t>2352</w:t>
      </w:r>
    </w:p>
    <w:p w14:paraId="525953A8" w14:textId="1013F69B" w:rsidR="00054954" w:rsidRPr="00152920" w:rsidRDefault="000A0667" w:rsidP="00054954">
      <w:pPr>
        <w:keepLines/>
        <w:tabs>
          <w:tab w:val="right" w:pos="10440"/>
          <w:tab w:val="right" w:pos="13323"/>
        </w:tabs>
        <w:rPr>
          <w:rFonts w:ascii="Arial" w:hAnsi="Arial" w:cs="Arial"/>
          <w:b/>
          <w:sz w:val="24"/>
          <w:szCs w:val="24"/>
        </w:rPr>
      </w:pPr>
      <w:r w:rsidRPr="00152920">
        <w:rPr>
          <w:rFonts w:ascii="Arial" w:hAnsi="Arial" w:cs="Arial"/>
          <w:b/>
          <w:sz w:val="24"/>
        </w:rPr>
        <w:t>Shanghai</w:t>
      </w:r>
      <w:r w:rsidR="00F63C06" w:rsidRPr="00152920">
        <w:rPr>
          <w:rFonts w:ascii="Arial" w:hAnsi="Arial" w:cs="Arial"/>
          <w:b/>
          <w:sz w:val="24"/>
        </w:rPr>
        <w:t xml:space="preserve">, </w:t>
      </w:r>
      <w:r w:rsidRPr="00152920">
        <w:rPr>
          <w:rFonts w:ascii="Arial" w:hAnsi="Arial" w:cs="Arial"/>
          <w:b/>
          <w:sz w:val="24"/>
        </w:rPr>
        <w:t>China</w:t>
      </w:r>
      <w:r w:rsidR="00F63C06" w:rsidRPr="00152920">
        <w:rPr>
          <w:rFonts w:ascii="Arial" w:hAnsi="Arial" w:cs="Arial"/>
          <w:b/>
          <w:sz w:val="24"/>
        </w:rPr>
        <w:t xml:space="preserve">, </w:t>
      </w:r>
      <w:r w:rsidRPr="00152920">
        <w:rPr>
          <w:rFonts w:ascii="Arial" w:hAnsi="Arial" w:cs="Arial"/>
          <w:b/>
          <w:sz w:val="24"/>
        </w:rPr>
        <w:t>June</w:t>
      </w:r>
      <w:r w:rsidR="00F63C06" w:rsidRPr="00152920">
        <w:rPr>
          <w:rFonts w:ascii="Arial" w:hAnsi="Arial" w:cs="Arial"/>
          <w:b/>
          <w:sz w:val="24"/>
        </w:rPr>
        <w:t xml:space="preserve"> 1</w:t>
      </w:r>
      <w:r w:rsidRPr="00152920">
        <w:rPr>
          <w:rFonts w:ascii="Arial" w:hAnsi="Arial" w:cs="Arial"/>
          <w:b/>
          <w:sz w:val="24"/>
        </w:rPr>
        <w:t>7</w:t>
      </w:r>
      <w:r w:rsidR="00F63C06" w:rsidRPr="00152920">
        <w:rPr>
          <w:rFonts w:ascii="Arial" w:hAnsi="Arial" w:cs="Arial"/>
          <w:b/>
          <w:sz w:val="24"/>
        </w:rPr>
        <w:t>-2</w:t>
      </w:r>
      <w:r w:rsidRPr="00152920">
        <w:rPr>
          <w:rFonts w:ascii="Arial" w:hAnsi="Arial" w:cs="Arial"/>
          <w:b/>
          <w:sz w:val="24"/>
        </w:rPr>
        <w:t>0</w:t>
      </w:r>
      <w:r w:rsidR="00F63C06" w:rsidRPr="00152920">
        <w:rPr>
          <w:rFonts w:ascii="Arial" w:hAnsi="Arial" w:cs="Arial"/>
          <w:b/>
          <w:sz w:val="24"/>
        </w:rPr>
        <w:t>, 2024</w:t>
      </w:r>
    </w:p>
    <w:bookmarkEnd w:id="0"/>
    <w:bookmarkEnd w:id="1"/>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77777777"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Moderator's summary on offline discussion about RAN2 aspects on REL-19 WI NR_AIML_air</w:t>
      </w:r>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2"/>
    <w:bookmarkEnd w:id="3"/>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p w14:paraId="20A65168" w14:textId="7856402A" w:rsidR="00941A23" w:rsidRDefault="00CB008A" w:rsidP="00AD2C23">
      <w:pPr>
        <w:adjustRightInd w:val="0"/>
        <w:snapToGrid w:val="0"/>
        <w:spacing w:beforeLines="50" w:before="120" w:afterLines="50" w:after="120"/>
        <w:rPr>
          <w:rFonts w:ascii="Times New Roman" w:hAnsi="Times New Roman" w:cs="Times New Roman"/>
        </w:rPr>
      </w:pPr>
      <w:bookmarkStart w:id="4" w:name="OLE_LINK104"/>
      <w:bookmarkStart w:id="5" w:name="OLE_LINK105"/>
      <w:r>
        <w:rPr>
          <w:rFonts w:ascii="Times New Roman" w:hAnsi="Times New Roman" w:cs="Times New Roman"/>
        </w:rPr>
        <w:t xml:space="preserve">Offline </w:t>
      </w:r>
    </w:p>
    <w:p w14:paraId="4256E4BD" w14:textId="24A854F9" w:rsidR="00CB008A" w:rsidRPr="00DB772D" w:rsidRDefault="00CB008A" w:rsidP="00CB008A">
      <w:pPr>
        <w:rPr>
          <w:rFonts w:eastAsia="Arial"/>
        </w:rPr>
      </w:pPr>
      <w:r>
        <w:rPr>
          <w:rFonts w:eastAsia="Arial"/>
        </w:rPr>
        <w:t xml:space="preserve">Table from </w:t>
      </w:r>
      <w:r w:rsidRPr="00DB772D">
        <w:rPr>
          <w:rFonts w:eastAsia="Arial"/>
        </w:rPr>
        <w:t xml:space="preserve">38.843 </w:t>
      </w:r>
    </w:p>
    <w:p w14:paraId="1A920DD7" w14:textId="77777777" w:rsidR="00CB008A" w:rsidRPr="00DB772D" w:rsidRDefault="00CB008A" w:rsidP="00CB008A">
      <w:pPr>
        <w:pStyle w:val="TH"/>
      </w:pPr>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B008A" w:rsidRPr="009D4950" w14:paraId="386366B9" w14:textId="77777777" w:rsidTr="00D62B0D">
        <w:tc>
          <w:tcPr>
            <w:tcW w:w="1000" w:type="pct"/>
            <w:tcBorders>
              <w:tl2br w:val="single" w:sz="4" w:space="0" w:color="auto"/>
            </w:tcBorders>
            <w:shd w:val="clear" w:color="auto" w:fill="D9D9D9" w:themeFill="background1" w:themeFillShade="D9"/>
          </w:tcPr>
          <w:p w14:paraId="7029A926" w14:textId="77777777" w:rsidR="00CB008A" w:rsidRPr="009D4950" w:rsidRDefault="00CB008A" w:rsidP="00D62B0D">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094B11EA" w14:textId="77777777" w:rsidR="00CB008A" w:rsidRPr="009D4950" w:rsidRDefault="00CB008A" w:rsidP="00D62B0D">
            <w:pPr>
              <w:spacing w:after="0"/>
              <w:rPr>
                <w:rFonts w:ascii="Arial" w:hAnsi="Arial" w:cs="Arial"/>
                <w:b/>
                <w:bCs/>
                <w:sz w:val="18"/>
                <w:szCs w:val="18"/>
              </w:rPr>
            </w:pPr>
          </w:p>
          <w:p w14:paraId="1FFB0245" w14:textId="77777777" w:rsidR="00CB008A" w:rsidRPr="009D4950" w:rsidRDefault="00CB008A" w:rsidP="00D62B0D">
            <w:pPr>
              <w:spacing w:after="0"/>
              <w:rPr>
                <w:rFonts w:ascii="Arial" w:hAnsi="Arial" w:cs="Arial"/>
                <w:b/>
                <w:bCs/>
                <w:sz w:val="18"/>
                <w:szCs w:val="18"/>
              </w:rPr>
            </w:pPr>
          </w:p>
          <w:p w14:paraId="7B92D6BF" w14:textId="77777777" w:rsidR="00CB008A" w:rsidRPr="009D4950" w:rsidRDefault="00CB008A" w:rsidP="00D62B0D">
            <w:pPr>
              <w:spacing w:after="0"/>
              <w:rPr>
                <w:rFonts w:ascii="Arial" w:hAnsi="Arial" w:cs="Arial"/>
                <w:b/>
                <w:bCs/>
                <w:sz w:val="18"/>
                <w:szCs w:val="18"/>
              </w:rPr>
            </w:pPr>
          </w:p>
          <w:p w14:paraId="4B455ABE" w14:textId="77777777" w:rsidR="00CB008A" w:rsidRPr="009D4950" w:rsidRDefault="00CB008A" w:rsidP="00D62B0D">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3EB70084"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0D9BAB76"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280D89BD" w14:textId="77777777" w:rsidR="00CB008A" w:rsidRPr="009D4950" w:rsidRDefault="00CB008A" w:rsidP="00D62B0D">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2A69D028" w14:textId="77777777" w:rsidR="00CB008A" w:rsidRPr="009D4950" w:rsidRDefault="00CB008A" w:rsidP="00D62B0D">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B008A" w:rsidRPr="009D4950" w14:paraId="4BE7E620" w14:textId="77777777" w:rsidTr="00D62B0D">
        <w:tc>
          <w:tcPr>
            <w:tcW w:w="1000" w:type="pct"/>
            <w:shd w:val="clear" w:color="auto" w:fill="D9D9D9" w:themeFill="background1" w:themeFillShade="D9"/>
          </w:tcPr>
          <w:p w14:paraId="58689907"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3FC388D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4B6698FF"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3A083B24"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68D19903" w14:textId="77777777" w:rsidR="00CB008A" w:rsidRPr="009D4950" w:rsidRDefault="00CB008A" w:rsidP="00D62B0D">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B008A" w:rsidRPr="009D4950" w14:paraId="6A4BB082" w14:textId="77777777" w:rsidTr="00D62B0D">
        <w:tc>
          <w:tcPr>
            <w:tcW w:w="1000" w:type="pct"/>
            <w:shd w:val="clear" w:color="auto" w:fill="D9D9D9" w:themeFill="background1" w:themeFillShade="D9"/>
          </w:tcPr>
          <w:p w14:paraId="1A7431E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76AAD09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1212209B"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5C79A0AA"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4115891A"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2398122" w14:textId="77777777" w:rsidR="00CB008A" w:rsidRPr="009D4950" w:rsidRDefault="00CB008A" w:rsidP="00D62B0D">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31BFBA0"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UE-&gt; gNB-&gt;OAM -&gt; Server for data collection for UE-side model training/OTT server</w:t>
            </w:r>
          </w:p>
          <w:p w14:paraId="0390EFC9"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B008A" w:rsidRPr="009D4950" w14:paraId="5AFC43B8" w14:textId="77777777" w:rsidTr="00D62B0D">
        <w:tc>
          <w:tcPr>
            <w:tcW w:w="1000" w:type="pct"/>
            <w:shd w:val="clear" w:color="auto" w:fill="D9D9D9" w:themeFill="background1" w:themeFillShade="D9"/>
          </w:tcPr>
          <w:p w14:paraId="74BF57CB"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B980E84"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4371BCE3"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7D682FB2"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CP tunnel (provided that the data volume remains within the NAS signalling capacity)</w:t>
            </w:r>
          </w:p>
          <w:p w14:paraId="20FABAB3" w14:textId="77777777" w:rsidR="00CB008A" w:rsidRDefault="00CB008A" w:rsidP="00D62B0D">
            <w:pPr>
              <w:spacing w:after="0"/>
              <w:rPr>
                <w:rFonts w:ascii="Arial" w:hAnsi="Arial" w:cs="Arial"/>
                <w:sz w:val="18"/>
                <w:szCs w:val="18"/>
                <w:lang w:eastAsia="ja-JP"/>
              </w:rPr>
            </w:pPr>
            <w:r w:rsidRPr="00900AD2">
              <w:rPr>
                <w:rFonts w:ascii="Arial" w:hAnsi="Arial" w:cs="Arial"/>
                <w:sz w:val="18"/>
                <w:szCs w:val="18"/>
                <w:lang w:eastAsia="ja-JP"/>
              </w:rPr>
              <w:t>FFS: UP tunnel</w:t>
            </w:r>
            <w:r>
              <w:rPr>
                <w:rFonts w:ascii="Arial" w:hAnsi="Arial" w:cs="Arial"/>
                <w:sz w:val="18"/>
                <w:szCs w:val="18"/>
                <w:lang w:eastAsia="ja-JP"/>
              </w:rPr>
              <w:t xml:space="preserve"> </w:t>
            </w:r>
          </w:p>
          <w:p w14:paraId="4DD92265" w14:textId="77777777" w:rsidR="00CB008A" w:rsidRDefault="00CB008A" w:rsidP="00D62B0D">
            <w:pPr>
              <w:spacing w:after="0"/>
              <w:rPr>
                <w:rFonts w:ascii="Arial" w:hAnsi="Arial" w:cs="Arial"/>
                <w:sz w:val="18"/>
                <w:szCs w:val="18"/>
                <w:lang w:eastAsia="ja-JP"/>
              </w:rPr>
            </w:pPr>
            <w:r>
              <w:rPr>
                <w:rFonts w:ascii="Arial" w:hAnsi="Arial" w:cs="Arial"/>
                <w:sz w:val="18"/>
                <w:szCs w:val="18"/>
                <w:lang w:eastAsia="ja-JP"/>
              </w:rPr>
              <w:t>(Note 7)</w:t>
            </w:r>
          </w:p>
          <w:p w14:paraId="1E094D77" w14:textId="77777777" w:rsidR="00CB008A" w:rsidRPr="009D4950" w:rsidRDefault="00CB008A" w:rsidP="00D62B0D">
            <w:pPr>
              <w:spacing w:after="0"/>
              <w:rPr>
                <w:rFonts w:ascii="Arial" w:hAnsi="Arial" w:cs="Arial"/>
                <w:sz w:val="18"/>
                <w:szCs w:val="18"/>
                <w:lang w:eastAsia="en-GB"/>
              </w:rPr>
            </w:pPr>
          </w:p>
        </w:tc>
        <w:tc>
          <w:tcPr>
            <w:tcW w:w="1000" w:type="pct"/>
          </w:tcPr>
          <w:p w14:paraId="65EDA0B9"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CP tunnel (provided that the data volume remains within the RRC signalling capacity)</w:t>
            </w:r>
          </w:p>
          <w:p w14:paraId="683BD8E2" w14:textId="77777777" w:rsidR="00CB008A" w:rsidRPr="009D4950" w:rsidRDefault="00CB008A" w:rsidP="00D62B0D">
            <w:pPr>
              <w:overflowPunct w:val="0"/>
              <w:autoSpaceDE w:val="0"/>
              <w:autoSpaceDN w:val="0"/>
              <w:adjustRightInd w:val="0"/>
              <w:spacing w:after="0"/>
              <w:textAlignment w:val="baseline"/>
              <w:rPr>
                <w:rFonts w:ascii="Arial" w:hAnsi="Arial" w:cs="Arial"/>
                <w:sz w:val="18"/>
                <w:szCs w:val="18"/>
                <w:lang w:eastAsia="en-GB"/>
              </w:rPr>
            </w:pPr>
            <w:r w:rsidRPr="00900AD2">
              <w:rPr>
                <w:rFonts w:ascii="Arial" w:hAnsi="Arial" w:cs="Arial"/>
                <w:sz w:val="18"/>
                <w:szCs w:val="18"/>
                <w:lang w:eastAsia="ja-JP"/>
              </w:rPr>
              <w:t>FFS: UP tunnel</w:t>
            </w:r>
            <w:r>
              <w:rPr>
                <w:rFonts w:ascii="Arial" w:hAnsi="Arial" w:cs="Arial"/>
                <w:sz w:val="18"/>
                <w:szCs w:val="18"/>
                <w:lang w:eastAsia="ja-JP"/>
              </w:rPr>
              <w:br/>
              <w:t>(Note 7)</w:t>
            </w:r>
          </w:p>
        </w:tc>
      </w:tr>
      <w:tr w:rsidR="00CB008A" w:rsidRPr="00282120" w14:paraId="7F7EB2DB" w14:textId="77777777" w:rsidTr="00D62B0D">
        <w:tc>
          <w:tcPr>
            <w:tcW w:w="1000" w:type="pct"/>
            <w:shd w:val="clear" w:color="auto" w:fill="D9D9D9" w:themeFill="background1" w:themeFillShade="D9"/>
          </w:tcPr>
          <w:p w14:paraId="1ABEE015"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27A7513C"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58E428D6"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43FF82D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NAS layer for CP tunnel</w:t>
            </w:r>
          </w:p>
          <w:p w14:paraId="3C4C526B"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5702AF8E"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RRC layer for CP tunnel</w:t>
            </w:r>
          </w:p>
          <w:p w14:paraId="1D15CEE1"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68AE3D9E" w14:textId="77777777" w:rsidR="00CB008A" w:rsidRPr="00DB772D" w:rsidRDefault="00CB008A" w:rsidP="00D62B0D">
            <w:pPr>
              <w:overflowPunct w:val="0"/>
              <w:autoSpaceDE w:val="0"/>
              <w:autoSpaceDN w:val="0"/>
              <w:adjustRightInd w:val="0"/>
              <w:spacing w:after="0"/>
              <w:ind w:left="-17"/>
              <w:textAlignment w:val="baseline"/>
              <w:rPr>
                <w:rFonts w:ascii="Arial" w:hAnsi="Arial" w:cs="Arial"/>
                <w:sz w:val="18"/>
                <w:szCs w:val="18"/>
                <w:lang w:eastAsia="en-GB"/>
              </w:rPr>
            </w:pPr>
          </w:p>
        </w:tc>
      </w:tr>
      <w:tr w:rsidR="00CB008A" w:rsidRPr="009D4950" w14:paraId="17716D7E" w14:textId="77777777" w:rsidTr="00D62B0D">
        <w:tc>
          <w:tcPr>
            <w:tcW w:w="1000" w:type="pct"/>
            <w:shd w:val="clear" w:color="auto" w:fill="D9D9D9" w:themeFill="background1" w:themeFillShade="D9"/>
          </w:tcPr>
          <w:p w14:paraId="3AA0814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3A8D7004" w14:textId="77777777" w:rsidR="00CB008A" w:rsidRPr="00DB772D" w:rsidRDefault="00CB008A" w:rsidP="00D62B0D">
            <w:pPr>
              <w:spacing w:after="0"/>
              <w:rPr>
                <w:rFonts w:ascii="Arial" w:hAnsi="Arial" w:cs="Arial"/>
                <w:b/>
                <w:bCs/>
                <w:sz w:val="18"/>
                <w:szCs w:val="18"/>
                <w:lang w:eastAsia="en-GB"/>
              </w:rPr>
            </w:pPr>
          </w:p>
        </w:tc>
        <w:tc>
          <w:tcPr>
            <w:tcW w:w="1000" w:type="pct"/>
          </w:tcPr>
          <w:p w14:paraId="5F0F2BC2"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640E974D"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1ECF5F68" w14:textId="77777777" w:rsidR="00CB008A" w:rsidRPr="009D4950" w:rsidRDefault="00CB008A" w:rsidP="00D62B0D">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48BEAFB" w14:textId="77777777" w:rsidR="00CB008A" w:rsidRPr="009D4950" w:rsidRDefault="00CB008A" w:rsidP="00D62B0D">
            <w:pPr>
              <w:spacing w:after="0"/>
              <w:rPr>
                <w:rFonts w:ascii="Arial" w:hAnsi="Arial" w:cs="Arial"/>
                <w:sz w:val="18"/>
                <w:szCs w:val="18"/>
                <w:lang w:eastAsia="ja-JP"/>
              </w:rPr>
            </w:pPr>
          </w:p>
          <w:p w14:paraId="56C25CA0" w14:textId="77777777" w:rsidR="00CB008A" w:rsidRPr="009D4950" w:rsidRDefault="00CB008A" w:rsidP="00D62B0D">
            <w:pPr>
              <w:spacing w:after="0"/>
              <w:rPr>
                <w:rFonts w:ascii="Arial" w:hAnsi="Arial" w:cs="Arial"/>
                <w:sz w:val="18"/>
                <w:szCs w:val="18"/>
                <w:lang w:eastAsia="en-GB"/>
              </w:rPr>
            </w:pPr>
          </w:p>
        </w:tc>
        <w:tc>
          <w:tcPr>
            <w:tcW w:w="1000" w:type="pct"/>
          </w:tcPr>
          <w:p w14:paraId="79683DDD"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2F1A3C06"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ja-JP"/>
              </w:rPr>
            </w:pPr>
          </w:p>
          <w:p w14:paraId="1C7D8C05"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B008A" w:rsidRPr="009D4950" w14:paraId="0FE10B92" w14:textId="77777777" w:rsidTr="00D62B0D">
        <w:tc>
          <w:tcPr>
            <w:tcW w:w="1000" w:type="pct"/>
            <w:shd w:val="clear" w:color="auto" w:fill="D9D9D9" w:themeFill="background1" w:themeFillShade="D9"/>
          </w:tcPr>
          <w:p w14:paraId="75822DCC" w14:textId="77777777" w:rsidR="00CB008A" w:rsidRPr="00900AD2" w:rsidRDefault="00CB008A" w:rsidP="00D62B0D">
            <w:pPr>
              <w:spacing w:after="0"/>
              <w:rPr>
                <w:rFonts w:ascii="Arial" w:hAnsi="Arial" w:cs="Arial"/>
                <w:b/>
                <w:bCs/>
                <w:sz w:val="18"/>
                <w:szCs w:val="18"/>
                <w:lang w:eastAsia="en-GB"/>
              </w:rPr>
            </w:pPr>
            <w:r>
              <w:rPr>
                <w:rFonts w:ascii="Arial" w:hAnsi="Arial" w:cs="Arial"/>
                <w:b/>
                <w:bCs/>
                <w:sz w:val="18"/>
                <w:szCs w:val="18"/>
                <w:lang w:eastAsia="en-GB"/>
              </w:rPr>
              <w:lastRenderedPageBreak/>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1E23DFB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6149A1C7"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60D041A2" w14:textId="77777777" w:rsidR="00CB008A" w:rsidRPr="00DB772D" w:rsidRDefault="00CB008A" w:rsidP="00D62B0D">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3072C4BC" w14:textId="77777777" w:rsidR="00CB008A" w:rsidRPr="00DB772D" w:rsidRDefault="00CB008A" w:rsidP="00D62B0D">
            <w:pPr>
              <w:spacing w:after="0"/>
              <w:rPr>
                <w:rFonts w:ascii="Arial" w:hAnsi="Arial" w:cs="Arial"/>
                <w:sz w:val="18"/>
                <w:szCs w:val="18"/>
                <w:lang w:eastAsia="en-GB"/>
              </w:rPr>
            </w:pPr>
          </w:p>
        </w:tc>
        <w:tc>
          <w:tcPr>
            <w:tcW w:w="1000" w:type="pct"/>
          </w:tcPr>
          <w:p w14:paraId="3DF234D1" w14:textId="77777777" w:rsidR="00CB008A" w:rsidRPr="009D4950" w:rsidRDefault="00CB008A" w:rsidP="00D62B0D">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B008A" w:rsidRPr="009D4950" w14:paraId="6378305A" w14:textId="77777777" w:rsidTr="00D62B0D">
        <w:tc>
          <w:tcPr>
            <w:tcW w:w="1000" w:type="pct"/>
            <w:shd w:val="clear" w:color="auto" w:fill="D9D9D9" w:themeFill="background1" w:themeFillShade="D9"/>
          </w:tcPr>
          <w:p w14:paraId="4785AB1E" w14:textId="77777777" w:rsidR="00CB008A" w:rsidRPr="00DB772D" w:rsidRDefault="00CB008A" w:rsidP="00D62B0D">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6E0277E3" w14:textId="77777777" w:rsidR="00CB008A" w:rsidRPr="00900AD2" w:rsidRDefault="00CB008A" w:rsidP="00D62B0D">
            <w:pPr>
              <w:rPr>
                <w:rFonts w:ascii="Arial" w:hAnsi="Arial" w:cs="Arial"/>
                <w:sz w:val="18"/>
                <w:szCs w:val="18"/>
                <w:lang w:eastAsia="ja-JP"/>
              </w:rPr>
            </w:pPr>
            <w:r w:rsidRPr="00900AD2">
              <w:rPr>
                <w:rFonts w:ascii="Arial" w:hAnsi="Arial" w:cs="Arial"/>
                <w:sz w:val="18"/>
                <w:szCs w:val="18"/>
                <w:lang w:eastAsia="ja-JP"/>
              </w:rPr>
              <w:t>No standardized visibility</w:t>
            </w:r>
          </w:p>
          <w:p w14:paraId="6FBE1F12" w14:textId="77777777" w:rsidR="00CB008A" w:rsidRPr="009D4950" w:rsidRDefault="00CB008A" w:rsidP="00D62B0D">
            <w:pPr>
              <w:spacing w:after="0"/>
              <w:rPr>
                <w:rFonts w:ascii="Arial" w:hAnsi="Arial" w:cs="Arial"/>
                <w:sz w:val="18"/>
                <w:szCs w:val="18"/>
                <w:lang w:eastAsia="en-GB"/>
              </w:rPr>
            </w:pPr>
          </w:p>
        </w:tc>
        <w:tc>
          <w:tcPr>
            <w:tcW w:w="1000" w:type="pct"/>
          </w:tcPr>
          <w:p w14:paraId="6BBAED0C"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7D24DAC5"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Opt A) Full visibility for standardized data contents.</w:t>
            </w:r>
          </w:p>
          <w:p w14:paraId="09E9A9B0" w14:textId="77777777" w:rsidR="00CB008A" w:rsidRPr="00900AD2" w:rsidRDefault="00CB008A" w:rsidP="00D62B0D">
            <w:pPr>
              <w:rPr>
                <w:rFonts w:ascii="Arial" w:hAnsi="Arial" w:cs="Arial"/>
                <w:sz w:val="18"/>
                <w:szCs w:val="18"/>
                <w:lang w:eastAsia="ja-JP"/>
              </w:rPr>
            </w:pPr>
            <w:r w:rsidRPr="00DB772D">
              <w:rPr>
                <w:rFonts w:ascii="Arial" w:hAnsi="Arial" w:cs="Arial"/>
                <w:sz w:val="18"/>
                <w:szCs w:val="18"/>
                <w:lang w:eastAsia="ja-JP"/>
              </w:rPr>
              <w:t xml:space="preserve">Opt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641F6AA0" w14:textId="77777777" w:rsidR="00CB008A" w:rsidRPr="009D4950" w:rsidRDefault="00CB008A" w:rsidP="00D62B0D">
            <w:pPr>
              <w:rPr>
                <w:rFonts w:ascii="Arial" w:hAnsi="Arial" w:cs="Arial"/>
                <w:sz w:val="18"/>
                <w:szCs w:val="18"/>
                <w:lang w:eastAsia="en-GB"/>
              </w:rPr>
            </w:pPr>
            <w:r w:rsidRPr="00900AD2">
              <w:rPr>
                <w:rFonts w:ascii="Arial" w:hAnsi="Arial" w:cs="Arial"/>
                <w:sz w:val="18"/>
                <w:szCs w:val="18"/>
                <w:lang w:eastAsia="ja-JP"/>
              </w:rPr>
              <w:t>Opt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44A63FA" w14:textId="77777777" w:rsidR="00CB008A" w:rsidRPr="00DB772D" w:rsidRDefault="00CB008A" w:rsidP="00D62B0D">
            <w:pPr>
              <w:rPr>
                <w:rFonts w:ascii="Arial" w:hAnsi="Arial" w:cs="Arial"/>
                <w:sz w:val="18"/>
                <w:szCs w:val="18"/>
                <w:lang w:eastAsia="ja-JP"/>
              </w:rPr>
            </w:pPr>
            <w:r w:rsidRPr="00DB772D">
              <w:rPr>
                <w:rFonts w:ascii="Arial" w:hAnsi="Arial" w:cs="Arial"/>
                <w:sz w:val="18"/>
                <w:szCs w:val="18"/>
                <w:lang w:eastAsia="ja-JP"/>
              </w:rPr>
              <w:t>Opt A) Full visibility for standardized data contents.</w:t>
            </w:r>
          </w:p>
          <w:p w14:paraId="54EA3E38" w14:textId="77777777" w:rsidR="00CB008A" w:rsidRPr="00900AD2" w:rsidRDefault="00CB008A" w:rsidP="00D62B0D">
            <w:pPr>
              <w:rPr>
                <w:rFonts w:ascii="Arial" w:hAnsi="Arial" w:cs="Arial"/>
                <w:sz w:val="18"/>
                <w:szCs w:val="18"/>
                <w:lang w:eastAsia="ja-JP"/>
              </w:rPr>
            </w:pPr>
            <w:r w:rsidRPr="00DB772D">
              <w:rPr>
                <w:rFonts w:ascii="Arial" w:hAnsi="Arial" w:cs="Arial"/>
                <w:sz w:val="18"/>
                <w:szCs w:val="18"/>
                <w:lang w:eastAsia="ja-JP"/>
              </w:rPr>
              <w:t xml:space="preserve">Opt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3961C05D" w14:textId="77777777" w:rsidR="00CB008A" w:rsidRPr="00900AD2" w:rsidRDefault="00CB008A" w:rsidP="00D62B0D">
            <w:pPr>
              <w:rPr>
                <w:rFonts w:ascii="Arial" w:hAnsi="Arial" w:cs="Arial"/>
                <w:sz w:val="18"/>
                <w:szCs w:val="18"/>
                <w:lang w:eastAsia="ja-JP"/>
              </w:rPr>
            </w:pPr>
            <w:r w:rsidRPr="00900AD2">
              <w:rPr>
                <w:rFonts w:ascii="Arial" w:hAnsi="Arial" w:cs="Arial"/>
                <w:sz w:val="18"/>
                <w:szCs w:val="18"/>
                <w:lang w:eastAsia="ja-JP"/>
              </w:rPr>
              <w:t>Opt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761D7757" w14:textId="77777777" w:rsidR="00CB008A" w:rsidRPr="009D4950" w:rsidRDefault="00CB008A" w:rsidP="00D62B0D">
            <w:pPr>
              <w:rPr>
                <w:rFonts w:ascii="Arial" w:hAnsi="Arial" w:cs="Arial"/>
                <w:sz w:val="18"/>
                <w:szCs w:val="18"/>
                <w:lang w:eastAsia="en-GB"/>
              </w:rPr>
            </w:pPr>
          </w:p>
        </w:tc>
      </w:tr>
      <w:tr w:rsidR="00CB008A" w:rsidRPr="00D534C3" w14:paraId="4F21F7BE" w14:textId="77777777" w:rsidTr="00D62B0D">
        <w:tc>
          <w:tcPr>
            <w:tcW w:w="1000" w:type="pct"/>
            <w:shd w:val="clear" w:color="auto" w:fill="D9D9D9" w:themeFill="background1" w:themeFillShade="D9"/>
          </w:tcPr>
          <w:p w14:paraId="14E3CE54" w14:textId="77777777" w:rsidR="00CB008A" w:rsidRPr="00900AD2" w:rsidRDefault="00CB008A" w:rsidP="00D62B0D">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026F39FF" w14:textId="77777777" w:rsidR="00CB008A" w:rsidRPr="009D4950" w:rsidRDefault="00CB008A" w:rsidP="00D62B0D">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00109813"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17A6B95E" w14:textId="77777777" w:rsidR="00CB008A" w:rsidRPr="00DB772D" w:rsidRDefault="00CB008A" w:rsidP="00D62B0D">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722218EA"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2122CD12" w14:textId="77777777" w:rsidR="00CB008A" w:rsidRPr="00D534C3" w:rsidRDefault="00CB008A" w:rsidP="00D62B0D">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B008A" w:rsidRPr="00282120" w14:paraId="3A0344FF" w14:textId="77777777" w:rsidTr="00D62B0D">
        <w:tc>
          <w:tcPr>
            <w:tcW w:w="5000" w:type="pct"/>
            <w:gridSpan w:val="5"/>
          </w:tcPr>
          <w:p w14:paraId="652A0372" w14:textId="77777777" w:rsidR="00CB008A" w:rsidRPr="00900AD2"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17D31AF0"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18BD1998" w14:textId="77777777" w:rsidR="00CB008A" w:rsidRPr="00DB772D" w:rsidRDefault="00CB008A" w:rsidP="00D62B0D">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298B9CBC"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6C089AD5" w14:textId="77777777" w:rsidR="00CB008A" w:rsidRPr="00DB772D" w:rsidRDefault="00CB008A" w:rsidP="00D62B0D">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2128C29C" w14:textId="77777777" w:rsidR="00CB008A" w:rsidRPr="00DB772D" w:rsidRDefault="00CB008A" w:rsidP="00D62B0D">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33BE9D6F"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32AA7F18"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51DA9867"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4A159BB5" w14:textId="77777777" w:rsidR="00CB008A" w:rsidRPr="00DB772D" w:rsidRDefault="00CB008A" w:rsidP="00D62B0D">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1EA2E83" w14:textId="77777777" w:rsidR="00CB008A" w:rsidRPr="00DB772D" w:rsidRDefault="00CB008A" w:rsidP="00AD2C23">
      <w:pPr>
        <w:adjustRightInd w:val="0"/>
        <w:snapToGrid w:val="0"/>
        <w:spacing w:beforeLines="50" w:before="120" w:afterLines="50" w:after="120"/>
        <w:rPr>
          <w:rFonts w:ascii="Times New Roman" w:hAnsi="Times New Roman" w:cs="Times New Roman"/>
        </w:rPr>
      </w:pPr>
    </w:p>
    <w:bookmarkEnd w:id="4"/>
    <w:bookmarkEnd w:id="5"/>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35E7CEE0" w14:textId="7E42E29B" w:rsidR="00CB008A" w:rsidRDefault="00CB008A" w:rsidP="00E24C6A">
      <w:pPr>
        <w:pStyle w:val="Heading2"/>
      </w:pPr>
      <w:r>
        <w:t>Data collection requirement</w:t>
      </w:r>
    </w:p>
    <w:p w14:paraId="6711331B" w14:textId="77777777" w:rsidR="00E14DB7" w:rsidRDefault="00CB008A" w:rsidP="00CB008A">
      <w:pPr>
        <w:rPr>
          <w:lang w:val="en-GB" w:eastAsia="zh-CN"/>
        </w:rPr>
      </w:pPr>
      <w:r>
        <w:rPr>
          <w:lang w:val="en-GB" w:eastAsia="zh-CN"/>
        </w:rPr>
        <w:t>Discussion on requirements for data collection</w:t>
      </w:r>
      <w:r w:rsidR="00E14DB7">
        <w:rPr>
          <w:lang w:val="en-GB" w:eastAsia="zh-CN"/>
        </w:rPr>
        <w:t xml:space="preserve">.   </w:t>
      </w:r>
    </w:p>
    <w:p w14:paraId="1ED55412" w14:textId="4A91E55E" w:rsidR="00CB008A" w:rsidRDefault="002A293B" w:rsidP="00CB008A">
      <w:pPr>
        <w:rPr>
          <w:lang w:val="en-GB" w:eastAsia="zh-CN"/>
        </w:rPr>
      </w:pPr>
      <w:r>
        <w:rPr>
          <w:lang w:val="en-GB" w:eastAsia="zh-CN"/>
        </w:rPr>
        <w:t>We will f</w:t>
      </w:r>
      <w:r w:rsidR="00E14DB7">
        <w:rPr>
          <w:lang w:val="en-GB" w:eastAsia="zh-CN"/>
        </w:rPr>
        <w:t xml:space="preserve">ocus </w:t>
      </w:r>
      <w:r>
        <w:rPr>
          <w:lang w:val="en-GB" w:eastAsia="zh-CN"/>
        </w:rPr>
        <w:t>the</w:t>
      </w:r>
      <w:r w:rsidR="00E14DB7">
        <w:rPr>
          <w:lang w:val="en-GB" w:eastAsia="zh-CN"/>
        </w:rPr>
        <w:t xml:space="preserve"> discussion</w:t>
      </w:r>
      <w:r>
        <w:rPr>
          <w:lang w:val="en-GB" w:eastAsia="zh-CN"/>
        </w:rPr>
        <w:t xml:space="preserve"> on</w:t>
      </w:r>
      <w:r w:rsidR="00E14DB7">
        <w:rPr>
          <w:lang w:val="en-GB" w:eastAsia="zh-CN"/>
        </w:rPr>
        <w:t xml:space="preserve"> should be requirements for </w:t>
      </w:r>
      <w:r w:rsidR="00CB008A">
        <w:rPr>
          <w:lang w:val="en-GB" w:eastAsia="zh-CN"/>
        </w:rPr>
        <w:t xml:space="preserve">transfer </w:t>
      </w:r>
      <w:r w:rsidR="00E14DB7">
        <w:rPr>
          <w:lang w:val="en-GB" w:eastAsia="zh-CN"/>
        </w:rPr>
        <w:t xml:space="preserve">collected data </w:t>
      </w:r>
      <w:r w:rsidR="00CB008A">
        <w:rPr>
          <w:lang w:val="en-GB" w:eastAsia="zh-CN"/>
        </w:rPr>
        <w:t>over Uu</w:t>
      </w:r>
      <w:r>
        <w:rPr>
          <w:lang w:val="en-GB" w:eastAsia="zh-CN"/>
        </w:rPr>
        <w:t xml:space="preserve"> for standardized solution (if RAN would standardize a solution) </w:t>
      </w:r>
    </w:p>
    <w:p w14:paraId="08EDCC9A" w14:textId="77777777" w:rsidR="002A293B" w:rsidRDefault="002A293B" w:rsidP="00CB008A">
      <w:pPr>
        <w:rPr>
          <w:rStyle w:val="Strong"/>
        </w:rPr>
      </w:pPr>
    </w:p>
    <w:p w14:paraId="0A5995DB" w14:textId="4C2D8255" w:rsidR="00CB008A" w:rsidRDefault="00CB008A" w:rsidP="00CB008A">
      <w:pPr>
        <w:rPr>
          <w:rStyle w:val="Strong"/>
        </w:rPr>
      </w:pPr>
      <w:r>
        <w:rPr>
          <w:rStyle w:val="Strong"/>
        </w:rPr>
        <w:t>F</w:t>
      </w:r>
      <w:r w:rsidRPr="00DB772D">
        <w:rPr>
          <w:rStyle w:val="Strong"/>
        </w:rPr>
        <w:t>ull controllability</w:t>
      </w:r>
    </w:p>
    <w:p w14:paraId="07804095" w14:textId="359F0DE8" w:rsidR="00CB008A" w:rsidRDefault="00CB008A" w:rsidP="00CB008A">
      <w:pPr>
        <w:rPr>
          <w:rStyle w:val="Strong"/>
        </w:rPr>
      </w:pPr>
      <w:r w:rsidRPr="00DB772D">
        <w:rPr>
          <w:rStyle w:val="Strong"/>
        </w:rPr>
        <w:t>MNO Fu</w:t>
      </w:r>
      <w:r>
        <w:rPr>
          <w:rStyle w:val="Strong"/>
        </w:rPr>
        <w:t>ll</w:t>
      </w:r>
      <w:r w:rsidRPr="00DB772D">
        <w:rPr>
          <w:rStyle w:val="Strong"/>
        </w:rPr>
        <w:t xml:space="preserve"> visibility </w:t>
      </w:r>
    </w:p>
    <w:p w14:paraId="7BC969F7" w14:textId="2CE1CD93" w:rsidR="000741A2" w:rsidRDefault="0030163F" w:rsidP="000741A2">
      <w:pPr>
        <w:rPr>
          <w:rStyle w:val="Strong"/>
        </w:rPr>
      </w:pPr>
      <w:r>
        <w:rPr>
          <w:rStyle w:val="Strong"/>
        </w:rPr>
        <w:t xml:space="preserve">Requirements </w:t>
      </w:r>
      <w:r w:rsidR="002A293B">
        <w:rPr>
          <w:rStyle w:val="Strong"/>
        </w:rPr>
        <w:t xml:space="preserve">for data collection for UE sided </w:t>
      </w:r>
      <w:r w:rsidR="00926FC3">
        <w:rPr>
          <w:rStyle w:val="Strong"/>
        </w:rPr>
        <w:t xml:space="preserve">model </w:t>
      </w:r>
      <w:r w:rsidR="002A293B">
        <w:rPr>
          <w:rStyle w:val="Strong"/>
        </w:rPr>
        <w:t>training</w:t>
      </w:r>
      <w:r w:rsidR="000741A2">
        <w:rPr>
          <w:rStyle w:val="Strong"/>
        </w:rPr>
        <w:t xml:space="preserve"> for</w:t>
      </w:r>
      <w:r w:rsidR="002A293B">
        <w:rPr>
          <w:rStyle w:val="Strong"/>
        </w:rPr>
        <w:t xml:space="preserve"> standardized solution (if standardized)</w:t>
      </w:r>
      <w:r w:rsidR="000741A2">
        <w:rPr>
          <w:rStyle w:val="Strong"/>
        </w:rPr>
        <w:t xml:space="preserve"> (i.e. 1b, 2, 3).   1a is not precluded.  </w:t>
      </w:r>
    </w:p>
    <w:p w14:paraId="1E053946" w14:textId="1E82CCBC" w:rsidR="002A293B" w:rsidRPr="00A448C8" w:rsidRDefault="002A293B" w:rsidP="002A293B">
      <w:pPr>
        <w:pStyle w:val="ListParagraph"/>
        <w:numPr>
          <w:ilvl w:val="2"/>
          <w:numId w:val="34"/>
        </w:numPr>
        <w:ind w:firstLineChars="0"/>
        <w:rPr>
          <w:bCs/>
          <w:highlight w:val="yellow"/>
        </w:rPr>
      </w:pPr>
      <w:r w:rsidRPr="00A448C8">
        <w:rPr>
          <w:bCs/>
          <w:highlight w:val="yellow"/>
        </w:rPr>
        <w:t>Data collected is secured</w:t>
      </w:r>
      <w:r w:rsidR="00A448C8" w:rsidRPr="00A448C8">
        <w:rPr>
          <w:bCs/>
          <w:highlight w:val="yellow"/>
        </w:rPr>
        <w:t xml:space="preserve"> (integrity and confidentiality)</w:t>
      </w:r>
      <w:r w:rsidRPr="00A448C8">
        <w:rPr>
          <w:bCs/>
          <w:highlight w:val="yellow"/>
        </w:rPr>
        <w:t>.</w:t>
      </w:r>
    </w:p>
    <w:p w14:paraId="4972FC89" w14:textId="4B06AA64" w:rsidR="002A293B" w:rsidRPr="00A448C8" w:rsidRDefault="002A293B" w:rsidP="002A293B">
      <w:pPr>
        <w:pStyle w:val="ListParagraph"/>
        <w:numPr>
          <w:ilvl w:val="2"/>
          <w:numId w:val="34"/>
        </w:numPr>
        <w:ind w:firstLineChars="0"/>
        <w:rPr>
          <w:bCs/>
          <w:highlight w:val="yellow"/>
        </w:rPr>
      </w:pPr>
      <w:r w:rsidRPr="00A448C8">
        <w:rPr>
          <w:bCs/>
          <w:highlight w:val="yellow"/>
        </w:rPr>
        <w:lastRenderedPageBreak/>
        <w:t>Safeguards user data confidentiality</w:t>
      </w:r>
      <w:r w:rsidR="00A448C8" w:rsidRPr="00A448C8">
        <w:rPr>
          <w:bCs/>
          <w:highlight w:val="yellow"/>
        </w:rPr>
        <w:t>/privacy/anonymize</w:t>
      </w:r>
      <w:r w:rsidR="000741A2">
        <w:rPr>
          <w:bCs/>
          <w:highlight w:val="yellow"/>
        </w:rPr>
        <w:t>/user consent</w:t>
      </w:r>
      <w:r w:rsidR="00A448C8" w:rsidRPr="00A448C8">
        <w:rPr>
          <w:bCs/>
          <w:highlight w:val="yellow"/>
        </w:rPr>
        <w:t xml:space="preserve"> </w:t>
      </w:r>
      <w:r w:rsidRPr="00A448C8">
        <w:rPr>
          <w:bCs/>
          <w:highlight w:val="yellow"/>
        </w:rPr>
        <w:t>.</w:t>
      </w:r>
    </w:p>
    <w:p w14:paraId="5B4EDFE5" w14:textId="08F745AF" w:rsidR="002A293B" w:rsidRDefault="002A293B" w:rsidP="002A293B">
      <w:pPr>
        <w:pStyle w:val="ListParagraph"/>
        <w:numPr>
          <w:ilvl w:val="2"/>
          <w:numId w:val="34"/>
        </w:numPr>
        <w:ind w:firstLineChars="0"/>
        <w:rPr>
          <w:bCs/>
          <w:highlight w:val="yellow"/>
        </w:rPr>
      </w:pPr>
      <w:r w:rsidRPr="00A448C8">
        <w:rPr>
          <w:bCs/>
          <w:highlight w:val="yellow"/>
        </w:rPr>
        <w:t>Ensures data integrity.</w:t>
      </w:r>
      <w:r w:rsidR="00A448C8" w:rsidRPr="00A448C8">
        <w:rPr>
          <w:bCs/>
          <w:highlight w:val="yellow"/>
        </w:rPr>
        <w:t xml:space="preserve">  (FFS refine the first three bullets</w:t>
      </w:r>
      <w:r w:rsidR="00A448C8">
        <w:rPr>
          <w:bCs/>
          <w:highlight w:val="yellow"/>
        </w:rPr>
        <w:t xml:space="preserve"> to cover privacy and confidentiality</w:t>
      </w:r>
      <w:r w:rsidR="00A448C8" w:rsidRPr="00A448C8">
        <w:rPr>
          <w:bCs/>
          <w:highlight w:val="yellow"/>
        </w:rPr>
        <w:t>)</w:t>
      </w:r>
    </w:p>
    <w:p w14:paraId="7D850C6D" w14:textId="5F920625" w:rsidR="006C6F48" w:rsidRPr="00926FC3" w:rsidRDefault="006C6F48" w:rsidP="00926FC3">
      <w:pPr>
        <w:pStyle w:val="ListParagraph"/>
        <w:numPr>
          <w:ilvl w:val="2"/>
          <w:numId w:val="34"/>
        </w:numPr>
        <w:ind w:firstLineChars="0"/>
        <w:rPr>
          <w:rStyle w:val="normaltextrun"/>
          <w:bCs/>
        </w:rPr>
      </w:pPr>
      <w:r w:rsidRPr="00926FC3">
        <w:rPr>
          <w:rStyle w:val="normaltextrun"/>
          <w:bCs/>
        </w:rPr>
        <w:t>The MNO</w:t>
      </w:r>
      <w:r w:rsidRPr="00926FC3">
        <w:rPr>
          <w:rStyle w:val="normaltextrun"/>
          <w:bCs/>
        </w:rPr>
        <w:t xml:space="preserve"> has full control of the </w:t>
      </w:r>
      <w:r w:rsidR="00BF6849" w:rsidRPr="00926FC3">
        <w:rPr>
          <w:rStyle w:val="normaltextrun"/>
          <w:bCs/>
        </w:rPr>
        <w:t xml:space="preserve">standardized </w:t>
      </w:r>
      <w:r w:rsidRPr="00926FC3">
        <w:rPr>
          <w:rStyle w:val="normaltextrun"/>
          <w:bCs/>
        </w:rPr>
        <w:t xml:space="preserve">data collection </w:t>
      </w:r>
      <w:r w:rsidR="00BF6849" w:rsidRPr="00926FC3">
        <w:rPr>
          <w:rStyle w:val="normaltextrun"/>
          <w:bCs/>
        </w:rPr>
        <w:t xml:space="preserve">transfer </w:t>
      </w:r>
      <w:r w:rsidRPr="00926FC3">
        <w:rPr>
          <w:rStyle w:val="normaltextrun"/>
          <w:bCs/>
        </w:rPr>
        <w:t>process and</w:t>
      </w:r>
      <w:r w:rsidRPr="00926FC3">
        <w:rPr>
          <w:rStyle w:val="normaltextrun"/>
          <w:bCs/>
        </w:rPr>
        <w:t xml:space="preserve"> can manage data transfer to the server for UE-side data collection, without the need of SLA</w:t>
      </w:r>
      <w:r w:rsidRPr="00926FC3">
        <w:rPr>
          <w:rStyle w:val="normaltextrun"/>
          <w:bCs/>
        </w:rPr>
        <w:t xml:space="preserve"> for this purpose</w:t>
      </w:r>
      <w:r w:rsidRPr="00926FC3">
        <w:rPr>
          <w:rStyle w:val="normaltextrun"/>
          <w:bCs/>
        </w:rPr>
        <w:t>. This includes initiating, terminating, and fully managing data transfer</w:t>
      </w:r>
    </w:p>
    <w:p w14:paraId="14606AB2" w14:textId="0ED4144B" w:rsidR="002A293B" w:rsidRPr="002A293B" w:rsidRDefault="002A293B" w:rsidP="002A293B">
      <w:pPr>
        <w:pStyle w:val="ListParagraph"/>
        <w:numPr>
          <w:ilvl w:val="2"/>
          <w:numId w:val="34"/>
        </w:numPr>
        <w:ind w:firstLineChars="0"/>
        <w:rPr>
          <w:bCs/>
        </w:rPr>
      </w:pPr>
      <w:r w:rsidRPr="002A293B">
        <w:rPr>
          <w:bCs/>
        </w:rPr>
        <w:t xml:space="preserve">MNO </w:t>
      </w:r>
      <w:r w:rsidR="00092470">
        <w:rPr>
          <w:bCs/>
        </w:rPr>
        <w:t>full</w:t>
      </w:r>
      <w:r w:rsidRPr="002A293B">
        <w:rPr>
          <w:bCs/>
        </w:rPr>
        <w:t xml:space="preserve"> visibility</w:t>
      </w:r>
      <w:r w:rsidR="005925E4">
        <w:rPr>
          <w:bCs/>
        </w:rPr>
        <w:t xml:space="preserve"> for standardized data.  </w:t>
      </w:r>
    </w:p>
    <w:p w14:paraId="51E9DA46" w14:textId="77777777" w:rsidR="002A293B" w:rsidRDefault="002A293B" w:rsidP="002A293B">
      <w:pPr>
        <w:pStyle w:val="ListParagraph"/>
        <w:numPr>
          <w:ilvl w:val="2"/>
          <w:numId w:val="34"/>
        </w:numPr>
        <w:ind w:firstLineChars="0"/>
        <w:rPr>
          <w:bCs/>
        </w:rPr>
      </w:pPr>
      <w:r w:rsidRPr="002A293B">
        <w:rPr>
          <w:bCs/>
        </w:rPr>
        <w:t>Futureproof and extendable design</w:t>
      </w:r>
    </w:p>
    <w:p w14:paraId="24242A7C" w14:textId="55F7EC0E" w:rsidR="005925E4" w:rsidRDefault="005925E4" w:rsidP="005925E4">
      <w:pPr>
        <w:rPr>
          <w:bCs/>
        </w:rPr>
      </w:pPr>
      <w:r>
        <w:rPr>
          <w:bCs/>
        </w:rPr>
        <w:t xml:space="preserve">FFS/study if and how to handle non-standardized data </w:t>
      </w:r>
      <w:r w:rsidR="00B26C41">
        <w:rPr>
          <w:bCs/>
        </w:rPr>
        <w:t>(i.e. partial visibility)</w:t>
      </w:r>
      <w:r w:rsidR="006C6F48">
        <w:rPr>
          <w:bCs/>
        </w:rPr>
        <w:t xml:space="preserve">.  </w:t>
      </w:r>
    </w:p>
    <w:p w14:paraId="6E63A697" w14:textId="7CBFB309" w:rsidR="006C6F48" w:rsidRPr="005925E4" w:rsidRDefault="006C6F48" w:rsidP="005925E4">
      <w:pPr>
        <w:rPr>
          <w:bCs/>
        </w:rPr>
      </w:pPr>
      <w:r>
        <w:rPr>
          <w:bCs/>
        </w:rPr>
        <w:t>Solutions should follow the principle of aiming to m</w:t>
      </w:r>
      <w:r w:rsidRPr="006C6F48">
        <w:rPr>
          <w:bCs/>
        </w:rPr>
        <w:t>inimize air interface overhead and impact to NW operation</w:t>
      </w:r>
    </w:p>
    <w:p w14:paraId="29D04A4A" w14:textId="79548D56" w:rsidR="00A448C8" w:rsidRDefault="00A448C8" w:rsidP="00A448C8">
      <w:pPr>
        <w:rPr>
          <w:rFonts w:ascii="Arial" w:hAnsi="Arial" w:cs="Arial"/>
          <w:sz w:val="18"/>
          <w:szCs w:val="18"/>
          <w:lang w:eastAsia="ja-JP"/>
        </w:rPr>
      </w:pPr>
      <w:r>
        <w:rPr>
          <w:rFonts w:ascii="Arial" w:hAnsi="Arial" w:cs="Arial"/>
          <w:sz w:val="18"/>
          <w:szCs w:val="18"/>
          <w:lang w:eastAsia="ja-JP"/>
        </w:rPr>
        <w:t xml:space="preserve">Definition: </w:t>
      </w:r>
    </w:p>
    <w:p w14:paraId="099ED630" w14:textId="77777777" w:rsidR="005925E4" w:rsidRPr="005925E4" w:rsidRDefault="00A448C8" w:rsidP="005925E4">
      <w:pPr>
        <w:pStyle w:val="ListParagraph"/>
        <w:numPr>
          <w:ilvl w:val="0"/>
          <w:numId w:val="34"/>
        </w:numPr>
        <w:ind w:firstLineChars="0"/>
        <w:rPr>
          <w:bCs/>
        </w:rPr>
      </w:pPr>
      <w:r w:rsidRPr="00A448C8">
        <w:rPr>
          <w:rFonts w:ascii="Arial" w:hAnsi="Arial" w:cs="Arial"/>
          <w:sz w:val="18"/>
          <w:szCs w:val="18"/>
          <w:lang w:eastAsia="ja-JP"/>
        </w:rPr>
        <w:t>Visibility of data content signifies that the MNO can, at least, be aware of, access, and comprehend the data without the need of SLA.</w:t>
      </w:r>
      <w:r>
        <w:rPr>
          <w:rFonts w:ascii="Arial" w:hAnsi="Arial" w:cs="Arial"/>
          <w:sz w:val="18"/>
          <w:szCs w:val="18"/>
          <w:lang w:eastAsia="ja-JP"/>
        </w:rPr>
        <w:t xml:space="preserve">  </w:t>
      </w:r>
    </w:p>
    <w:p w14:paraId="7333373F" w14:textId="1D560F8A" w:rsidR="005925E4" w:rsidRPr="005925E4" w:rsidRDefault="005925E4" w:rsidP="005925E4">
      <w:pPr>
        <w:pStyle w:val="ListParagraph"/>
        <w:numPr>
          <w:ilvl w:val="0"/>
          <w:numId w:val="34"/>
        </w:numPr>
        <w:ind w:firstLineChars="0"/>
        <w:rPr>
          <w:bCs/>
        </w:rPr>
      </w:pPr>
      <w:r w:rsidRPr="005925E4">
        <w:rPr>
          <w:rFonts w:ascii="Arial" w:hAnsi="Arial" w:cs="Arial"/>
          <w:sz w:val="18"/>
          <w:szCs w:val="18"/>
        </w:rPr>
        <w:t xml:space="preserve"> T</w:t>
      </w:r>
      <w:r w:rsidRPr="005925E4">
        <w:rPr>
          <w:rFonts w:ascii="Arial" w:hAnsi="Arial" w:cs="Arial"/>
          <w:sz w:val="18"/>
          <w:szCs w:val="18"/>
          <w:lang w:eastAsia="ja-JP"/>
        </w:rPr>
        <w:t>he following options are identified to realize the different levels of data content visibility to the MNO:</w:t>
      </w:r>
    </w:p>
    <w:p w14:paraId="0EDB6ECA"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1335FB73" w14:textId="77777777" w:rsidR="005925E4" w:rsidRPr="00DB772D" w:rsidRDefault="005925E4" w:rsidP="005925E4">
      <w:pPr>
        <w:pStyle w:val="ListParagraph"/>
        <w:numPr>
          <w:ilvl w:val="4"/>
          <w:numId w:val="39"/>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0A6581DA" w14:textId="746ED774" w:rsidR="005925E4" w:rsidRPr="005925E4" w:rsidRDefault="005925E4" w:rsidP="005925E4">
      <w:pPr>
        <w:pStyle w:val="ListParagraph"/>
        <w:numPr>
          <w:ilvl w:val="4"/>
          <w:numId w:val="39"/>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198ECB08" w14:textId="2E99B881" w:rsidR="0030163F" w:rsidRDefault="002A293B" w:rsidP="00CB008A">
      <w:pPr>
        <w:rPr>
          <w:rStyle w:val="Strong"/>
        </w:rPr>
      </w:pPr>
      <w:r>
        <w:rPr>
          <w:rStyle w:val="Strong"/>
        </w:rPr>
        <w:t xml:space="preserve">Discussion </w:t>
      </w:r>
    </w:p>
    <w:p w14:paraId="4369D5E4" w14:textId="77777777" w:rsidR="00A448C8" w:rsidRPr="00092470" w:rsidRDefault="00A448C8" w:rsidP="00A448C8">
      <w:pPr>
        <w:pStyle w:val="ListParagraph"/>
        <w:numPr>
          <w:ilvl w:val="0"/>
          <w:numId w:val="34"/>
        </w:numPr>
        <w:ind w:firstLineChars="0"/>
        <w:rPr>
          <w:rStyle w:val="Strong"/>
          <w:sz w:val="20"/>
          <w:szCs w:val="20"/>
        </w:rPr>
      </w:pPr>
      <w:r w:rsidRPr="00092470">
        <w:rPr>
          <w:rStyle w:val="Strong"/>
          <w:b w:val="0"/>
          <w:bCs w:val="0"/>
          <w:sz w:val="20"/>
          <w:szCs w:val="20"/>
        </w:rPr>
        <w:t>Apple asks how we can achieve 2 and 3 without the SLA agreement</w:t>
      </w:r>
    </w:p>
    <w:p w14:paraId="51B6D479" w14:textId="336BA3C4" w:rsidR="005925E4" w:rsidRPr="005925E4" w:rsidRDefault="00A448C8" w:rsidP="00A448C8">
      <w:pPr>
        <w:pStyle w:val="ListParagraph"/>
        <w:numPr>
          <w:ilvl w:val="0"/>
          <w:numId w:val="34"/>
        </w:numPr>
        <w:ind w:firstLineChars="0"/>
        <w:rPr>
          <w:rStyle w:val="Strong"/>
          <w:sz w:val="20"/>
          <w:szCs w:val="20"/>
        </w:rPr>
      </w:pPr>
      <w:r w:rsidRPr="00092470">
        <w:rPr>
          <w:rStyle w:val="Strong"/>
          <w:b w:val="0"/>
          <w:bCs w:val="0"/>
          <w:sz w:val="20"/>
          <w:szCs w:val="20"/>
        </w:rPr>
        <w:t xml:space="preserve">Qualcomm thinks that full visibility should be only for the standardized data part.  </w:t>
      </w:r>
      <w:r w:rsidR="00092470" w:rsidRPr="00092470">
        <w:rPr>
          <w:rStyle w:val="Strong"/>
          <w:b w:val="0"/>
          <w:bCs w:val="0"/>
          <w:sz w:val="20"/>
          <w:szCs w:val="20"/>
        </w:rPr>
        <w:t xml:space="preserve">Samsung would like to also allow the partial visibility as we can’t guarantee that all data will be standardized.  ZTE thinks that partial visibility will not guarantee security and confidentiality.    BT thinks that are two aspects, the data is AI/ML but doesn’t have to always have full visibility on what the content means.  </w:t>
      </w:r>
      <w:r w:rsidR="00092470">
        <w:rPr>
          <w:rStyle w:val="Strong"/>
          <w:b w:val="0"/>
          <w:bCs w:val="0"/>
          <w:sz w:val="20"/>
          <w:szCs w:val="20"/>
        </w:rPr>
        <w:t>CATT thinks that partial visibility can be for non defined date.  Qualcomm thinks that for future extendibility we need to consider</w:t>
      </w:r>
      <w:r w:rsidR="005925E4">
        <w:rPr>
          <w:rStyle w:val="Strong"/>
          <w:b w:val="0"/>
          <w:bCs w:val="0"/>
          <w:sz w:val="20"/>
          <w:szCs w:val="20"/>
        </w:rPr>
        <w:t xml:space="preserve"> </w:t>
      </w:r>
      <w:r w:rsidR="00092470">
        <w:rPr>
          <w:rStyle w:val="Strong"/>
          <w:b w:val="0"/>
          <w:bCs w:val="0"/>
          <w:sz w:val="20"/>
          <w:szCs w:val="20"/>
        </w:rPr>
        <w:t xml:space="preserve">partial visibility.  </w:t>
      </w:r>
      <w:r w:rsidR="005925E4">
        <w:rPr>
          <w:rStyle w:val="Strong"/>
          <w:b w:val="0"/>
          <w:bCs w:val="0"/>
          <w:sz w:val="20"/>
          <w:szCs w:val="20"/>
        </w:rPr>
        <w:t>Verizon thinks that the requirement from operators is clear – full visibility.  Interdigital explains that we need to separate whether it is possible to decode everything transferred.  Futurewei thinks it is scary to say “full” visibility right awa</w:t>
      </w:r>
      <w:r w:rsidR="00B26C41">
        <w:rPr>
          <w:rStyle w:val="Strong"/>
          <w:b w:val="0"/>
          <w:bCs w:val="0"/>
          <w:sz w:val="20"/>
          <w:szCs w:val="20"/>
        </w:rPr>
        <w:t xml:space="preserve">y and if we go this way of standardizing everything we will end up going with 1a.  </w:t>
      </w:r>
    </w:p>
    <w:p w14:paraId="1CC02D50" w14:textId="1658EFB7" w:rsidR="00A448C8" w:rsidRPr="00092470" w:rsidRDefault="005925E4" w:rsidP="00A448C8">
      <w:pPr>
        <w:pStyle w:val="ListParagraph"/>
        <w:numPr>
          <w:ilvl w:val="0"/>
          <w:numId w:val="34"/>
        </w:numPr>
        <w:ind w:firstLineChars="0"/>
        <w:rPr>
          <w:rStyle w:val="Strong"/>
          <w:sz w:val="20"/>
          <w:szCs w:val="20"/>
        </w:rPr>
      </w:pPr>
      <w:r>
        <w:rPr>
          <w:rStyle w:val="Strong"/>
          <w:b w:val="0"/>
          <w:bCs w:val="0"/>
          <w:sz w:val="20"/>
          <w:szCs w:val="20"/>
        </w:rPr>
        <w:t>Oppo thinks that if the vendors want to send non-standarized data they can use option 1a)</w:t>
      </w:r>
    </w:p>
    <w:p w14:paraId="57E55C5D" w14:textId="2BD49B5C" w:rsidR="00A448C8" w:rsidRDefault="005925E4" w:rsidP="002A293B">
      <w:pPr>
        <w:pStyle w:val="ListParagraph"/>
        <w:numPr>
          <w:ilvl w:val="0"/>
          <w:numId w:val="34"/>
        </w:numPr>
        <w:ind w:firstLineChars="0"/>
        <w:rPr>
          <w:rStyle w:val="Strong"/>
          <w:b w:val="0"/>
          <w:bCs w:val="0"/>
          <w:sz w:val="20"/>
          <w:szCs w:val="20"/>
        </w:rPr>
      </w:pPr>
      <w:r w:rsidRPr="005925E4">
        <w:rPr>
          <w:rStyle w:val="Strong"/>
          <w:b w:val="0"/>
          <w:bCs w:val="0"/>
          <w:sz w:val="20"/>
          <w:szCs w:val="20"/>
        </w:rPr>
        <w:t xml:space="preserve">Qualcomm explains that the operators would identify the data they want to be standardized would have full visibility, but we need to understand what the UE does with other data.  </w:t>
      </w:r>
    </w:p>
    <w:p w14:paraId="5CD16EE1" w14:textId="1B7F91FC" w:rsidR="00B26C41" w:rsidRDefault="00B26C41" w:rsidP="002A293B">
      <w:pPr>
        <w:pStyle w:val="ListParagraph"/>
        <w:numPr>
          <w:ilvl w:val="0"/>
          <w:numId w:val="34"/>
        </w:numPr>
        <w:ind w:firstLineChars="0"/>
        <w:rPr>
          <w:rStyle w:val="Strong"/>
          <w:b w:val="0"/>
          <w:bCs w:val="0"/>
          <w:sz w:val="20"/>
          <w:szCs w:val="20"/>
        </w:rPr>
      </w:pPr>
      <w:r>
        <w:rPr>
          <w:rStyle w:val="Strong"/>
          <w:b w:val="0"/>
          <w:bCs w:val="0"/>
          <w:sz w:val="20"/>
          <w:szCs w:val="20"/>
        </w:rPr>
        <w:t>Ericsson asks if this means that we would have to go to RAN1 and standardize the formats.  Qualcomm thinks that we should have containers and how we define what is in the container we need to offer flexibility.</w:t>
      </w:r>
      <w:r w:rsidR="000741A2">
        <w:rPr>
          <w:rStyle w:val="Strong"/>
          <w:b w:val="0"/>
          <w:bCs w:val="0"/>
          <w:sz w:val="20"/>
          <w:szCs w:val="20"/>
        </w:rPr>
        <w:t xml:space="preserve">  Ericsson thinks that this is longer term thing and we will also have to consider 6G eventually. </w:t>
      </w:r>
    </w:p>
    <w:p w14:paraId="03040D21" w14:textId="68F46B8F" w:rsidR="00BF6849" w:rsidRPr="005925E4" w:rsidRDefault="00BF6849" w:rsidP="002A293B">
      <w:pPr>
        <w:pStyle w:val="ListParagraph"/>
        <w:numPr>
          <w:ilvl w:val="0"/>
          <w:numId w:val="34"/>
        </w:numPr>
        <w:ind w:firstLineChars="0"/>
        <w:rPr>
          <w:rStyle w:val="Strong"/>
          <w:b w:val="0"/>
          <w:bCs w:val="0"/>
          <w:sz w:val="20"/>
          <w:szCs w:val="20"/>
        </w:rPr>
      </w:pPr>
      <w:r>
        <w:rPr>
          <w:rStyle w:val="Strong"/>
          <w:b w:val="0"/>
          <w:bCs w:val="0"/>
          <w:sz w:val="20"/>
          <w:szCs w:val="20"/>
        </w:rPr>
        <w:t xml:space="preserve">NTT Docomo thinks that we need to give flexibility and not follow similar solution as MTD which wasn’t that successful.  </w:t>
      </w:r>
    </w:p>
    <w:p w14:paraId="7235BDD8" w14:textId="3A04C9A6" w:rsidR="00CB008A" w:rsidRDefault="00CB008A" w:rsidP="00CB008A">
      <w:pPr>
        <w:pStyle w:val="Heading2"/>
      </w:pPr>
      <w:r>
        <w:t>Solutions</w:t>
      </w:r>
    </w:p>
    <w:p w14:paraId="766038A5" w14:textId="00B17E79" w:rsidR="00CB008A" w:rsidRPr="00CB008A" w:rsidRDefault="00CB008A" w:rsidP="00CB008A">
      <w:pPr>
        <w:rPr>
          <w:lang w:val="en-GB" w:eastAsia="zh-CN"/>
        </w:rPr>
      </w:pPr>
      <w:r>
        <w:rPr>
          <w:lang w:val="en-GB" w:eastAsia="zh-CN"/>
        </w:rPr>
        <w:t>Discussions on how to proceed with solutions and LS to SA2</w:t>
      </w:r>
    </w:p>
    <w:sectPr w:rsidR="00CB008A" w:rsidRPr="00CB008A" w:rsidSect="00AD2E43">
      <w:footerReference w:type="default" r:id="rId8"/>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90F4F" w14:textId="77777777" w:rsidR="006436A3" w:rsidRDefault="006436A3">
      <w:r>
        <w:separator/>
      </w:r>
    </w:p>
  </w:endnote>
  <w:endnote w:type="continuationSeparator" w:id="0">
    <w:p w14:paraId="57D6973F" w14:textId="77777777" w:rsidR="006436A3" w:rsidRDefault="0064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8164" w14:textId="77777777" w:rsidR="006436A3" w:rsidRDefault="006436A3">
      <w:r>
        <w:separator/>
      </w:r>
    </w:p>
  </w:footnote>
  <w:footnote w:type="continuationSeparator" w:id="0">
    <w:p w14:paraId="572F75BF" w14:textId="77777777" w:rsidR="006436A3" w:rsidRDefault="00643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2"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0"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4"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8"/>
  </w:num>
  <w:num w:numId="2" w16cid:durableId="1205557244">
    <w:abstractNumId w:val="20"/>
  </w:num>
  <w:num w:numId="3" w16cid:durableId="713889648">
    <w:abstractNumId w:val="33"/>
  </w:num>
  <w:num w:numId="4" w16cid:durableId="759183710">
    <w:abstractNumId w:val="31"/>
  </w:num>
  <w:num w:numId="5" w16cid:durableId="987588278">
    <w:abstractNumId w:val="14"/>
  </w:num>
  <w:num w:numId="6" w16cid:durableId="1809742941">
    <w:abstractNumId w:val="25"/>
  </w:num>
  <w:num w:numId="7" w16cid:durableId="1614095355">
    <w:abstractNumId w:val="38"/>
  </w:num>
  <w:num w:numId="8" w16cid:durableId="1206525010">
    <w:abstractNumId w:val="13"/>
  </w:num>
  <w:num w:numId="9" w16cid:durableId="1801995893">
    <w:abstractNumId w:val="12"/>
  </w:num>
  <w:num w:numId="10" w16cid:durableId="953512608">
    <w:abstractNumId w:val="27"/>
  </w:num>
  <w:num w:numId="11" w16cid:durableId="423039945">
    <w:abstractNumId w:val="17"/>
  </w:num>
  <w:num w:numId="12" w16cid:durableId="1005667152">
    <w:abstractNumId w:val="8"/>
  </w:num>
  <w:num w:numId="13" w16cid:durableId="494497697">
    <w:abstractNumId w:val="35"/>
  </w:num>
  <w:num w:numId="14" w16cid:durableId="283659064">
    <w:abstractNumId w:val="3"/>
  </w:num>
  <w:num w:numId="15" w16cid:durableId="1715352628">
    <w:abstractNumId w:val="24"/>
  </w:num>
  <w:num w:numId="16" w16cid:durableId="1086460030">
    <w:abstractNumId w:val="21"/>
  </w:num>
  <w:num w:numId="17" w16cid:durableId="1677032089">
    <w:abstractNumId w:val="4"/>
  </w:num>
  <w:num w:numId="18" w16cid:durableId="1178426464">
    <w:abstractNumId w:val="23"/>
  </w:num>
  <w:num w:numId="19" w16cid:durableId="1298955658">
    <w:abstractNumId w:val="5"/>
  </w:num>
  <w:num w:numId="20" w16cid:durableId="1109548903">
    <w:abstractNumId w:val="9"/>
  </w:num>
  <w:num w:numId="21" w16cid:durableId="1310986639">
    <w:abstractNumId w:val="22"/>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0"/>
  </w:num>
  <w:num w:numId="27" w16cid:durableId="52042818">
    <w:abstractNumId w:val="0"/>
  </w:num>
  <w:num w:numId="28" w16cid:durableId="225071285">
    <w:abstractNumId w:val="28"/>
  </w:num>
  <w:num w:numId="29" w16cid:durableId="306085317">
    <w:abstractNumId w:val="16"/>
  </w:num>
  <w:num w:numId="30" w16cid:durableId="700319544">
    <w:abstractNumId w:val="37"/>
  </w:num>
  <w:num w:numId="31" w16cid:durableId="1850291101">
    <w:abstractNumId w:val="15"/>
  </w:num>
  <w:num w:numId="32" w16cid:durableId="1244216196">
    <w:abstractNumId w:val="11"/>
  </w:num>
  <w:num w:numId="33" w16cid:durableId="404769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6"/>
  </w:num>
  <w:num w:numId="35" w16cid:durableId="742219688">
    <w:abstractNumId w:val="34"/>
  </w:num>
  <w:num w:numId="36" w16cid:durableId="1785419880">
    <w:abstractNumId w:val="19"/>
  </w:num>
  <w:num w:numId="37" w16cid:durableId="186604506">
    <w:abstractNumId w:val="6"/>
  </w:num>
  <w:num w:numId="38" w16cid:durableId="271937756">
    <w:abstractNumId w:val="36"/>
  </w:num>
  <w:num w:numId="39" w16cid:durableId="29002166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removePersonalInformation/>
  <w:removeDateAndTime/>
  <w:doNotDisplayPageBoundaries/>
  <w:printFractionalCharacterWidth/>
  <w:embedSystemFonts/>
  <w:bordersDoNotSurroundHeader/>
  <w:bordersDoNotSurroundFooter/>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30A8"/>
    <w:rsid w:val="000E3995"/>
    <w:rsid w:val="000E3A34"/>
    <w:rsid w:val="000E3DDF"/>
    <w:rsid w:val="000E3E80"/>
    <w:rsid w:val="000E41EC"/>
    <w:rsid w:val="000E4890"/>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669"/>
    <w:rsid w:val="001145CD"/>
    <w:rsid w:val="00114764"/>
    <w:rsid w:val="001147EB"/>
    <w:rsid w:val="001156B4"/>
    <w:rsid w:val="00115AEF"/>
    <w:rsid w:val="00116080"/>
    <w:rsid w:val="00116445"/>
    <w:rsid w:val="00116DF7"/>
    <w:rsid w:val="00117964"/>
    <w:rsid w:val="00120BBB"/>
    <w:rsid w:val="0012120A"/>
    <w:rsid w:val="00122366"/>
    <w:rsid w:val="0012292C"/>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6CA"/>
    <w:rsid w:val="0016674E"/>
    <w:rsid w:val="001668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8F5"/>
    <w:rsid w:val="001E6D61"/>
    <w:rsid w:val="001E71A9"/>
    <w:rsid w:val="001E71B5"/>
    <w:rsid w:val="001E74A4"/>
    <w:rsid w:val="001F00E3"/>
    <w:rsid w:val="001F09BA"/>
    <w:rsid w:val="001F0A1B"/>
    <w:rsid w:val="001F0DFB"/>
    <w:rsid w:val="001F1068"/>
    <w:rsid w:val="001F11B5"/>
    <w:rsid w:val="001F15EE"/>
    <w:rsid w:val="001F1E6B"/>
    <w:rsid w:val="001F2087"/>
    <w:rsid w:val="001F23FF"/>
    <w:rsid w:val="001F266C"/>
    <w:rsid w:val="001F2794"/>
    <w:rsid w:val="001F27B2"/>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BD6"/>
    <w:rsid w:val="00277DDF"/>
    <w:rsid w:val="00280251"/>
    <w:rsid w:val="00280606"/>
    <w:rsid w:val="00280B47"/>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F82"/>
    <w:rsid w:val="002B0594"/>
    <w:rsid w:val="002B1F8F"/>
    <w:rsid w:val="002B2455"/>
    <w:rsid w:val="002B2E25"/>
    <w:rsid w:val="002B4424"/>
    <w:rsid w:val="002B4437"/>
    <w:rsid w:val="002B45AA"/>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3E7"/>
    <w:rsid w:val="002E719D"/>
    <w:rsid w:val="002E7426"/>
    <w:rsid w:val="002E766C"/>
    <w:rsid w:val="002E7B86"/>
    <w:rsid w:val="002E7D9C"/>
    <w:rsid w:val="002E7FAD"/>
    <w:rsid w:val="002F01DA"/>
    <w:rsid w:val="002F083B"/>
    <w:rsid w:val="002F0DA9"/>
    <w:rsid w:val="002F11FE"/>
    <w:rsid w:val="002F1220"/>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B07"/>
    <w:rsid w:val="0032407F"/>
    <w:rsid w:val="0032413B"/>
    <w:rsid w:val="0032427E"/>
    <w:rsid w:val="00324C8F"/>
    <w:rsid w:val="00324EF3"/>
    <w:rsid w:val="0032604A"/>
    <w:rsid w:val="00326111"/>
    <w:rsid w:val="003262D8"/>
    <w:rsid w:val="00326780"/>
    <w:rsid w:val="0032750C"/>
    <w:rsid w:val="00331251"/>
    <w:rsid w:val="0033133D"/>
    <w:rsid w:val="00331B0D"/>
    <w:rsid w:val="00331F60"/>
    <w:rsid w:val="00332A3B"/>
    <w:rsid w:val="00332D55"/>
    <w:rsid w:val="00332E63"/>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B45"/>
    <w:rsid w:val="00352441"/>
    <w:rsid w:val="00352502"/>
    <w:rsid w:val="003527B2"/>
    <w:rsid w:val="003529B8"/>
    <w:rsid w:val="00352EED"/>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E53"/>
    <w:rsid w:val="003E4559"/>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F25"/>
    <w:rsid w:val="004138D2"/>
    <w:rsid w:val="00413CB5"/>
    <w:rsid w:val="00414585"/>
    <w:rsid w:val="00414B81"/>
    <w:rsid w:val="00414DE3"/>
    <w:rsid w:val="00415298"/>
    <w:rsid w:val="004153CA"/>
    <w:rsid w:val="004158D4"/>
    <w:rsid w:val="00415D8B"/>
    <w:rsid w:val="004163E0"/>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F5B"/>
    <w:rsid w:val="0043014D"/>
    <w:rsid w:val="00430324"/>
    <w:rsid w:val="0043156E"/>
    <w:rsid w:val="0043185D"/>
    <w:rsid w:val="004319F6"/>
    <w:rsid w:val="00431BEF"/>
    <w:rsid w:val="00432212"/>
    <w:rsid w:val="00432A6B"/>
    <w:rsid w:val="00433578"/>
    <w:rsid w:val="00433E48"/>
    <w:rsid w:val="00434657"/>
    <w:rsid w:val="00434855"/>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30CB"/>
    <w:rsid w:val="004931B9"/>
    <w:rsid w:val="00493DA1"/>
    <w:rsid w:val="00493E0A"/>
    <w:rsid w:val="00493F78"/>
    <w:rsid w:val="00494A20"/>
    <w:rsid w:val="00494FA2"/>
    <w:rsid w:val="00495749"/>
    <w:rsid w:val="00495A00"/>
    <w:rsid w:val="00495E61"/>
    <w:rsid w:val="00496A4C"/>
    <w:rsid w:val="00496FDF"/>
    <w:rsid w:val="004974F8"/>
    <w:rsid w:val="00497817"/>
    <w:rsid w:val="00497860"/>
    <w:rsid w:val="00497877"/>
    <w:rsid w:val="00497915"/>
    <w:rsid w:val="00497F51"/>
    <w:rsid w:val="004A0A2F"/>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B01C9"/>
    <w:rsid w:val="004B1249"/>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2176"/>
    <w:rsid w:val="004F21EE"/>
    <w:rsid w:val="004F280F"/>
    <w:rsid w:val="004F3446"/>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284"/>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EBF"/>
    <w:rsid w:val="00590ED3"/>
    <w:rsid w:val="00591628"/>
    <w:rsid w:val="005925E4"/>
    <w:rsid w:val="00592794"/>
    <w:rsid w:val="0059288B"/>
    <w:rsid w:val="005929A6"/>
    <w:rsid w:val="00592D8B"/>
    <w:rsid w:val="005930B4"/>
    <w:rsid w:val="00595F91"/>
    <w:rsid w:val="00597401"/>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B92"/>
    <w:rsid w:val="00641BD1"/>
    <w:rsid w:val="00642066"/>
    <w:rsid w:val="006424E5"/>
    <w:rsid w:val="006427D6"/>
    <w:rsid w:val="00642E00"/>
    <w:rsid w:val="006434C4"/>
    <w:rsid w:val="006436A3"/>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3291"/>
    <w:rsid w:val="006736A2"/>
    <w:rsid w:val="006738DC"/>
    <w:rsid w:val="006740EF"/>
    <w:rsid w:val="0067430E"/>
    <w:rsid w:val="006755C2"/>
    <w:rsid w:val="00675884"/>
    <w:rsid w:val="00675C27"/>
    <w:rsid w:val="00675F92"/>
    <w:rsid w:val="0067691F"/>
    <w:rsid w:val="006772B6"/>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B3B"/>
    <w:rsid w:val="00713DBF"/>
    <w:rsid w:val="00713F0D"/>
    <w:rsid w:val="007140E1"/>
    <w:rsid w:val="0071460B"/>
    <w:rsid w:val="007149CA"/>
    <w:rsid w:val="00715F29"/>
    <w:rsid w:val="00716590"/>
    <w:rsid w:val="00716909"/>
    <w:rsid w:val="00716A74"/>
    <w:rsid w:val="00716B79"/>
    <w:rsid w:val="00717590"/>
    <w:rsid w:val="0072033D"/>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32D8"/>
    <w:rsid w:val="007640D8"/>
    <w:rsid w:val="00764778"/>
    <w:rsid w:val="00765120"/>
    <w:rsid w:val="00765421"/>
    <w:rsid w:val="0076546D"/>
    <w:rsid w:val="00765592"/>
    <w:rsid w:val="00765DBB"/>
    <w:rsid w:val="00766479"/>
    <w:rsid w:val="007668CD"/>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80611"/>
    <w:rsid w:val="007806F0"/>
    <w:rsid w:val="007810AF"/>
    <w:rsid w:val="007818B4"/>
    <w:rsid w:val="007832CA"/>
    <w:rsid w:val="0078363D"/>
    <w:rsid w:val="007848B7"/>
    <w:rsid w:val="007848D7"/>
    <w:rsid w:val="007857D8"/>
    <w:rsid w:val="00786000"/>
    <w:rsid w:val="00786007"/>
    <w:rsid w:val="0078603F"/>
    <w:rsid w:val="007860C0"/>
    <w:rsid w:val="00786356"/>
    <w:rsid w:val="007864C8"/>
    <w:rsid w:val="00786FB4"/>
    <w:rsid w:val="00787011"/>
    <w:rsid w:val="00787980"/>
    <w:rsid w:val="00787C15"/>
    <w:rsid w:val="00787E3B"/>
    <w:rsid w:val="0079020D"/>
    <w:rsid w:val="00790E56"/>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252F"/>
    <w:rsid w:val="00862B09"/>
    <w:rsid w:val="00862FFD"/>
    <w:rsid w:val="00863247"/>
    <w:rsid w:val="00863423"/>
    <w:rsid w:val="00863426"/>
    <w:rsid w:val="00864689"/>
    <w:rsid w:val="00865540"/>
    <w:rsid w:val="00865E57"/>
    <w:rsid w:val="00865F3C"/>
    <w:rsid w:val="008666D1"/>
    <w:rsid w:val="0086720A"/>
    <w:rsid w:val="008676FE"/>
    <w:rsid w:val="00867885"/>
    <w:rsid w:val="00867933"/>
    <w:rsid w:val="008707DA"/>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37F6"/>
    <w:rsid w:val="008E382F"/>
    <w:rsid w:val="008E3A3C"/>
    <w:rsid w:val="008E3BCB"/>
    <w:rsid w:val="008E40CC"/>
    <w:rsid w:val="008E4683"/>
    <w:rsid w:val="008E4767"/>
    <w:rsid w:val="008E5484"/>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4"/>
    <w:rsid w:val="00934745"/>
    <w:rsid w:val="00934920"/>
    <w:rsid w:val="009349A5"/>
    <w:rsid w:val="00934BE8"/>
    <w:rsid w:val="00935062"/>
    <w:rsid w:val="009350AF"/>
    <w:rsid w:val="00935661"/>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878"/>
    <w:rsid w:val="00953A7B"/>
    <w:rsid w:val="00954B3D"/>
    <w:rsid w:val="00954BAB"/>
    <w:rsid w:val="00955F4A"/>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F2B"/>
    <w:rsid w:val="00967160"/>
    <w:rsid w:val="009671BF"/>
    <w:rsid w:val="009678E8"/>
    <w:rsid w:val="00967963"/>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13EE"/>
    <w:rsid w:val="009A1436"/>
    <w:rsid w:val="009A22A8"/>
    <w:rsid w:val="009A23AE"/>
    <w:rsid w:val="009A2BCA"/>
    <w:rsid w:val="009A3151"/>
    <w:rsid w:val="009A3404"/>
    <w:rsid w:val="009A343E"/>
    <w:rsid w:val="009A351F"/>
    <w:rsid w:val="009A4E73"/>
    <w:rsid w:val="009A5201"/>
    <w:rsid w:val="009A6409"/>
    <w:rsid w:val="009A6507"/>
    <w:rsid w:val="009A65B2"/>
    <w:rsid w:val="009A7062"/>
    <w:rsid w:val="009A70B3"/>
    <w:rsid w:val="009A780E"/>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C22"/>
    <w:rsid w:val="00A17B89"/>
    <w:rsid w:val="00A20760"/>
    <w:rsid w:val="00A215E8"/>
    <w:rsid w:val="00A217FC"/>
    <w:rsid w:val="00A21BAE"/>
    <w:rsid w:val="00A22A4B"/>
    <w:rsid w:val="00A22A97"/>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864"/>
    <w:rsid w:val="00A63D65"/>
    <w:rsid w:val="00A63FCD"/>
    <w:rsid w:val="00A6478C"/>
    <w:rsid w:val="00A64917"/>
    <w:rsid w:val="00A6492D"/>
    <w:rsid w:val="00A64A6E"/>
    <w:rsid w:val="00A64BF2"/>
    <w:rsid w:val="00A64FDA"/>
    <w:rsid w:val="00A65196"/>
    <w:rsid w:val="00A651D8"/>
    <w:rsid w:val="00A65EAF"/>
    <w:rsid w:val="00A66092"/>
    <w:rsid w:val="00A662FB"/>
    <w:rsid w:val="00A66377"/>
    <w:rsid w:val="00A66594"/>
    <w:rsid w:val="00A675F9"/>
    <w:rsid w:val="00A707FA"/>
    <w:rsid w:val="00A70ED1"/>
    <w:rsid w:val="00A717CE"/>
    <w:rsid w:val="00A71AFF"/>
    <w:rsid w:val="00A71D6C"/>
    <w:rsid w:val="00A7213C"/>
    <w:rsid w:val="00A721C7"/>
    <w:rsid w:val="00A724D4"/>
    <w:rsid w:val="00A72736"/>
    <w:rsid w:val="00A729EE"/>
    <w:rsid w:val="00A72D75"/>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8D8"/>
    <w:rsid w:val="00B95E0B"/>
    <w:rsid w:val="00B9601E"/>
    <w:rsid w:val="00B973B5"/>
    <w:rsid w:val="00B97422"/>
    <w:rsid w:val="00B97592"/>
    <w:rsid w:val="00B978FB"/>
    <w:rsid w:val="00BA0D5D"/>
    <w:rsid w:val="00BA105E"/>
    <w:rsid w:val="00BA1749"/>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DFD"/>
    <w:rsid w:val="00C90AFE"/>
    <w:rsid w:val="00C90BE8"/>
    <w:rsid w:val="00C911CA"/>
    <w:rsid w:val="00C918DD"/>
    <w:rsid w:val="00C91DB5"/>
    <w:rsid w:val="00C927A4"/>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9C8"/>
    <w:rsid w:val="00CC2C6B"/>
    <w:rsid w:val="00CC3367"/>
    <w:rsid w:val="00CC3588"/>
    <w:rsid w:val="00CC4182"/>
    <w:rsid w:val="00CC4EBE"/>
    <w:rsid w:val="00CC5708"/>
    <w:rsid w:val="00CC646C"/>
    <w:rsid w:val="00CC693F"/>
    <w:rsid w:val="00CC6E0B"/>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735"/>
    <w:rsid w:val="00CD67FB"/>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37BA"/>
    <w:rsid w:val="00DF38FA"/>
    <w:rsid w:val="00DF3DA5"/>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DC1"/>
    <w:rsid w:val="00E165AB"/>
    <w:rsid w:val="00E16DFD"/>
    <w:rsid w:val="00E17333"/>
    <w:rsid w:val="00E176A4"/>
    <w:rsid w:val="00E17774"/>
    <w:rsid w:val="00E17A5D"/>
    <w:rsid w:val="00E17EAD"/>
    <w:rsid w:val="00E17F3C"/>
    <w:rsid w:val="00E2108A"/>
    <w:rsid w:val="00E211CF"/>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C0F"/>
    <w:rsid w:val="00F20BDA"/>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BAD"/>
    <w:rsid w:val="00FA44B8"/>
    <w:rsid w:val="00FA47C8"/>
    <w:rsid w:val="00FA4FBE"/>
    <w:rsid w:val="00FA537E"/>
    <w:rsid w:val="00FA5653"/>
    <w:rsid w:val="00FA588B"/>
    <w:rsid w:val="00FA5B19"/>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6F2"/>
    <w:rsid w:val="00FE4A80"/>
    <w:rsid w:val="00FE5C1A"/>
    <w:rsid w:val="00FE6441"/>
    <w:rsid w:val="00FE6C70"/>
    <w:rsid w:val="00FE6F47"/>
    <w:rsid w:val="00FE72B2"/>
    <w:rsid w:val="00FE7BA4"/>
    <w:rsid w:val="00FE7E70"/>
    <w:rsid w:val="00FF0734"/>
    <w:rsid w:val="00FF0BCD"/>
    <w:rsid w:val="00FF0C84"/>
    <w:rsid w:val="00FF12D7"/>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A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unhideWhenUsed/>
    <w:rsid w:val="00156A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ACC"/>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2024-09-09T01:54:00Z</dcterms:created>
  <dcterms:modified xsi:type="dcterms:W3CDTF">2024-09-09T03:59:00Z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2024-09-09T01:54:22Z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6b37c63a-c91a-4f0d-943b-7431963c1078</vt:lpwstr>
  </property>
  <property fmtid="{D5CDD505-2E9C-101B-9397-08002B2CF9AE}" pid="8" name="MSIP_Label_4d2f777e-4347-4fc6-823a-b44ab313546a_ContentBits">
    <vt:lpwstr>0</vt:lpwstr>
  </property>
</Properties>
</file>