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216" w:leader="none"/>
        </w:tabs>
        <w:spacing w:lineRule="auto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  <w:bCs/>
        </w:rPr>
        <w:t>3GPP TSG RAN WG Meeting #105</w:t>
      </w:r>
      <w:r>
        <w:rPr/>
        <w:tab/>
      </w:r>
      <w:r>
        <w:rPr>
          <w:rFonts w:eastAsia="Times New Roman" w:cs="Times New Roman" w:ascii="Times New Roman" w:hAnsi="Times New Roman"/>
          <w:b/>
          <w:bCs/>
        </w:rPr>
        <w:t>RP-</w:t>
      </w:r>
      <w:r>
        <w:rPr>
          <w:rFonts w:eastAsia="Times New Roman" w:cs="Times New Roman" w:ascii="Times New Roman" w:hAnsi="Times New Roman"/>
          <w:b/>
          <w:bCs/>
          <w:color w:val="000000"/>
        </w:rPr>
        <w:t>241974</w:t>
      </w:r>
    </w:p>
    <w:p>
      <w:pPr>
        <w:pStyle w:val="Normal"/>
        <w:spacing w:lineRule="auto" w:line="240" w:before="0" w:after="12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  <w:bCs/>
        </w:rPr>
        <w:t xml:space="preserve">Melbourne, AU,  </w:t>
      </w:r>
      <w:r>
        <w:rPr>
          <w:rFonts w:eastAsia="Times New Roman" w:cs="Times New Roman" w:ascii="Times New Roman" w:hAnsi="Times New Roman"/>
          <w:b/>
          <w:bCs/>
        </w:rPr>
        <w:t>9</w:t>
      </w:r>
      <w:r>
        <w:rPr>
          <w:rFonts w:eastAsia="Times New Roman" w:cs="Times New Roman" w:ascii="Times New Roman" w:hAnsi="Times New Roman"/>
          <w:b/>
          <w:bCs/>
        </w:rPr>
        <w:t xml:space="preserve"> September – </w:t>
      </w:r>
      <w:r>
        <w:rPr>
          <w:rFonts w:eastAsia="Times New Roman" w:cs="Times New Roman" w:ascii="Times New Roman" w:hAnsi="Times New Roman"/>
          <w:b/>
          <w:bCs/>
        </w:rPr>
        <w:t>12 September</w:t>
      </w:r>
      <w:r>
        <w:rPr>
          <w:rFonts w:eastAsia="Times New Roman" w:cs="Times New Roman" w:ascii="Times New Roman" w:hAnsi="Times New Roman"/>
          <w:b/>
          <w:bCs/>
        </w:rPr>
        <w:t>, 2024</w:t>
      </w:r>
    </w:p>
    <w:p>
      <w:pPr>
        <w:pStyle w:val="Normal"/>
        <w:pBdr>
          <w:top w:val="single" w:sz="4" w:space="1" w:color="000000"/>
        </w:pBdr>
        <w:spacing w:lineRule="auto" w:line="240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</w:rPr>
        <w:t>Agenda Item:</w:t>
        <w:tab/>
      </w:r>
      <w:r>
        <w:rPr>
          <w:rFonts w:eastAsia="Times New Roman" w:cs="Times New Roman" w:ascii="Times New Roman" w:hAnsi="Times New Roman"/>
          <w:b/>
        </w:rPr>
        <w:t>9.3.2.1</w:t>
      </w:r>
    </w:p>
    <w:p>
      <w:pPr>
        <w:pStyle w:val="Normal"/>
        <w:tabs>
          <w:tab w:val="clear" w:pos="720"/>
          <w:tab w:val="left" w:pos="1985" w:leader="none"/>
          <w:tab w:val="left" w:pos="2835" w:leader="none"/>
          <w:tab w:val="right" w:pos="9072" w:leader="none"/>
          <w:tab w:val="right" w:pos="10206" w:leader="none"/>
        </w:tabs>
        <w:jc w:val="both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/>
        </w:rPr>
        <w:t>Source: CEWiT</w:t>
      </w:r>
    </w:p>
    <w:p>
      <w:pPr>
        <w:pStyle w:val="Normal"/>
        <w:spacing w:lineRule="auto" w:line="240" w:before="0" w:after="60"/>
        <w:rPr/>
      </w:pPr>
      <w:r>
        <w:rPr>
          <w:rFonts w:eastAsia="Times New Roman" w:cs="Times New Roman" w:ascii="Times New Roman" w:hAnsi="Times New Roman"/>
          <w:b/>
        </w:rPr>
        <w:t>Title:</w:t>
        <w:tab/>
      </w:r>
      <w:r>
        <w:rPr>
          <w:rFonts w:eastAsia="Times New Roman" w:cs="Times New Roman" w:ascii="Times New Roman" w:hAnsi="Times New Roman"/>
          <w:b/>
        </w:rPr>
        <w:t>Discussion on Conditional LTM</w:t>
      </w:r>
    </w:p>
    <w:p>
      <w:pPr>
        <w:pStyle w:val="Normal"/>
        <w:spacing w:lineRule="auto" w:line="240" w:before="0" w:after="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</w:rPr>
        <w:t>Document for:</w:t>
        <w:tab/>
        <w:t>Discussion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</w:r>
      <w:bookmarkStart w:id="0" w:name="_gjdgxs"/>
      <w:bookmarkStart w:id="1" w:name="_gjdgxs"/>
      <w:bookmarkEnd w:id="1"/>
    </w:p>
    <w:p>
      <w:pPr>
        <w:pStyle w:val="Heading1"/>
        <w:keepLines w:val="false"/>
        <w:numPr>
          <w:ilvl w:val="0"/>
          <w:numId w:val="1"/>
        </w:numPr>
        <w:spacing w:lineRule="auto" w:line="240" w:before="120" w:after="120"/>
        <w:jc w:val="both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bookmarkStart w:id="2" w:name="_xl2dgc5pmumw"/>
      <w:bookmarkEnd w:id="2"/>
      <w:r>
        <w:rPr>
          <w:rFonts w:eastAsia="Times New Roman" w:cs="Times New Roman" w:ascii="Times New Roman" w:hAnsi="Times New Roman"/>
          <w:b/>
          <w:sz w:val="28"/>
          <w:szCs w:val="28"/>
        </w:rPr>
        <w:t>Introduction</w:t>
      </w:r>
    </w:p>
    <w:p>
      <w:pPr>
        <w:pStyle w:val="Normal"/>
        <w:rPr>
          <w:rFonts w:ascii="Times New Roman" w:hAnsi="Times New Roman" w:eastAsia="MS Mincho" w:cs="Times New Roman"/>
          <w:szCs w:val="20"/>
          <w:lang w:val="en-GB" w:eastAsia="ja-JP"/>
        </w:rPr>
      </w:pPr>
      <w:r>
        <w:rPr>
          <w:rFonts w:eastAsia="MS Mincho" w:cs="Times New Roman" w:ascii="Times New Roman" w:hAnsi="Times New Roman"/>
          <w:szCs w:val="20"/>
          <w:lang w:val="en-GB" w:eastAsia="ja-JP"/>
        </w:rPr>
        <w:t>Based on 3GPP TSG RAN meeting #104, the below are the agreements on WID for NR mobility enhancements Phase 4</w:t>
      </w:r>
    </w:p>
    <w:p>
      <w:pPr>
        <w:pStyle w:val="Normal"/>
        <w:rPr>
          <w:rFonts w:ascii="Times New Roman" w:hAnsi="Times New Roman" w:eastAsia="MS Mincho" w:cs="Times New Roman"/>
          <w:szCs w:val="20"/>
          <w:lang w:val="en-GB" w:eastAsia="ja-JP"/>
        </w:rPr>
      </w:pPr>
      <w:r>
        <w:rPr/>
      </w:r>
    </w:p>
    <w:p>
      <w:pPr>
        <w:pStyle w:val="Quotations"/>
        <w:rPr/>
      </w:pPr>
      <w:r>
        <w:rPr/>
        <w:t xml:space="preserve"> 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rPr/>
        <w:tc>
          <w:tcPr>
            <w:tcW w:w="9360" w:type="dxa"/>
            <w:tcBorders/>
          </w:tcPr>
          <w:p>
            <w:pPr>
              <w:pStyle w:val="Normal"/>
              <w:rPr/>
            </w:pPr>
            <w:r>
              <w:rPr/>
              <w:t xml:space="preserve"> </w:t>
            </w:r>
          </w:p>
          <w:p>
            <w:pPr>
              <w:pStyle w:val="Quotations"/>
              <w:rPr/>
            </w:pPr>
            <w:r>
              <w:rPr/>
              <w:t xml:space="preserve">    </w:t>
            </w:r>
            <w:r>
              <w:rPr>
                <w:shd w:fill="FFFF00" w:val="clear"/>
              </w:rPr>
              <w:t xml:space="preserve">• </w:t>
            </w:r>
            <w:r>
              <w:rPr>
                <w:shd w:fill="FFFF00" w:val="clear"/>
              </w:rPr>
              <w:t>Specify support of conditional LTM [RAN2, RAN3, RAN1]</w:t>
            </w:r>
          </w:p>
          <w:p>
            <w:pPr>
              <w:pStyle w:val="Quotations"/>
              <w:rPr/>
            </w:pPr>
            <w:r>
              <w:rPr/>
              <w:t xml:space="preserve">        ◦ </w:t>
            </w:r>
            <w:r>
              <w:rPr/>
              <w:t>Specify UE evaluated conditions for triggering LTM</w:t>
            </w:r>
          </w:p>
          <w:p>
            <w:pPr>
              <w:pStyle w:val="Quotations"/>
              <w:rPr/>
            </w:pPr>
            <w:r>
              <w:rPr/>
              <w:t xml:space="preserve">        ◦ </w:t>
            </w:r>
            <w:r>
              <w:rPr/>
              <w:t>Aim to support conditional LTM including subsequent LTM</w:t>
            </w:r>
          </w:p>
          <w:p>
            <w:pPr>
              <w:pStyle w:val="Quotations"/>
              <w:rPr/>
            </w:pPr>
            <w:r>
              <w:rPr/>
              <w:t xml:space="preserve">        ◦ </w:t>
            </w:r>
            <w:r>
              <w:rPr/>
              <w:t>Prioritise intra-CU LTM</w:t>
            </w:r>
          </w:p>
          <w:p>
            <w:pPr>
              <w:pStyle w:val="Quotations"/>
              <w:rPr/>
            </w:pPr>
            <w:r>
              <w:rPr/>
              <w:t xml:space="preserve">        ◦ </w:t>
            </w:r>
            <w:r>
              <w:rPr/>
              <w:t>Checkpoint to review objective at RAN#105. RAN WG work to not start before this checkpoint</w:t>
            </w:r>
          </w:p>
          <w:p>
            <w:pPr>
              <w:pStyle w:val="Quotations"/>
              <w:spacing w:before="0" w:after="283"/>
              <w:rPr/>
            </w:pPr>
            <w:r>
              <w:rPr/>
              <w:t xml:space="preserve"> </w:t>
            </w:r>
          </w:p>
        </w:tc>
      </w:tr>
    </w:tbl>
    <w:p>
      <w:pPr>
        <w:pStyle w:val="Quotations"/>
        <w:rPr/>
      </w:pPr>
      <w:r>
        <w:rPr/>
      </w:r>
    </w:p>
    <w:p>
      <w:pPr>
        <w:pStyle w:val="Normal"/>
        <w:rPr>
          <w:rFonts w:ascii="Times New Roman" w:hAnsi="Times New Roman" w:eastAsia="MS Mincho" w:cs="Times New Roman"/>
          <w:szCs w:val="20"/>
          <w:lang w:val="en-GB" w:eastAsia="ja-JP"/>
        </w:rPr>
      </w:pPr>
      <w:r>
        <w:rPr>
          <w:rFonts w:eastAsia="MS Mincho" w:cs="Times New Roman" w:ascii="Times New Roman" w:hAnsi="Times New Roman"/>
          <w:szCs w:val="20"/>
          <w:lang w:val="en-GB" w:eastAsia="ja-JP"/>
        </w:rPr>
      </w:r>
    </w:p>
    <w:p>
      <w:pPr>
        <w:pStyle w:val="Normal"/>
        <w:rPr>
          <w:rFonts w:ascii="Times New Roman" w:hAnsi="Times New Roman" w:eastAsia="MS Mincho" w:cs="Times New Roman"/>
          <w:szCs w:val="20"/>
          <w:lang w:val="en-GB" w:eastAsia="ja-JP"/>
        </w:rPr>
      </w:pPr>
      <w:r>
        <w:rPr>
          <w:rFonts w:eastAsia="MS Mincho" w:cs="Times New Roman" w:ascii="Times New Roman" w:hAnsi="Times New Roman"/>
          <w:szCs w:val="20"/>
          <w:lang w:val="en-GB" w:eastAsia="ja-JP"/>
        </w:rPr>
        <w:t>We will be discussing the importance and feasibility of Conditional LTM, and the challenges that comes with it.</w:t>
      </w:r>
    </w:p>
    <w:p>
      <w:pPr>
        <w:pStyle w:val="Normal"/>
        <w:rPr>
          <w:rFonts w:ascii="Times New Roman" w:hAnsi="Times New Roman" w:cs="Times New Roman"/>
          <w:bCs/>
          <w:sz w:val="20"/>
          <w:lang w:val="en-US"/>
        </w:rPr>
      </w:pPr>
      <w:r>
        <w:rPr>
          <w:rFonts w:cs="Times New Roman" w:ascii="Times New Roman" w:hAnsi="Times New Roman"/>
          <w:bCs/>
          <w:sz w:val="20"/>
          <w:lang w:val="en-US"/>
        </w:rPr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b/>
          <w:sz w:val="28"/>
        </w:rPr>
        <w:t>Discussion</w:t>
      </w:r>
    </w:p>
    <w:p>
      <w:pPr>
        <w:pStyle w:val="ListParagraph"/>
        <w:ind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pBdr>
          <w:bottom w:val="single" w:sz="4" w:space="1" w:color="000000"/>
        </w:pBdr>
        <w:spacing w:lineRule="auto" w:line="240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 w:themeColor="text1"/>
          <w:szCs w:val="20"/>
        </w:rPr>
        <w:t xml:space="preserve">In this section we will be discussing on Rel-18 LTM procedure for Intra-CU mobility, and also Rel-16 procedure for CHO. With this background we will compare and state the improvements that </w:t>
      </w:r>
      <w:r>
        <w:rPr>
          <w:rFonts w:cs="Times New Roman" w:ascii="Times New Roman" w:hAnsi="Times New Roman"/>
          <w:b w:val="false"/>
          <w:bCs w:val="false"/>
          <w:color w:val="000000" w:themeColor="text1"/>
          <w:szCs w:val="20"/>
        </w:rPr>
        <w:t>are</w:t>
      </w:r>
      <w:r>
        <w:rPr>
          <w:rFonts w:cs="Times New Roman" w:ascii="Times New Roman" w:hAnsi="Times New Roman"/>
          <w:b w:val="false"/>
          <w:bCs w:val="false"/>
          <w:color w:val="000000" w:themeColor="text1"/>
          <w:szCs w:val="20"/>
        </w:rPr>
        <w:t xml:space="preserve"> required </w:t>
      </w:r>
      <w:r>
        <w:rPr>
          <w:rFonts w:cs="Times New Roman" w:ascii="Times New Roman" w:hAnsi="Times New Roman"/>
          <w:b w:val="false"/>
          <w:bCs w:val="false"/>
          <w:color w:val="000000" w:themeColor="text1"/>
          <w:szCs w:val="20"/>
        </w:rPr>
        <w:t>for</w:t>
      </w:r>
      <w:r>
        <w:rPr>
          <w:rFonts w:cs="Times New Roman" w:ascii="Times New Roman" w:hAnsi="Times New Roman"/>
          <w:b w:val="false"/>
          <w:bCs w:val="false"/>
          <w:color w:val="000000" w:themeColor="text1"/>
          <w:szCs w:val="20"/>
        </w:rPr>
        <w:t xml:space="preserve"> Conditional LTM (CLTM).</w:t>
      </w:r>
    </w:p>
    <w:p>
      <w:pPr>
        <w:pStyle w:val="Normal"/>
        <w:pBdr>
          <w:bottom w:val="single" w:sz="4" w:space="1" w:color="000000"/>
        </w:pBdr>
        <w:spacing w:lineRule="auto" w:line="240"/>
        <w:ind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000000" w:themeColor="text1"/>
          <w:szCs w:val="20"/>
        </w:rPr>
      </w:pPr>
      <w:r>
        <w:rPr/>
      </w:r>
    </w:p>
    <w:p>
      <w:pPr>
        <w:pStyle w:val="Heading2"/>
        <w:rPr/>
      </w:pPr>
      <w:r>
        <w:rPr>
          <w:rFonts w:cs="Times New Roman" w:ascii="Times New Roman" w:hAnsi="Times New Roman"/>
          <w:b w:val="false"/>
          <w:bCs w:val="false"/>
          <w:color w:val="000000" w:themeColor="text1"/>
          <w:szCs w:val="20"/>
        </w:rPr>
        <w:t>I</w:t>
      </w:r>
      <w:r>
        <w:rPr>
          <w:rFonts w:cs="Times New Roman" w:ascii="Times New Roman" w:hAnsi="Times New Roman"/>
          <w:b w:val="false"/>
          <w:bCs w:val="false"/>
          <w:color w:val="000000" w:themeColor="text1"/>
          <w:szCs w:val="20"/>
        </w:rPr>
        <w:t>ntroduction</w:t>
      </w:r>
    </w:p>
    <w:p>
      <w:pPr>
        <w:pStyle w:val="Normal"/>
        <w:pBdr>
          <w:bottom w:val="single" w:sz="4" w:space="1" w:color="000000"/>
        </w:pBdr>
        <w:spacing w:lineRule="auto" w:line="240"/>
        <w:rPr/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Given below is the flow of events from Rel-18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Intra-CU LTM </w:t>
      </w:r>
      <w:r>
        <w:rPr>
          <w:rFonts w:cs="Times New Roman" w:ascii="Times New Roman" w:hAnsi="Times New Roman"/>
          <w:color w:val="000000" w:themeColor="text1"/>
          <w:szCs w:val="20"/>
        </w:rPr>
        <w:t>for reference :</w:t>
      </w:r>
    </w:p>
    <w:p>
      <w:pPr>
        <w:pStyle w:val="Normal"/>
        <w:pBdr>
          <w:bottom w:val="single" w:sz="4" w:space="1" w:color="000000"/>
        </w:pBdr>
        <w:spacing w:lineRule="auto" w:line="240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5368925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6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color w:val="000000" w:themeColor="text1"/>
          <w:szCs w:val="20"/>
        </w:rPr>
        <w:t>Given below is the f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low of events in CHO (Rel-16) </w:t>
      </w:r>
      <w:r>
        <w:rPr>
          <w:rFonts w:cs="Times New Roman" w:ascii="Times New Roman" w:hAnsi="Times New Roman"/>
          <w:color w:val="000000" w:themeColor="text1"/>
          <w:szCs w:val="20"/>
        </w:rPr>
        <w:t>for reference :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5741035"/>
            <wp:effectExtent l="0" t="0" r="0" b="0"/>
            <wp:wrapSquare wrapText="largest"/>
            <wp:docPr id="2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4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Arial" w:hAnsi="Arial" w:eastAsia="Arial" w:cs="Arial"/>
          <w:b w:val="false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</w:pPr>
      <w:r>
        <w:rPr>
          <w:rFonts w:eastAsia="Arial" w:cs="Arial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  <w:t>Design of CLTM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/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With Rel-18 LTM and CHO as the baseline, CLTM could be designed for </w:t>
      </w:r>
      <w:r>
        <w:rPr>
          <w:rFonts w:cs="Times New Roman" w:ascii="Times New Roman" w:hAnsi="Times New Roman"/>
          <w:color w:val="000000" w:themeColor="text1"/>
          <w:szCs w:val="20"/>
        </w:rPr>
        <w:t>i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ntra-CU mobility. </w:t>
      </w:r>
      <w:r>
        <w:rPr>
          <w:rFonts w:cs="Times New Roman" w:ascii="Times New Roman" w:hAnsi="Times New Roman"/>
          <w:color w:val="000000" w:themeColor="text1"/>
          <w:szCs w:val="20"/>
        </w:rPr>
        <w:t>The primary goals are to be defined in facilitating the UE to make the LTM decisi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ons and acquiring specific information which </w:t>
      </w:r>
      <w:r>
        <w:rPr>
          <w:rFonts w:cs="Times New Roman" w:ascii="Times New Roman" w:hAnsi="Times New Roman"/>
          <w:color w:val="000000" w:themeColor="text1"/>
          <w:szCs w:val="20"/>
        </w:rPr>
        <w:t>were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 previously provided by the source gNB.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Observation 1:  Similar to CHO, CLTM for Intra-CU mobility would have legacy intra-CU LTM as the baseline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1: Rel-18 LTM to be the baseline for Rel-19 CLTM</w:t>
      </w:r>
      <w:r>
        <w:br w:type="page"/>
      </w:r>
    </w:p>
    <w:p>
      <w:pPr>
        <w:pStyle w:val="Heading2"/>
        <w:rPr/>
      </w:pPr>
      <w:r>
        <w:rPr>
          <w:rFonts w:cs="Times New Roman" w:ascii="Times New Roman" w:hAnsi="Times New Roman"/>
          <w:color w:val="000000" w:themeColor="text1"/>
          <w:szCs w:val="20"/>
        </w:rPr>
        <w:t>D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etailed Discussion </w:t>
      </w:r>
      <w:r>
        <w:rPr>
          <w:rFonts w:cs="Times New Roman" w:ascii="Times New Roman" w:hAnsi="Times New Roman"/>
          <w:color w:val="000000" w:themeColor="text1"/>
          <w:szCs w:val="20"/>
        </w:rPr>
        <w:t>on CLTM phases</w:t>
      </w:r>
    </w:p>
    <w:p>
      <w:pPr>
        <w:pStyle w:val="Normal"/>
        <w:rPr/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We will discuss CLTM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by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citing all the challenges and scope for work that comes </w:t>
      </w:r>
      <w:r>
        <w:rPr>
          <w:rFonts w:cs="Times New Roman" w:ascii="Times New Roman" w:hAnsi="Times New Roman"/>
          <w:color w:val="000000" w:themeColor="text1"/>
          <w:szCs w:val="20"/>
        </w:rPr>
        <w:t>in each of the handover phases.</w:t>
      </w:r>
    </w:p>
    <w:p>
      <w:pPr>
        <w:pStyle w:val="Normal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Heading3"/>
        <w:rPr/>
      </w:pPr>
      <w:r>
        <w:rPr/>
        <w:t>HO Preparation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/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During this phase, along with the legacy candidate cell configurations,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extra configurations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are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to come from source gNB conveying the conditions that are to be evaluated by the UE to arrive CLTM decisions. This could be different for different candidate cells.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The security key is assumed to not change during intra-CU handover. </w:t>
      </w:r>
      <w:r>
        <w:rPr>
          <w:rFonts w:cs="Times New Roman" w:ascii="Times New Roman" w:hAnsi="Times New Roman"/>
          <w:color w:val="000000" w:themeColor="text1"/>
          <w:szCs w:val="20"/>
        </w:rPr>
        <w:t>If there is TA available at the source gNB towards a particular candidate cell, this should also be included.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Observation 2:  UE needs the conditions to be evaluated in order to make the decisions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Proposal 2: Source to configure the conditions to do a CLTM in RRC Reconfiguration. Details to be studied. 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Arial" w:hAnsi="Arial" w:eastAsia="Arial" w:cs="Arial"/>
          <w:b w:val="false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</w:pPr>
      <w:r>
        <w:rPr>
          <w:rFonts w:eastAsia="Arial" w:cs="Arial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  <w:t xml:space="preserve">Early Synchronization </w:t>
      </w:r>
      <w:r>
        <w:rPr>
          <w:rFonts w:eastAsia="Arial" w:cs="Arial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  <w:t>and LTM decision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/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If early synchronization is required, UE should be able to perform it without involving source gNB (including PDCCH order </w:t>
      </w:r>
      <w:r>
        <w:rPr>
          <w:rFonts w:cs="Times New Roman" w:ascii="Times New Roman" w:hAnsi="Times New Roman"/>
          <w:color w:val="000000" w:themeColor="text1"/>
          <w:szCs w:val="20"/>
        </w:rPr>
        <w:t>in some cases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) as much as possible. For this, all the related information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required for early RACH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and </w:t>
      </w:r>
      <w:r>
        <w:rPr>
          <w:rFonts w:cs="Times New Roman" w:ascii="Times New Roman" w:hAnsi="Times New Roman"/>
          <w:color w:val="000000" w:themeColor="text1"/>
          <w:szCs w:val="20"/>
        </w:rPr>
        <w:t>specific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 triggers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and timer configurations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need to be provided in prior, by the source gNB. </w:t>
      </w:r>
      <w:r>
        <w:rPr>
          <w:rFonts w:cs="Times New Roman" w:ascii="Times New Roman" w:hAnsi="Times New Roman"/>
          <w:color w:val="000000" w:themeColor="text1"/>
          <w:szCs w:val="20"/>
        </w:rPr>
        <w:t>Since LTM cell switch is not expected from source, TA information must come in this phase itself. It could be from source, directly from candidates/</w:t>
      </w:r>
      <w:r>
        <w:rPr>
          <w:rFonts w:cs="Times New Roman" w:ascii="Times New Roman" w:hAnsi="Times New Roman"/>
          <w:color w:val="000000" w:themeColor="text1"/>
          <w:szCs w:val="20"/>
        </w:rPr>
        <w:t>target cell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. This must be facilitated. 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Observation 3:  Source may not send PDCCH order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to trigger the early synchronisation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3: Methods to perform early synchronization without source gNB’s involvement is to be studied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b/>
          <w:bCs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Observation 4:  UE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to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 receive TA information before the LTM decision is made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4: Support transfer of TA for each candidate cell either through source and/or through candidate/target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b/>
          <w:bCs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Observation 5: Source may not be sending Candidate Cell TCI state activation/deactivation MAC CE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5: Mechanism to activate/deactivate TCI states is to be studied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b/>
          <w:bCs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Observation 6: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UE will not receive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LTM Cell Switch Command 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6: Decision to be  made at the UE regarding the target cell, and acquiring all the information that were previously coming in LTM cell switch command.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  <w:r>
        <w:br w:type="page"/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/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Arial" w:hAnsi="Arial" w:cs="Arial"/>
          <w:color w:val="434343"/>
          <w:szCs w:val="28"/>
        </w:rPr>
      </w:pPr>
      <w:r>
        <w:rPr>
          <w:rFonts w:eastAsia="Arial" w:cs="Arial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  <w:t>Target Preparation and HO execution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Arial" w:hAnsi="Arial" w:cs="Arial"/>
          <w:color w:val="434343"/>
          <w:szCs w:val="28"/>
        </w:rPr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In this phase </w:t>
      </w:r>
      <w:r>
        <w:rPr>
          <w:rFonts w:cs="Times New Roman" w:ascii="Times New Roman" w:hAnsi="Times New Roman"/>
          <w:color w:val="000000" w:themeColor="text1"/>
          <w:szCs w:val="20"/>
        </w:rPr>
        <w:t>since sour</w:t>
      </w:r>
      <w:r>
        <w:rPr>
          <w:rFonts w:cs="Times New Roman" w:ascii="Times New Roman" w:hAnsi="Times New Roman"/>
          <w:color w:val="000000" w:themeColor="text1"/>
          <w:szCs w:val="20"/>
        </w:rPr>
        <w:t>c</w:t>
      </w:r>
      <w:r>
        <w:rPr>
          <w:rFonts w:cs="Times New Roman" w:ascii="Times New Roman" w:hAnsi="Times New Roman"/>
          <w:color w:val="000000" w:themeColor="text1"/>
          <w:szCs w:val="20"/>
        </w:rPr>
        <w:t>e gNB is not involved in the decision, target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 must be informed </w:t>
      </w:r>
      <w:r>
        <w:rPr>
          <w:rFonts w:cs="Times New Roman" w:ascii="Times New Roman" w:hAnsi="Times New Roman"/>
          <w:color w:val="000000" w:themeColor="text1"/>
          <w:szCs w:val="20"/>
        </w:rPr>
        <w:t>of the arrival of the UE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. In case of RACH-based, preamble transmission would serve as an indication. In RACH-less LTM, target could be </w:t>
      </w:r>
      <w:r>
        <w:rPr>
          <w:rFonts w:cs="Times New Roman" w:ascii="Times New Roman" w:hAnsi="Times New Roman"/>
          <w:color w:val="000000" w:themeColor="text1"/>
          <w:szCs w:val="20"/>
        </w:rPr>
        <w:t>n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otified of UE’s arrival by sending specific small sized indication (FFS existing or new) with required flags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(if required), 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towards target. </w:t>
      </w:r>
      <w:r>
        <w:rPr>
          <w:rFonts w:cs="Times New Roman" w:ascii="Times New Roman" w:hAnsi="Times New Roman"/>
          <w:color w:val="000000" w:themeColor="text1"/>
          <w:szCs w:val="20"/>
        </w:rPr>
        <w:t>Target could, upon receiving the indication, process to send any further required information to the UE.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Observation 7: Source is not involved in the HO execution process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7: Target gNB to be indicated about the arrival of the UE so that it can further send the necessary information to the UE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Arial" w:hAnsi="Arial" w:eastAsia="Arial" w:cs="Arial"/>
          <w:b w:val="false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</w:pPr>
      <w:r>
        <w:rPr>
          <w:rFonts w:eastAsia="Arial" w:cs="Arial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  <w:t>HO completion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This phase can be reused as such from Rel-18 LTM </w:t>
      </w:r>
      <w:r>
        <w:rPr>
          <w:rFonts w:cs="Times New Roman" w:ascii="Times New Roman" w:hAnsi="Times New Roman"/>
          <w:color w:val="000000" w:themeColor="text1"/>
          <w:szCs w:val="20"/>
        </w:rPr>
        <w:t>because notification to the source, as well as the source notifying other candidates about the successful completion shall remain unchanged in CLTM.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Arial" w:hAnsi="Arial" w:eastAsia="Arial" w:cs="Arial"/>
          <w:b w:val="false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</w:pPr>
      <w:r>
        <w:rPr>
          <w:rFonts w:eastAsia="Arial" w:cs="Arial"/>
          <w:b w:val="false"/>
          <w:bCs w:val="false"/>
          <w:color w:val="434343"/>
          <w:kern w:val="0"/>
          <w:sz w:val="28"/>
          <w:szCs w:val="28"/>
          <w:lang w:val="en-US" w:eastAsia="en-US" w:bidi="ar-SA"/>
        </w:rPr>
        <w:t>Subsequent CLTM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  <w:t xml:space="preserve">To support CLTM </w:t>
      </w:r>
      <w:r>
        <w:rPr>
          <w:rFonts w:cs="Times New Roman" w:ascii="Times New Roman" w:hAnsi="Times New Roman"/>
          <w:color w:val="000000" w:themeColor="text1"/>
          <w:szCs w:val="20"/>
        </w:rPr>
        <w:t>or Subsequent CLTM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, each candidate might choose different conditions to be configured. </w:t>
      </w:r>
      <w:r>
        <w:rPr>
          <w:rFonts w:cs="Times New Roman" w:ascii="Times New Roman" w:hAnsi="Times New Roman"/>
          <w:color w:val="000000" w:themeColor="text1"/>
          <w:szCs w:val="20"/>
        </w:rPr>
        <w:t>Example, a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 CLTM session can be followed by a S-LTM; </w:t>
      </w:r>
      <w:r>
        <w:rPr>
          <w:rFonts w:cs="Times New Roman" w:ascii="Times New Roman" w:hAnsi="Times New Roman"/>
          <w:color w:val="000000" w:themeColor="text1"/>
          <w:szCs w:val="20"/>
        </w:rPr>
        <w:t>b</w:t>
      </w:r>
      <w:r>
        <w:rPr>
          <w:rFonts w:cs="Times New Roman" w:ascii="Times New Roman" w:hAnsi="Times New Roman"/>
          <w:color w:val="000000" w:themeColor="text1"/>
          <w:szCs w:val="20"/>
        </w:rPr>
        <w:t>ut a S-LTM might not have sufficient information to carry out a C-LTM. This is because an indication from network typically overrides any conditional decisions taken at the UE.</w:t>
      </w:r>
      <w:r>
        <w:rPr>
          <w:rFonts w:cs="Times New Roman" w:ascii="Times New Roman" w:hAnsi="Times New Roman"/>
          <w:color w:val="000000" w:themeColor="text1"/>
          <w:szCs w:val="20"/>
        </w:rPr>
        <w:t xml:space="preserve"> This must be facilitated in the specification.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Observation 8: Subsequent CLTM (SCLTM) is to be supported considering the nature of LTM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 8: Validity of preambles, resources, TA etc are to be studied to ensure supporting SCLTM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9: Inter-operability of LTM, SLTM, CLTM and SCLTM to be studied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Heading2"/>
        <w:rPr>
          <w:rFonts w:ascii="Times New Roman" w:hAnsi="Times New Roman" w:cs="Times New Roman"/>
          <w:color w:val="000000" w:themeColor="text1"/>
          <w:szCs w:val="20"/>
        </w:rPr>
      </w:pPr>
      <w:r>
        <w:rPr/>
        <w:t>Conclusion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  <w:t>Given below is the summary of our observations, and corresponding proposals:</w:t>
      </w:r>
    </w:p>
    <w:p>
      <w:pPr>
        <w:pStyle w:val="Normal"/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cs="Times New Roman" w:ascii="Times New Roman" w:hAnsi="Times New Roman"/>
          <w:color w:val="000000" w:themeColor="text1"/>
          <w:szCs w:val="20"/>
        </w:rPr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/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1: Rel-18 LTM to be the baseline for Rel-19 CLTM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Proposal 2: Source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gNB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to configure the conditions to do a CLTM in RRC Reconfiguration. Details to be studied. 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3: Methods to perform early synchronization without source gNB’s involvement is to be studied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Proposal 4: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S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upport transfer of TA for each candidate cell either through source and/or through candidate/target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5: Mechanism to activate/deactivate TCI states is to be studied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Proposal 6: Decision to be  made at the UE regarding the target cell, 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and acquiring all the information that were previously coming in LTM cell switch command</w:t>
      </w: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 xml:space="preserve">. 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7: Target gNB to be indicated about the arrival of the UE so that it can further send the necessary information to the UE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 8: Validity of preambles, resources, TA etc are to be studied to ensure supporting SCLTM</w:t>
      </w:r>
    </w:p>
    <w:p>
      <w:pPr>
        <w:pStyle w:val="Normal"/>
        <w:numPr>
          <w:ilvl w:val="0"/>
          <w:numId w:val="2"/>
        </w:numPr>
        <w:pBdr>
          <w:bottom w:val="single" w:sz="4" w:space="1" w:color="000000"/>
        </w:pBdr>
        <w:spacing w:lineRule="auto" w:line="240"/>
        <w:rPr>
          <w:rFonts w:ascii="Times New Roman" w:hAnsi="Times New Roman" w:cs="Times New Roman"/>
          <w:b/>
          <w:b/>
          <w:bCs/>
          <w:color w:val="000000" w:themeColor="text1"/>
          <w:szCs w:val="20"/>
        </w:rPr>
      </w:pPr>
      <w:r>
        <w:rPr>
          <w:rFonts w:cs="Times New Roman" w:ascii="Times New Roman" w:hAnsi="Times New Roman"/>
          <w:b/>
          <w:bCs/>
          <w:color w:val="000000" w:themeColor="text1"/>
          <w:szCs w:val="20"/>
        </w:rPr>
        <w:t>Proposal 9: Inter-operability of LTM, SLTM, CLTM and SCLTM to be studied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SimSu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ulim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vertAlign w:val="baseline"/>
        <w:position w:val="0"/>
        <w:sz w:val="28"/>
        <w:sz w:val="28"/>
        <w:i w:val="false"/>
        <w:b/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vertAlign w:val="baseline"/>
        <w:position w:val="0"/>
        <w:sz w:val="28"/>
        <w:sz w:val="28"/>
        <w:i w:val="false"/>
        <w:b/>
        <w:szCs w:val="24"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vertAlign w:val="baseline"/>
        <w:position w:val="0"/>
        <w:sz w:val="22"/>
        <w:sz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vertAlign w:val="baseline"/>
        <w:position w:val="0"/>
        <w:sz w:val="22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vertAlign w:val="baseline"/>
        <w:position w:val="0"/>
        <w:sz w:val="22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vertAlign w:val="baseline"/>
        <w:position w:val="0"/>
        <w:sz w:val="22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vertAlign w:val="baseline"/>
        <w:position w:val="0"/>
        <w:sz w:val="22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vertAlign w:val="baseline"/>
        <w:position w:val="0"/>
        <w:sz w:val="22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vertAlign w:val="baseline"/>
        <w:position w:val="0"/>
        <w:sz w:val="22"/>
        <w:sz w:val="22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ParagraphChar" w:customStyle="1">
    <w:name w:val="List Paragraph Char"/>
    <w:link w:val="ListParagraph"/>
    <w:uiPriority w:val="34"/>
    <w:qFormat/>
    <w:locked/>
    <w:rsid w:val="00737882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8b469d"/>
    <w:rPr>
      <w:rFonts w:ascii="Segoe UI" w:hAnsi="Segoe UI" w:cs="Segoe UI"/>
      <w:sz w:val="18"/>
      <w:szCs w:val="18"/>
    </w:rPr>
  </w:style>
  <w:style w:type="character" w:styleId="Listauto1Char" w:customStyle="1">
    <w:name w:val="list auto 1 Char"/>
    <w:qFormat/>
    <w:locked/>
    <w:rsid w:val="00fe2463"/>
    <w:rPr>
      <w:rFonts w:ascii="SimSun" w:hAnsi="SimSun" w:eastAsia="SimSun"/>
      <w:b/>
      <w:bCs/>
    </w:rPr>
  </w:style>
  <w:style w:type="character" w:styleId="HeaderChar" w:customStyle="1">
    <w:name w:val="Header Char"/>
    <w:basedOn w:val="DefaultParagraphFont"/>
    <w:link w:val="Header"/>
    <w:uiPriority w:val="99"/>
    <w:qFormat/>
    <w:rsid w:val="00c41c88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c41c88"/>
    <w:rPr/>
  </w:style>
  <w:style w:type="character" w:styleId="PlaceholderText">
    <w:name w:val="Placeholder Text"/>
    <w:basedOn w:val="DefaultParagraphFont"/>
    <w:uiPriority w:val="99"/>
    <w:semiHidden/>
    <w:qFormat/>
    <w:rsid w:val="00a22474"/>
    <w:rPr>
      <w:color w:val="808080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b1e96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b469d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Listauto1" w:customStyle="1">
    <w:name w:val="list auto 1"/>
    <w:basedOn w:val="Normal"/>
    <w:qFormat/>
    <w:rsid w:val="00fe2463"/>
    <w:pPr>
      <w:spacing w:before="0" w:after="0"/>
      <w:contextualSpacing/>
      <w:jc w:val="both"/>
    </w:pPr>
    <w:rPr>
      <w:rFonts w:ascii="SimSun" w:hAnsi="SimSun" w:eastAsia="SimSun"/>
      <w:b/>
      <w:bCs/>
    </w:rPr>
  </w:style>
  <w:style w:type="paragraph" w:styleId="Listauto2" w:customStyle="1">
    <w:name w:val="list auto 2"/>
    <w:basedOn w:val="Normal"/>
    <w:uiPriority w:val="99"/>
    <w:qFormat/>
    <w:rsid w:val="00fe2463"/>
    <w:pPr>
      <w:spacing w:before="0" w:after="0"/>
      <w:ind w:left="990" w:hanging="540"/>
      <w:contextualSpacing/>
      <w:jc w:val="both"/>
    </w:pPr>
    <w:rPr>
      <w:rFonts w:ascii="SimSun" w:hAnsi="SimSun" w:eastAsia="SimSun" w:cs="Times New Roman"/>
      <w:b/>
      <w:bCs/>
      <w:lang w:val="en-U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c41c88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c41c88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Mcp" w:customStyle="1">
    <w:name w:val="mc-p___"/>
    <w:basedOn w:val="Normal"/>
    <w:uiPriority w:val="99"/>
    <w:qFormat/>
    <w:rsid w:val="00ba535d"/>
    <w:pPr>
      <w:spacing w:lineRule="auto" w:line="240" w:beforeAutospacing="1" w:afterAutospacing="1"/>
    </w:pPr>
    <w:rPr>
      <w:rFonts w:ascii="Gulim" w:hAnsi="Gulim" w:eastAsia="Gulim" w:cs="Calibri"/>
      <w:sz w:val="24"/>
      <w:szCs w:val="24"/>
      <w:lang w:val="en-US"/>
    </w:rPr>
  </w:style>
  <w:style w:type="paragraph" w:styleId="Default" w:customStyle="1">
    <w:name w:val="Default"/>
    <w:qFormat/>
    <w:rsid w:val="00ad1e30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en-US" w:eastAsia="en-US" w:bidi="ar-SA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Application>LibreOffice/7.3.7.2$Linux_X86_64 LibreOffice_project/30$Build-2</Application>
  <AppVersion>15.0000</AppVersion>
  <Pages>6</Pages>
  <Words>1021</Words>
  <Characters>5211</Characters>
  <CharactersWithSpaces>6215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2022-04-05T12:35:00Z</dcterms:created>
  <dc:creator>Dhivagar B</dc:creator>
  <dc:description/>
  <dc:language>en-IN</dc:language>
  <cp:lastModifiedBy/>
  <dcterms:modified xsi:type="dcterms:W3CDTF">2024-09-02T16:46:31Z</dcterms:modified>
  <cp:revision>473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