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overflowPunct/>
        <w:autoSpaceDE/>
        <w:autoSpaceDN/>
        <w:adjustRightInd/>
        <w:spacing w:after="200" w:line="276" w:lineRule="auto"/>
        <w:textAlignment w:val="auto"/>
        <w:rPr>
          <w:rFonts w:ascii="Arial" w:hAnsi="Arial" w:cs="Arial"/>
        </w:rPr>
      </w:pPr>
      <w:bookmarkStart w:id="0" w:name="_GoBack"/>
      <w:bookmarkEnd w:id="0"/>
    </w:p>
    <w:p>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trPr>
          <w:trHeight w:val="137"/>
        </w:trPr>
        <w:tc>
          <w:tcPr>
            <w:tcW w:w="9782" w:type="dxa"/>
            <w:gridSpan w:val="2"/>
            <w:tcBorders>
              <w:top w:val="nil"/>
              <w:left w:val="nil"/>
              <w:bottom w:val="single" w:sz="4" w:space="0" w:color="auto"/>
              <w:right w:val="nil"/>
            </w:tcBorders>
          </w:tcPr>
          <w:p>
            <w:pPr>
              <w:ind w:left="57"/>
              <w:jc w:val="center"/>
              <w:outlineLvl w:val="0"/>
              <w:rPr>
                <w:rFonts w:cs="Arial"/>
                <w:b/>
                <w:color w:val="0000FF"/>
                <w:sz w:val="16"/>
                <w:szCs w:val="16"/>
              </w:rPr>
            </w:pPr>
            <w:r>
              <w:rPr>
                <w:rFonts w:ascii="Arial" w:hAnsi="Arial" w:cs="Arial"/>
                <w:b/>
                <w:smallCaps/>
                <w:sz w:val="36"/>
                <w:szCs w:val="40"/>
              </w:rPr>
              <w:t>Liaison Statement</w:t>
            </w:r>
          </w:p>
        </w:tc>
      </w:tr>
      <w:tr>
        <w:tc>
          <w:tcPr>
            <w:tcW w:w="2152" w:type="dxa"/>
            <w:tcBorders>
              <w:top w:val="single" w:sz="4" w:space="0" w:color="auto"/>
              <w:left w:val="nil"/>
              <w:bottom w:val="nil"/>
              <w:right w:val="nil"/>
            </w:tcBorders>
          </w:tcPr>
          <w:p>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pPr>
              <w:ind w:left="57"/>
              <w:rPr>
                <w:rFonts w:ascii="Arial" w:hAnsi="Arial" w:cs="Arial"/>
                <w:sz w:val="36"/>
                <w:szCs w:val="24"/>
              </w:rPr>
            </w:pPr>
            <w:r>
              <w:rPr>
                <w:rFonts w:ascii="Arial" w:hAnsi="Arial" w:cs="Arial"/>
                <w:sz w:val="36"/>
                <w:szCs w:val="24"/>
              </w:rPr>
              <w:t>LS to 3GPP RAN WG4 on Release 15 of the IMT harmonised standard</w:t>
            </w:r>
          </w:p>
        </w:tc>
      </w:tr>
      <w:tr>
        <w:tc>
          <w:tcPr>
            <w:tcW w:w="2152" w:type="dxa"/>
            <w:tcBorders>
              <w:top w:val="nil"/>
              <w:left w:val="nil"/>
              <w:bottom w:val="nil"/>
              <w:right w:val="nil"/>
            </w:tcBorders>
          </w:tcPr>
          <w:p>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vAlign w:val="bottom"/>
          </w:tcPr>
          <w:p>
            <w:pPr>
              <w:ind w:left="57"/>
              <w:rPr>
                <w:rFonts w:ascii="Arial" w:hAnsi="Arial" w:cs="Arial"/>
              </w:rPr>
            </w:pPr>
            <w:r>
              <w:rPr>
                <w:rFonts w:ascii="Arial" w:hAnsi="Arial" w:cs="Arial"/>
              </w:rPr>
              <w:t>2020-09-11</w:t>
            </w:r>
          </w:p>
        </w:tc>
      </w:tr>
      <w:tr>
        <w:trPr>
          <w:trHeight w:val="140"/>
        </w:trPr>
        <w:tc>
          <w:tcPr>
            <w:tcW w:w="2152" w:type="dxa"/>
            <w:tcBorders>
              <w:top w:val="nil"/>
              <w:left w:val="nil"/>
              <w:bottom w:val="nil"/>
              <w:right w:val="nil"/>
            </w:tcBorders>
            <w:vAlign w:val="center"/>
          </w:tcPr>
          <w:p>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pPr>
              <w:ind w:left="57"/>
              <w:rPr>
                <w:rFonts w:ascii="Arial" w:hAnsi="Arial" w:cs="Arial"/>
                <w:sz w:val="16"/>
              </w:rPr>
            </w:pPr>
          </w:p>
        </w:tc>
      </w:tr>
      <w:tr>
        <w:tc>
          <w:tcPr>
            <w:tcW w:w="2152" w:type="dxa"/>
            <w:tcBorders>
              <w:top w:val="nil"/>
              <w:left w:val="nil"/>
              <w:bottom w:val="nil"/>
              <w:right w:val="nil"/>
            </w:tcBorders>
            <w:vAlign w:val="center"/>
          </w:tcPr>
          <w:p>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pPr>
              <w:ind w:left="57"/>
              <w:rPr>
                <w:rFonts w:ascii="Arial" w:hAnsi="Arial" w:cs="Arial"/>
                <w:sz w:val="28"/>
                <w:szCs w:val="28"/>
              </w:rPr>
            </w:pPr>
            <w:r>
              <w:rPr>
                <w:rFonts w:ascii="Arial" w:hAnsi="Arial" w:cs="Arial"/>
                <w:color w:val="0000FF"/>
                <w:sz w:val="24"/>
                <w:lang w:val="de-DE"/>
              </w:rPr>
              <w:t xml:space="preserve">MSG TFES (Mr. Dominique Everaere, </w:t>
            </w:r>
            <w:hyperlink r:id="rId11" w:history="1">
              <w:r>
                <w:rPr>
                  <w:rStyle w:val="Hyperlink"/>
                  <w:rFonts w:ascii="Arial" w:hAnsi="Arial" w:cs="Arial"/>
                  <w:sz w:val="24"/>
                  <w:lang w:val="de-DE"/>
                </w:rPr>
                <w:t>dominique.everaere@ericsson.com</w:t>
              </w:r>
            </w:hyperlink>
            <w:r>
              <w:rPr>
                <w:rFonts w:ascii="Arial" w:hAnsi="Arial" w:cs="Arial"/>
                <w:color w:val="0000FF"/>
                <w:sz w:val="24"/>
                <w:lang w:val="de-DE"/>
              </w:rPr>
              <w:t>)</w:t>
            </w:r>
          </w:p>
        </w:tc>
      </w:tr>
      <w:tr>
        <w:tc>
          <w:tcPr>
            <w:tcW w:w="2152" w:type="dxa"/>
            <w:tcBorders>
              <w:top w:val="nil"/>
              <w:left w:val="nil"/>
              <w:bottom w:val="nil"/>
              <w:right w:val="nil"/>
            </w:tcBorders>
            <w:vAlign w:val="center"/>
          </w:tcPr>
          <w:p>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pPr>
              <w:ind w:left="57"/>
              <w:rPr>
                <w:rFonts w:ascii="Arial" w:hAnsi="Arial" w:cs="Arial"/>
                <w:sz w:val="24"/>
                <w:lang w:val="it-IT"/>
              </w:rPr>
            </w:pPr>
            <w:r>
              <w:rPr>
                <w:rFonts w:ascii="Arial" w:hAnsi="Arial" w:cs="Arial"/>
                <w:color w:val="0000FF"/>
                <w:lang w:val="it-IT"/>
              </w:rPr>
              <w:t>Mr. Guillermo Vietti (</w:t>
            </w:r>
            <w:hyperlink r:id="rId12" w:history="1">
              <w:r>
                <w:rPr>
                  <w:rStyle w:val="Hyperlink"/>
                  <w:rFonts w:ascii="Arial" w:hAnsi="Arial" w:cs="Arial"/>
                  <w:lang w:val="it-IT"/>
                </w:rPr>
                <w:t>Guillermo.Vietti@etsi.org</w:t>
              </w:r>
            </w:hyperlink>
            <w:r>
              <w:rPr>
                <w:rFonts w:ascii="Arial" w:hAnsi="Arial" w:cs="Arial"/>
                <w:color w:val="0000FF"/>
                <w:lang w:val="it-IT"/>
              </w:rPr>
              <w:t>;</w:t>
            </w:r>
            <w:r>
              <w:rPr>
                <w:rStyle w:val="Hyperlink"/>
                <w:rFonts w:ascii="Arial" w:hAnsi="Arial" w:cs="Arial"/>
                <w:lang w:val="it-IT"/>
              </w:rPr>
              <w:t>MSGTFESsupport@etsi.org</w:t>
            </w:r>
            <w:r>
              <w:rPr>
                <w:rFonts w:ascii="Arial" w:hAnsi="Arial" w:cs="Arial"/>
                <w:color w:val="0000FF"/>
                <w:lang w:val="it-IT"/>
              </w:rPr>
              <w:t xml:space="preserve">) </w:t>
            </w:r>
          </w:p>
        </w:tc>
      </w:tr>
      <w:tr>
        <w:tc>
          <w:tcPr>
            <w:tcW w:w="2152" w:type="dxa"/>
            <w:tcBorders>
              <w:top w:val="nil"/>
              <w:left w:val="nil"/>
              <w:bottom w:val="nil"/>
              <w:right w:val="nil"/>
            </w:tcBorders>
            <w:vAlign w:val="center"/>
          </w:tcPr>
          <w:p>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pPr>
              <w:ind w:left="57"/>
              <w:rPr>
                <w:rFonts w:ascii="Arial" w:hAnsi="Arial" w:cs="Arial"/>
                <w:sz w:val="24"/>
                <w:lang w:val="it-IT"/>
              </w:rPr>
            </w:pPr>
          </w:p>
        </w:tc>
      </w:tr>
      <w:tr>
        <w:tc>
          <w:tcPr>
            <w:tcW w:w="2152" w:type="dxa"/>
            <w:tcBorders>
              <w:top w:val="nil"/>
              <w:left w:val="nil"/>
              <w:bottom w:val="nil"/>
              <w:right w:val="nil"/>
            </w:tcBorders>
          </w:tcPr>
          <w:p>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pPr>
              <w:rPr>
                <w:rFonts w:ascii="Arial" w:hAnsi="Arial" w:cs="Arial"/>
                <w:color w:val="0000FF"/>
                <w:sz w:val="24"/>
                <w:szCs w:val="18"/>
              </w:rPr>
            </w:pPr>
            <w:r>
              <w:rPr>
                <w:rFonts w:ascii="Arial" w:hAnsi="Arial" w:cs="Arial"/>
                <w:color w:val="0000FF"/>
                <w:sz w:val="24"/>
                <w:szCs w:val="18"/>
              </w:rPr>
              <w:t xml:space="preserve">3GPP RAN WG4 (Mr. Steven Chen, </w:t>
            </w:r>
            <w:hyperlink r:id="rId13" w:history="1">
              <w:r>
                <w:rPr>
                  <w:rStyle w:val="Hyperlink"/>
                  <w:sz w:val="24"/>
                  <w:szCs w:val="24"/>
                </w:rPr>
                <w:t>steven.x.chen@apple.com</w:t>
              </w:r>
            </w:hyperlink>
            <w:r>
              <w:t xml:space="preserve"> </w:t>
            </w:r>
            <w:r>
              <w:rPr>
                <w:rFonts w:ascii="Arial" w:hAnsi="Arial" w:cs="Arial"/>
                <w:color w:val="0000FF"/>
                <w:sz w:val="24"/>
                <w:szCs w:val="18"/>
              </w:rPr>
              <w:t>)</w:t>
            </w:r>
          </w:p>
          <w:p>
            <w:pPr>
              <w:tabs>
                <w:tab w:val="left" w:pos="4891"/>
              </w:tabs>
              <w:ind w:left="57"/>
              <w:rPr>
                <w:rFonts w:ascii="Arial" w:hAnsi="Arial" w:cs="Arial"/>
                <w:sz w:val="28"/>
              </w:rPr>
            </w:pPr>
          </w:p>
        </w:tc>
      </w:tr>
      <w:tr>
        <w:tc>
          <w:tcPr>
            <w:tcW w:w="2152" w:type="dxa"/>
            <w:tcBorders>
              <w:top w:val="nil"/>
              <w:left w:val="nil"/>
              <w:bottom w:val="nil"/>
              <w:right w:val="nil"/>
            </w:tcBorders>
          </w:tcPr>
          <w:p>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vAlign w:val="center"/>
          </w:tcPr>
          <w:p>
            <w:pPr>
              <w:ind w:left="57"/>
              <w:rPr>
                <w:rFonts w:ascii="Arial" w:hAnsi="Arial" w:cs="Arial"/>
                <w:sz w:val="24"/>
                <w:szCs w:val="24"/>
              </w:rPr>
            </w:pPr>
            <w:r>
              <w:rPr>
                <w:rFonts w:ascii="Arial" w:hAnsi="Arial" w:cs="Arial"/>
                <w:color w:val="0000FF"/>
                <w:sz w:val="24"/>
                <w:szCs w:val="28"/>
                <w:lang w:val="de-DE"/>
              </w:rPr>
              <w:t xml:space="preserve">TC ERM (Mr. Holger </w:t>
            </w:r>
            <w:proofErr w:type="spellStart"/>
            <w:r>
              <w:rPr>
                <w:rFonts w:ascii="Arial" w:hAnsi="Arial" w:cs="Arial"/>
                <w:color w:val="0000FF"/>
                <w:sz w:val="24"/>
                <w:szCs w:val="28"/>
                <w:lang w:val="de-DE"/>
              </w:rPr>
              <w:t>Butscheidt</w:t>
            </w:r>
            <w:proofErr w:type="spellEnd"/>
            <w:r>
              <w:rPr>
                <w:rFonts w:ascii="Arial" w:hAnsi="Arial" w:cs="Arial"/>
                <w:color w:val="0000FF"/>
                <w:sz w:val="24"/>
                <w:szCs w:val="28"/>
                <w:lang w:val="de-DE"/>
              </w:rPr>
              <w:t xml:space="preserve">, </w:t>
            </w:r>
            <w:hyperlink r:id="rId14" w:history="1">
              <w:r>
                <w:rPr>
                  <w:rStyle w:val="Hyperlink"/>
                  <w:rFonts w:ascii="Arial" w:hAnsi="Arial" w:cs="Arial"/>
                  <w:sz w:val="24"/>
                  <w:szCs w:val="28"/>
                  <w:lang w:val="de-DE"/>
                </w:rPr>
                <w:t>holger.butscheidt@bnetza.de</w:t>
              </w:r>
            </w:hyperlink>
            <w:r>
              <w:rPr>
                <w:rFonts w:ascii="Arial" w:hAnsi="Arial" w:cs="Arial"/>
                <w:color w:val="0000FF"/>
                <w:sz w:val="24"/>
                <w:szCs w:val="28"/>
                <w:lang w:val="de-DE"/>
              </w:rPr>
              <w:t xml:space="preserve">) </w:t>
            </w:r>
          </w:p>
        </w:tc>
      </w:tr>
      <w:tr>
        <w:tc>
          <w:tcPr>
            <w:tcW w:w="2152" w:type="dxa"/>
            <w:tcBorders>
              <w:top w:val="nil"/>
              <w:left w:val="nil"/>
              <w:bottom w:val="nil"/>
              <w:right w:val="nil"/>
            </w:tcBorders>
          </w:tcPr>
          <w:p>
            <w:pPr>
              <w:tabs>
                <w:tab w:val="left" w:pos="1701"/>
              </w:tabs>
              <w:ind w:left="57"/>
              <w:jc w:val="right"/>
              <w:rPr>
                <w:rFonts w:asciiTheme="minorHAnsi" w:hAnsiTheme="minorHAnsi" w:cstheme="minorHAnsi"/>
                <w:b/>
                <w:sz w:val="24"/>
                <w:szCs w:val="24"/>
              </w:rPr>
            </w:pPr>
          </w:p>
        </w:tc>
        <w:tc>
          <w:tcPr>
            <w:tcW w:w="7630" w:type="dxa"/>
            <w:tcBorders>
              <w:top w:val="nil"/>
              <w:left w:val="nil"/>
              <w:bottom w:val="nil"/>
              <w:right w:val="nil"/>
            </w:tcBorders>
            <w:vAlign w:val="center"/>
          </w:tcPr>
          <w:p>
            <w:pPr>
              <w:ind w:left="57"/>
              <w:rPr>
                <w:rFonts w:ascii="Arial" w:hAnsi="Arial" w:cs="Arial"/>
                <w:color w:val="0000FF"/>
                <w:sz w:val="24"/>
                <w:szCs w:val="24"/>
                <w:lang w:val="it-IT"/>
              </w:rPr>
            </w:pPr>
            <w:r>
              <w:rPr>
                <w:rFonts w:ascii="Arial" w:hAnsi="Arial" w:cs="Arial"/>
                <w:color w:val="0000FF"/>
                <w:lang w:val="it-IT"/>
              </w:rPr>
              <w:t>Marcello Pagnozzi (</w:t>
            </w:r>
            <w:hyperlink r:id="rId15" w:history="1">
              <w:r>
                <w:rPr>
                  <w:rStyle w:val="Hyperlink"/>
                  <w:rFonts w:ascii="Arial" w:hAnsi="Arial" w:cs="Arial"/>
                  <w:lang w:val="it-IT"/>
                </w:rPr>
                <w:t>Marcello.Pagnozzi@etsi.org</w:t>
              </w:r>
            </w:hyperlink>
            <w:r>
              <w:rPr>
                <w:rFonts w:ascii="Arial" w:hAnsi="Arial" w:cs="Arial"/>
                <w:color w:val="0000FF"/>
                <w:lang w:val="it-IT"/>
              </w:rPr>
              <w:t xml:space="preserve">); </w:t>
            </w:r>
            <w:hyperlink r:id="rId16" w:history="1">
              <w:r>
                <w:rPr>
                  <w:rStyle w:val="Hyperlink"/>
                  <w:rFonts w:ascii="Arial" w:hAnsi="Arial" w:cs="Arial"/>
                  <w:lang w:val="it-IT"/>
                </w:rPr>
                <w:t>ERMSupport@etsi.org</w:t>
              </w:r>
            </w:hyperlink>
            <w:r>
              <w:rPr>
                <w:rFonts w:ascii="Arial" w:hAnsi="Arial" w:cs="Arial"/>
                <w:color w:val="0000FF"/>
                <w:lang w:val="it-IT"/>
              </w:rPr>
              <w:t xml:space="preserve">) </w:t>
            </w:r>
          </w:p>
        </w:tc>
      </w:tr>
      <w:tr>
        <w:tc>
          <w:tcPr>
            <w:tcW w:w="2152" w:type="dxa"/>
            <w:tcBorders>
              <w:top w:val="nil"/>
              <w:left w:val="nil"/>
              <w:bottom w:val="nil"/>
              <w:right w:val="nil"/>
            </w:tcBorders>
          </w:tcPr>
          <w:p>
            <w:pPr>
              <w:tabs>
                <w:tab w:val="left" w:pos="1701"/>
              </w:tabs>
              <w:ind w:left="57"/>
              <w:jc w:val="right"/>
              <w:rPr>
                <w:rFonts w:asciiTheme="minorHAnsi" w:hAnsiTheme="minorHAnsi" w:cstheme="minorHAnsi"/>
                <w:b/>
                <w:sz w:val="24"/>
                <w:szCs w:val="24"/>
                <w:lang w:val="it-IT"/>
              </w:rPr>
            </w:pPr>
          </w:p>
        </w:tc>
        <w:tc>
          <w:tcPr>
            <w:tcW w:w="7630" w:type="dxa"/>
            <w:tcBorders>
              <w:top w:val="nil"/>
              <w:left w:val="nil"/>
              <w:bottom w:val="nil"/>
              <w:right w:val="nil"/>
            </w:tcBorders>
          </w:tcPr>
          <w:p>
            <w:pPr>
              <w:ind w:left="57"/>
              <w:rPr>
                <w:rFonts w:ascii="Arial" w:hAnsi="Arial" w:cs="Arial"/>
                <w:color w:val="0000FF"/>
                <w:sz w:val="24"/>
                <w:szCs w:val="24"/>
              </w:rPr>
            </w:pPr>
            <w:r>
              <w:rPr>
                <w:rFonts w:ascii="Arial" w:hAnsi="Arial" w:cs="Arial"/>
                <w:color w:val="0000FF"/>
                <w:sz w:val="24"/>
                <w:szCs w:val="24"/>
              </w:rPr>
              <w:t xml:space="preserve">3GPP TSG RAN (Mr. </w:t>
            </w:r>
            <w:proofErr w:type="spellStart"/>
            <w:r>
              <w:rPr>
                <w:rFonts w:ascii="Arial" w:hAnsi="Arial" w:cs="Arial"/>
                <w:color w:val="0000FF"/>
                <w:sz w:val="24"/>
                <w:szCs w:val="24"/>
              </w:rPr>
              <w:t>Balazs</w:t>
            </w:r>
            <w:proofErr w:type="spellEnd"/>
            <w:r>
              <w:rPr>
                <w:rFonts w:ascii="Arial" w:hAnsi="Arial" w:cs="Arial"/>
                <w:color w:val="0000FF"/>
                <w:sz w:val="24"/>
                <w:szCs w:val="24"/>
              </w:rPr>
              <w:t xml:space="preserve"> </w:t>
            </w:r>
            <w:proofErr w:type="spellStart"/>
            <w:r>
              <w:rPr>
                <w:rFonts w:ascii="Arial" w:hAnsi="Arial" w:cs="Arial"/>
                <w:color w:val="0000FF"/>
                <w:sz w:val="24"/>
                <w:szCs w:val="24"/>
              </w:rPr>
              <w:t>Bertenyi</w:t>
            </w:r>
            <w:proofErr w:type="spellEnd"/>
            <w:r>
              <w:rPr>
                <w:rFonts w:ascii="Arial" w:hAnsi="Arial" w:cs="Arial"/>
                <w:color w:val="0000FF"/>
                <w:sz w:val="24"/>
                <w:szCs w:val="24"/>
              </w:rPr>
              <w:t xml:space="preserve">, </w:t>
            </w:r>
            <w:hyperlink r:id="rId17" w:history="1">
              <w:r>
                <w:rPr>
                  <w:rStyle w:val="Hyperlink"/>
                  <w:sz w:val="24"/>
                  <w:szCs w:val="24"/>
                </w:rPr>
                <w:t>balazs.bertenyi@nokia.com</w:t>
              </w:r>
            </w:hyperlink>
            <w:r>
              <w:rPr>
                <w:rStyle w:val="Hyperlink"/>
                <w:sz w:val="24"/>
                <w:szCs w:val="24"/>
              </w:rPr>
              <w:t xml:space="preserve">, </w:t>
            </w:r>
            <w:hyperlink r:id="rId18" w:history="1">
              <w:r>
                <w:rPr>
                  <w:rStyle w:val="Hyperlink"/>
                </w:rPr>
                <w:t>3GPPLiaison@etsi.org</w:t>
              </w:r>
            </w:hyperlink>
            <w:r>
              <w:t>)</w:t>
            </w:r>
          </w:p>
        </w:tc>
      </w:tr>
      <w:tr>
        <w:tc>
          <w:tcPr>
            <w:tcW w:w="2152" w:type="dxa"/>
            <w:tcBorders>
              <w:top w:val="nil"/>
              <w:left w:val="nil"/>
              <w:bottom w:val="nil"/>
              <w:right w:val="nil"/>
            </w:tcBorders>
          </w:tcPr>
          <w:p>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pPr>
              <w:ind w:left="57"/>
              <w:rPr>
                <w:rFonts w:ascii="Arial" w:hAnsi="Arial" w:cs="Arial"/>
                <w:sz w:val="16"/>
              </w:rPr>
            </w:pPr>
          </w:p>
        </w:tc>
      </w:tr>
      <w:tr>
        <w:tc>
          <w:tcPr>
            <w:tcW w:w="2152" w:type="dxa"/>
            <w:tcBorders>
              <w:top w:val="nil"/>
              <w:left w:val="nil"/>
              <w:bottom w:val="nil"/>
              <w:right w:val="nil"/>
            </w:tcBorders>
            <w:vAlign w:val="center"/>
          </w:tcPr>
          <w:p>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pPr>
              <w:ind w:left="57"/>
              <w:rPr>
                <w:rFonts w:ascii="Arial" w:hAnsi="Arial" w:cs="Arial"/>
                <w:color w:val="0000FF"/>
              </w:rPr>
            </w:pPr>
            <w:r>
              <w:rPr>
                <w:rFonts w:ascii="Arial" w:hAnsi="Arial" w:cs="Arial"/>
                <w:color w:val="0000FF"/>
              </w:rPr>
              <w:t>-</w:t>
            </w:r>
          </w:p>
        </w:tc>
      </w:tr>
      <w:tr>
        <w:tc>
          <w:tcPr>
            <w:tcW w:w="2152" w:type="dxa"/>
            <w:tcBorders>
              <w:top w:val="nil"/>
              <w:left w:val="nil"/>
              <w:bottom w:val="nil"/>
              <w:right w:val="nil"/>
            </w:tcBorders>
          </w:tcPr>
          <w:p>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pPr>
              <w:ind w:left="57"/>
              <w:rPr>
                <w:rFonts w:ascii="Arial" w:hAnsi="Arial" w:cs="Arial"/>
                <w:sz w:val="16"/>
              </w:rPr>
            </w:pPr>
          </w:p>
        </w:tc>
      </w:tr>
      <w:tr>
        <w:tc>
          <w:tcPr>
            <w:tcW w:w="9782" w:type="dxa"/>
            <w:gridSpan w:val="2"/>
            <w:tcBorders>
              <w:top w:val="nil"/>
              <w:left w:val="nil"/>
              <w:bottom w:val="single" w:sz="4" w:space="0" w:color="000000"/>
              <w:right w:val="nil"/>
            </w:tcBorders>
          </w:tcPr>
          <w:p>
            <w:pPr>
              <w:tabs>
                <w:tab w:val="left" w:pos="1701"/>
              </w:tabs>
              <w:ind w:left="57" w:firstLine="249"/>
              <w:rPr>
                <w:sz w:val="16"/>
                <w:szCs w:val="16"/>
              </w:rPr>
            </w:pPr>
          </w:p>
        </w:tc>
      </w:tr>
    </w:tbl>
    <w:p/>
    <w:p>
      <w:pPr>
        <w:spacing w:after="120"/>
        <w:rPr>
          <w:rFonts w:ascii="Arial" w:hAnsi="Arial" w:cs="Arial"/>
          <w:b/>
        </w:rPr>
      </w:pPr>
      <w:r>
        <w:rPr>
          <w:rFonts w:ascii="Arial" w:hAnsi="Arial" w:cs="Arial"/>
          <w:b/>
        </w:rPr>
        <w:t>1. Overall description:</w:t>
      </w:r>
    </w:p>
    <w:p>
      <w:pPr>
        <w:rPr>
          <w:rFonts w:ascii="Arial" w:hAnsi="Arial" w:cs="Arial"/>
          <w:bCs/>
        </w:rPr>
      </w:pPr>
      <w:r>
        <w:rPr>
          <w:rFonts w:ascii="Arial" w:hAnsi="Arial" w:cs="Arial"/>
          <w:bCs/>
        </w:rPr>
        <w:t>ETSI MSG TFES is in the process of completing Release 15 of the European Harmonised Standard for IMT Cellular networks (EN 301 908), corresponding to 3GPP Release 15. In this process, requirements are reviewed, and some requirements may be adjusted to align with the latest European regulation and spectrum use. MSG TFES would like to make RAN WG4 aware of the following two updates made to EN 301 908:</w:t>
      </w:r>
    </w:p>
    <w:p>
      <w:pPr>
        <w:pStyle w:val="ListParagraph"/>
        <w:numPr>
          <w:ilvl w:val="0"/>
          <w:numId w:val="25"/>
        </w:numPr>
        <w:spacing w:before="120"/>
        <w:ind w:left="714" w:hanging="357"/>
        <w:contextualSpacing w:val="0"/>
        <w:rPr>
          <w:rFonts w:ascii="Arial" w:hAnsi="Arial" w:cs="Arial"/>
          <w:bCs/>
        </w:rPr>
      </w:pPr>
      <w:r>
        <w:rPr>
          <w:rFonts w:ascii="Arial" w:hAnsi="Arial" w:cs="Arial"/>
          <w:b/>
        </w:rPr>
        <w:t>Band n257:</w:t>
      </w:r>
      <w:r>
        <w:rPr>
          <w:rFonts w:ascii="Arial" w:hAnsi="Arial" w:cs="Arial"/>
          <w:bCs/>
        </w:rPr>
        <w:t xml:space="preserve"> Support for operation in Band n257 is introduced in the European harmonised standard, in order to facilitate roaming of Band n257 UEs in Europe. Operation in Europe will be limited to the frequency range 26.5 – 27.5 GHz.</w:t>
      </w:r>
    </w:p>
    <w:p>
      <w:pPr>
        <w:pStyle w:val="ListParagraph"/>
        <w:numPr>
          <w:ilvl w:val="0"/>
          <w:numId w:val="25"/>
        </w:numPr>
        <w:spacing w:before="120"/>
        <w:ind w:left="714" w:hanging="357"/>
        <w:contextualSpacing w:val="0"/>
        <w:rPr>
          <w:rFonts w:ascii="Arial" w:hAnsi="Arial" w:cs="Arial"/>
          <w:bCs/>
        </w:rPr>
      </w:pPr>
      <w:r>
        <w:rPr>
          <w:rFonts w:ascii="Arial" w:hAnsi="Arial" w:cs="Arial"/>
          <w:b/>
        </w:rPr>
        <w:t>Additional limit for Band 1 operation</w:t>
      </w:r>
      <w:r>
        <w:rPr>
          <w:rFonts w:ascii="Arial" w:hAnsi="Arial" w:cs="Arial"/>
          <w:bCs/>
        </w:rPr>
        <w:t>: One of the Base Station transmitter requirements in EN 301 908 for operation in Band 1 (2110 – 2170 MHz downlink) is an additional limit being part of the unwanted emissions, providing a “slope” in the region 5-10 MHz outside the operating band. It has in previous releases been documented as follows in the different EN 301 908 parts:</w:t>
      </w:r>
    </w:p>
    <w:p>
      <w:pPr>
        <w:numPr>
          <w:ilvl w:val="1"/>
          <w:numId w:val="25"/>
        </w:numPr>
        <w:tabs>
          <w:tab w:val="left" w:pos="709"/>
          <w:tab w:val="left" w:pos="3261"/>
        </w:tabs>
        <w:overflowPunct/>
        <w:autoSpaceDE/>
        <w:autoSpaceDN/>
        <w:adjustRightInd/>
        <w:spacing w:before="120"/>
        <w:textAlignment w:val="auto"/>
        <w:rPr>
          <w:rFonts w:ascii="Arial" w:hAnsi="Arial"/>
          <w:lang w:val="en-US"/>
        </w:rPr>
      </w:pPr>
      <w:r>
        <w:rPr>
          <w:rFonts w:ascii="Arial" w:hAnsi="Arial"/>
          <w:lang w:val="en-US"/>
        </w:rPr>
        <w:t>Part 3 (UTRA BS):</w:t>
      </w:r>
      <w:r>
        <w:rPr>
          <w:rFonts w:ascii="Arial" w:hAnsi="Arial"/>
          <w:lang w:val="en-US"/>
        </w:rPr>
        <w:tab/>
        <w:t>4.2.4.2.3 Co-existence with services in adjacent frequency bands</w:t>
      </w:r>
    </w:p>
    <w:p>
      <w:pPr>
        <w:numPr>
          <w:ilvl w:val="1"/>
          <w:numId w:val="25"/>
        </w:numPr>
        <w:tabs>
          <w:tab w:val="left" w:pos="709"/>
          <w:tab w:val="left" w:pos="3261"/>
        </w:tabs>
        <w:overflowPunct/>
        <w:autoSpaceDE/>
        <w:autoSpaceDN/>
        <w:adjustRightInd/>
        <w:spacing w:before="120"/>
        <w:textAlignment w:val="auto"/>
        <w:rPr>
          <w:rFonts w:ascii="Arial" w:hAnsi="Arial"/>
          <w:lang w:val="en-US"/>
        </w:rPr>
      </w:pPr>
      <w:r>
        <w:rPr>
          <w:rFonts w:ascii="Arial" w:hAnsi="Arial"/>
          <w:lang w:val="en-US"/>
        </w:rPr>
        <w:t>Part 14 (LTE BS):</w:t>
      </w:r>
      <w:r>
        <w:rPr>
          <w:rFonts w:ascii="Arial" w:hAnsi="Arial"/>
          <w:lang w:val="en-US"/>
        </w:rPr>
        <w:tab/>
        <w:t>4.2.2.2.7 Limits for protection of adjacent band services</w:t>
      </w:r>
    </w:p>
    <w:p>
      <w:pPr>
        <w:numPr>
          <w:ilvl w:val="1"/>
          <w:numId w:val="25"/>
        </w:numPr>
        <w:tabs>
          <w:tab w:val="left" w:pos="709"/>
          <w:tab w:val="left" w:pos="3261"/>
        </w:tabs>
        <w:overflowPunct/>
        <w:autoSpaceDE/>
        <w:autoSpaceDN/>
        <w:adjustRightInd/>
        <w:spacing w:before="120"/>
        <w:textAlignment w:val="auto"/>
        <w:rPr>
          <w:rFonts w:ascii="Arial" w:hAnsi="Arial"/>
          <w:lang w:val="en-US"/>
        </w:rPr>
      </w:pPr>
      <w:r>
        <w:rPr>
          <w:rFonts w:ascii="Arial" w:hAnsi="Arial"/>
          <w:lang w:val="en-US"/>
        </w:rPr>
        <w:t>Part 18 (MSR BS):</w:t>
      </w:r>
      <w:r>
        <w:rPr>
          <w:rFonts w:ascii="Arial" w:hAnsi="Arial"/>
        </w:rPr>
        <w:t xml:space="preserve"> </w:t>
      </w:r>
      <w:r>
        <w:rPr>
          <w:rFonts w:ascii="Arial" w:hAnsi="Arial"/>
        </w:rPr>
        <w:tab/>
      </w:r>
      <w:r>
        <w:rPr>
          <w:rFonts w:ascii="Arial" w:hAnsi="Arial"/>
          <w:lang w:val="en-US"/>
        </w:rPr>
        <w:t>4.2.2.2.5 Limits for co-existence with services in adjacent frequency bands</w:t>
      </w:r>
    </w:p>
    <w:p>
      <w:pPr>
        <w:tabs>
          <w:tab w:val="left" w:pos="709"/>
          <w:tab w:val="left" w:pos="1701"/>
        </w:tabs>
        <w:overflowPunct/>
        <w:autoSpaceDE/>
        <w:autoSpaceDN/>
        <w:adjustRightInd/>
        <w:spacing w:before="120"/>
        <w:ind w:left="720"/>
        <w:textAlignment w:val="auto"/>
        <w:rPr>
          <w:rFonts w:ascii="Arial" w:hAnsi="Arial"/>
          <w:lang w:val="en-US"/>
        </w:rPr>
      </w:pPr>
      <w:r>
        <w:rPr>
          <w:rFonts w:ascii="Arial" w:hAnsi="Arial"/>
          <w:lang w:val="en-US"/>
        </w:rPr>
        <w:t>ETSI MSG TFES has concluded (</w:t>
      </w:r>
      <w:hyperlink r:id="rId19" w:history="1">
        <w:r>
          <w:rPr>
            <w:rStyle w:val="Hyperlink"/>
            <w:rFonts w:ascii="Arial" w:hAnsi="Arial"/>
            <w:lang w:val="en-US"/>
          </w:rPr>
          <w:t>TFES(20)065014</w:t>
        </w:r>
      </w:hyperlink>
      <w:r>
        <w:rPr>
          <w:rFonts w:ascii="Arial" w:hAnsi="Arial"/>
          <w:lang w:val="en-US"/>
        </w:rPr>
        <w:t xml:space="preserve">) that the additional limit referred to above is not part of the ECC or EC regulation for operation in the bands 1920-1980 MHz and 2110-2170 </w:t>
      </w:r>
      <w:proofErr w:type="spellStart"/>
      <w:r>
        <w:rPr>
          <w:rFonts w:ascii="Arial" w:hAnsi="Arial"/>
          <w:lang w:val="en-US"/>
        </w:rPr>
        <w:t>MHz.</w:t>
      </w:r>
      <w:proofErr w:type="spellEnd"/>
      <w:r>
        <w:rPr>
          <w:rFonts w:ascii="Arial" w:hAnsi="Arial"/>
          <w:lang w:val="en-US"/>
        </w:rPr>
        <w:t xml:space="preserve"> This view has been confirmed through an LS exchange with ECC PT1 (</w:t>
      </w:r>
      <w:hyperlink r:id="rId20" w:history="1">
        <w:r>
          <w:rPr>
            <w:rStyle w:val="Hyperlink"/>
            <w:rFonts w:ascii="Arial" w:hAnsi="Arial"/>
            <w:lang w:val="en-US"/>
          </w:rPr>
          <w:t>TFES(20)000011</w:t>
        </w:r>
      </w:hyperlink>
      <w:r>
        <w:rPr>
          <w:rFonts w:ascii="Arial" w:hAnsi="Arial"/>
          <w:lang w:val="en-US"/>
        </w:rPr>
        <w:t xml:space="preserve">, ECC PT1 conclusion </w:t>
      </w:r>
      <w:hyperlink r:id="rId21" w:history="1">
        <w:r>
          <w:rPr>
            <w:rStyle w:val="Hyperlink"/>
            <w:rFonts w:ascii="Arial" w:hAnsi="Arial"/>
            <w:lang w:val="en-US"/>
          </w:rPr>
          <w:t>here</w:t>
        </w:r>
      </w:hyperlink>
      <w:r>
        <w:rPr>
          <w:rFonts w:ascii="Arial" w:hAnsi="Arial"/>
          <w:lang w:val="en-US"/>
        </w:rPr>
        <w:t>). The limit is therefore removed from the European Harmonized Standards for UTRA BS, LTE BS and MSR BS.</w:t>
      </w:r>
    </w:p>
    <w:p>
      <w:pPr>
        <w:rPr>
          <w:rFonts w:ascii="Arial" w:hAnsi="Arial" w:cs="Arial"/>
          <w:bCs/>
        </w:rPr>
      </w:pPr>
    </w:p>
    <w:p>
      <w:pPr>
        <w:spacing w:after="120"/>
        <w:rPr>
          <w:rFonts w:ascii="Arial" w:hAnsi="Arial" w:cs="Arial"/>
          <w:b/>
        </w:rPr>
      </w:pPr>
      <w:r>
        <w:rPr>
          <w:rFonts w:ascii="Arial" w:hAnsi="Arial" w:cs="Arial"/>
          <w:b/>
        </w:rPr>
        <w:t>2. Actions:</w:t>
      </w:r>
    </w:p>
    <w:p>
      <w:pPr>
        <w:rPr>
          <w:rFonts w:ascii="Arial" w:hAnsi="Arial" w:cs="Arial"/>
          <w:bCs/>
        </w:rPr>
      </w:pPr>
      <w:r>
        <w:rPr>
          <w:rFonts w:ascii="Arial" w:hAnsi="Arial" w:cs="Arial"/>
          <w:bCs/>
        </w:rPr>
        <w:t>ETSI MSG TFES invites TSG RAN WG4 to take the above information into account when including European requirements in the 3GPP specifications.</w:t>
      </w:r>
    </w:p>
    <w:p>
      <w:pPr>
        <w:rPr>
          <w:rFonts w:ascii="Arial" w:hAnsi="Arial" w:cs="Arial"/>
          <w:bCs/>
        </w:rPr>
      </w:pPr>
    </w:p>
    <w:p>
      <w:pPr>
        <w:rPr>
          <w:rFonts w:ascii="Arial" w:hAnsi="Arial" w:cs="Arial"/>
          <w:bCs/>
        </w:rPr>
      </w:pPr>
    </w:p>
    <w:p>
      <w:pPr>
        <w:spacing w:after="120"/>
        <w:rPr>
          <w:rFonts w:ascii="Arial" w:hAnsi="Arial" w:cs="Arial"/>
          <w:b/>
        </w:rPr>
      </w:pPr>
      <w:r>
        <w:rPr>
          <w:rFonts w:ascii="Arial" w:hAnsi="Arial" w:cs="Arial"/>
          <w:b/>
        </w:rPr>
        <w:t>3. Date of next meetings of the originator:</w:t>
      </w:r>
    </w:p>
    <w:p>
      <w:pPr>
        <w:rPr>
          <w:rFonts w:ascii="Arial" w:hAnsi="Arial" w:cs="Arial"/>
        </w:rPr>
      </w:pPr>
      <w:r>
        <w:rPr>
          <w:rFonts w:ascii="Arial" w:hAnsi="Arial" w:cs="Arial"/>
        </w:rPr>
        <w:t>30 November 2020- 2 December 2020</w:t>
      </w:r>
      <w:r>
        <w:rPr>
          <w:rFonts w:ascii="Arial" w:hAnsi="Arial" w:cs="Arial"/>
        </w:rPr>
        <w:tab/>
      </w:r>
      <w:r>
        <w:rPr>
          <w:rFonts w:ascii="Arial" w:hAnsi="Arial" w:cs="Arial"/>
        </w:rPr>
        <w:tab/>
      </w:r>
      <w:r>
        <w:rPr>
          <w:rFonts w:ascii="Arial" w:hAnsi="Arial" w:cs="Arial"/>
        </w:rPr>
        <w:tab/>
        <w:t>TFES#67</w:t>
      </w:r>
      <w:r>
        <w:rPr>
          <w:rFonts w:ascii="Arial" w:hAnsi="Arial" w:cs="Arial"/>
        </w:rPr>
        <w:tab/>
        <w:t xml:space="preserve">   on-line meeting</w:t>
      </w:r>
    </w:p>
    <w:sectPr>
      <w:headerReference w:type="default" r:id="rId22"/>
      <w:footerReference w:type="default" r:id="rId2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w:t>
    </w:r>
    <w:r>
      <w:rPr>
        <w:rFonts w:ascii="Arial" w:hAnsi="Arial" w:cs="Arial"/>
      </w:rPr>
      <w:fldChar w:fldCharType="end"/>
    </w:r>
    <w:r>
      <w:rPr>
        <w:rFonts w:ascii="Arial" w:hAnsi="Arial" w:cs="Arial"/>
      </w:rPr>
      <w:t>/</w:t>
    </w:r>
    <w:fldSimple w:instr=" NUMPAGES   \* MERGEFORMAT ">
      <w:r>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TFES(20)066044r1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D2578A"/>
    <w:multiLevelType w:val="hybridMultilevel"/>
    <w:tmpl w:val="083091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A127A2"/>
    <w:multiLevelType w:val="hybridMultilevel"/>
    <w:tmpl w:val="61BCD7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9"/>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91EBB9-794D-40D1-A853-92F399B5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ven.x.chen@apple.com" TargetMode="Externa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hyperlink" Target="https://www.cept.org/ecc/groups/ecc/ecc-pt1/news/latest-news-from-ecc-pt165/" TargetMode="External"/><Relationship Id="rId7" Type="http://schemas.openxmlformats.org/officeDocument/2006/relationships/settings" Target="settings.xml"/><Relationship Id="rId12" Type="http://schemas.openxmlformats.org/officeDocument/2006/relationships/hyperlink" Target="mailto:Guillermo.Vietti@etsi.org" TargetMode="External"/><Relationship Id="rId17" Type="http://schemas.openxmlformats.org/officeDocument/2006/relationships/hyperlink" Target="mailto:balazs.bertenyi@noki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RMSupport@etsi.org" TargetMode="External"/><Relationship Id="rId20" Type="http://schemas.openxmlformats.org/officeDocument/2006/relationships/hyperlink" Target="https://docbox.etsi.org/MSG/TFES/05-CONTRIBUTIONS/2020/TFES(20)000011_LS_to_ECC_PT1_on_Additional_unwanted_emission_limit_for_BS_o.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rcello.Pagnozzi@etsi.org"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cbox.etsi.org/MSG/TFES/05-CONTRIBUTIONS/2020/2020_01_20_OR_MSGTFES%2365/TFES(20)065014_BS_additional_limit_removal.do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olger.butscheidt@bnetza.d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9" ma:contentTypeDescription="Create a new document." ma:contentTypeScope="" ma:versionID="bc1175033e4d6560c0061eebf9534dcb">
  <xsd:schema xmlns:xsd="http://www.w3.org/2001/XMLSchema" xmlns:xs="http://www.w3.org/2001/XMLSchema" xmlns:p="http://schemas.microsoft.com/office/2006/metadata/properties" xmlns:ns2="b956965e-4662-4ad7-b17a-154f9f326abc" targetNamespace="http://schemas.microsoft.com/office/2006/metadata/properties" ma:root="true" ma:fieldsID="548eb360411e2b70762d1a66cded1219" ns2:_="">
    <xsd:import namespace="b956965e-4662-4ad7-b17a-154f9f326a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A7247-DE81-4A40-A58F-7822140C7100}">
  <ds:schemaRefs>
    <ds:schemaRef ds:uri="http://schemas.microsoft.com/sharepoint/v3/contenttype/forms"/>
  </ds:schemaRefs>
</ds:datastoreItem>
</file>

<file path=customXml/itemProps2.xml><?xml version="1.0" encoding="utf-8"?>
<ds:datastoreItem xmlns:ds="http://schemas.openxmlformats.org/officeDocument/2006/customXml" ds:itemID="{A17602F2-1A8B-4AC0-A7B4-BEFDFBDF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7CDFD4-BD2A-40A7-84F7-EE09AAE452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D2C4CA-263A-4A51-AD9B-FC865380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TFES(20)066044 - LS to 3GPP RAN WG4 on Release 15 of the IMT harmonised standard</vt:lpstr>
    </vt:vector>
  </TitlesOfParts>
  <Company>ETSI</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TFES(20)066044 - LS to 3GPP RAN WG4 on Release 15 of the IMT harmonised standard</dc:title>
  <dc:creator>Ericsson LM</dc:creator>
  <dc:description>20110621 - Template upated:1- L&amp;R margins set to 2cm 2-Header table left indent set to 0</dc:description>
  <cp:lastModifiedBy>Guillermo Vietti</cp:lastModifiedBy>
  <cp:revision>6</cp:revision>
  <cp:lastPrinted>2010-12-06T15:51:00Z</cp:lastPrinted>
  <dcterms:created xsi:type="dcterms:W3CDTF">2020-10-26T08:26:00Z</dcterms:created>
  <dcterms:modified xsi:type="dcterms:W3CDTF">2020-10-26T09:32:00Z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