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151DBE" w:rsidRPr="001D282B" w14:paraId="473E0314" w14:textId="77777777" w:rsidTr="0081064E">
        <w:trPr>
          <w:cantSplit/>
          <w:jc w:val="center"/>
        </w:trPr>
        <w:tc>
          <w:tcPr>
            <w:tcW w:w="1134" w:type="dxa"/>
            <w:vMerge w:val="restart"/>
            <w:vAlign w:val="center"/>
          </w:tcPr>
          <w:p w14:paraId="2BDFB1AB" w14:textId="77777777" w:rsidR="00151DBE" w:rsidRPr="00567F52" w:rsidRDefault="00151DBE" w:rsidP="0081064E">
            <w:pPr>
              <w:spacing w:before="0"/>
              <w:jc w:val="center"/>
            </w:pPr>
            <w:bookmarkStart w:id="0" w:name="dtableau"/>
            <w:bookmarkStart w:id="1" w:name="dsg" w:colFirst="1" w:colLast="1"/>
            <w:bookmarkStart w:id="2" w:name="dnum" w:colFirst="2" w:colLast="2"/>
            <w:r>
              <w:rPr>
                <w:noProof/>
                <w:lang w:val="de-DE" w:eastAsia="de-DE"/>
              </w:rPr>
              <w:drawing>
                <wp:inline distT="0" distB="0" distL="0" distR="0" wp14:anchorId="0997424F" wp14:editId="0AD77E7C">
                  <wp:extent cx="647700" cy="704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7700" cy="704850"/>
                          </a:xfrm>
                          <a:prstGeom prst="rect">
                            <a:avLst/>
                          </a:prstGeom>
                          <a:noFill/>
                          <a:ln>
                            <a:noFill/>
                          </a:ln>
                        </pic:spPr>
                      </pic:pic>
                    </a:graphicData>
                  </a:graphic>
                </wp:inline>
              </w:drawing>
            </w:r>
          </w:p>
        </w:tc>
        <w:tc>
          <w:tcPr>
            <w:tcW w:w="3969" w:type="dxa"/>
            <w:gridSpan w:val="2"/>
            <w:vMerge w:val="restart"/>
            <w:vAlign w:val="center"/>
          </w:tcPr>
          <w:p w14:paraId="3FAFA731" w14:textId="77777777" w:rsidR="00151DBE" w:rsidRPr="00F70513" w:rsidRDefault="00151DBE" w:rsidP="009F42B3">
            <w:pPr>
              <w:rPr>
                <w:sz w:val="16"/>
                <w:szCs w:val="16"/>
              </w:rPr>
            </w:pPr>
            <w:r w:rsidRPr="00F70513">
              <w:rPr>
                <w:sz w:val="16"/>
                <w:szCs w:val="16"/>
              </w:rPr>
              <w:t>INTERNATIONAL TELECOMMUNICATION UNION</w:t>
            </w:r>
          </w:p>
          <w:p w14:paraId="50ADD3DF" w14:textId="77777777" w:rsidR="00151DBE" w:rsidRPr="006264C9" w:rsidRDefault="00151DBE" w:rsidP="009F42B3">
            <w:pPr>
              <w:rPr>
                <w:b/>
                <w:bCs/>
                <w:sz w:val="26"/>
                <w:szCs w:val="26"/>
              </w:rPr>
            </w:pPr>
            <w:r w:rsidRPr="006264C9">
              <w:rPr>
                <w:b/>
                <w:bCs/>
                <w:sz w:val="26"/>
                <w:szCs w:val="26"/>
              </w:rPr>
              <w:t>TELECOMMUNICATION</w:t>
            </w:r>
            <w:r w:rsidRPr="006264C9">
              <w:rPr>
                <w:b/>
                <w:bCs/>
                <w:sz w:val="26"/>
                <w:szCs w:val="26"/>
              </w:rPr>
              <w:br/>
              <w:t>STANDARDIZATION SECTOR</w:t>
            </w:r>
          </w:p>
          <w:p w14:paraId="37A60062" w14:textId="77777777" w:rsidR="00151DBE" w:rsidRPr="007F664D" w:rsidRDefault="00151DBE" w:rsidP="009F42B3">
            <w:pPr>
              <w:rPr>
                <w:sz w:val="20"/>
                <w:szCs w:val="20"/>
              </w:rPr>
            </w:pPr>
            <w:r w:rsidRPr="006264C9">
              <w:rPr>
                <w:sz w:val="20"/>
                <w:szCs w:val="20"/>
              </w:rPr>
              <w:t xml:space="preserve">STUDY PERIOD </w:t>
            </w:r>
            <w:r>
              <w:rPr>
                <w:sz w:val="20"/>
                <w:szCs w:val="20"/>
              </w:rPr>
              <w:t>2022-2024</w:t>
            </w:r>
          </w:p>
        </w:tc>
        <w:tc>
          <w:tcPr>
            <w:tcW w:w="4537" w:type="dxa"/>
            <w:gridSpan w:val="3"/>
            <w:vAlign w:val="center"/>
          </w:tcPr>
          <w:p w14:paraId="7669786E" w14:textId="6E9BDCA0" w:rsidR="00151DBE" w:rsidRPr="001D282B" w:rsidRDefault="00151DBE" w:rsidP="001D282B">
            <w:pPr>
              <w:pStyle w:val="Docnumber"/>
            </w:pPr>
            <w:r w:rsidRPr="001D282B">
              <w:rPr>
                <w:noProof/>
              </w:rPr>
              <w:t>SG12</w:t>
            </w:r>
            <w:r w:rsidRPr="001D282B">
              <w:t>-</w:t>
            </w:r>
            <w:r w:rsidR="00BD33A7">
              <w:t>TD</w:t>
            </w:r>
            <w:r w:rsidR="001F48B9">
              <w:t>450</w:t>
            </w:r>
            <w:r w:rsidR="00FF2DE3">
              <w:t>R</w:t>
            </w:r>
            <w:r w:rsidR="0024110F">
              <w:t>2</w:t>
            </w:r>
          </w:p>
        </w:tc>
      </w:tr>
      <w:bookmarkEnd w:id="2"/>
      <w:tr w:rsidR="00151DBE" w:rsidRPr="001D282B" w14:paraId="6A6C2B0E" w14:textId="77777777" w:rsidTr="009B75B3">
        <w:trPr>
          <w:cantSplit/>
          <w:jc w:val="center"/>
        </w:trPr>
        <w:tc>
          <w:tcPr>
            <w:tcW w:w="1134" w:type="dxa"/>
            <w:vMerge/>
          </w:tcPr>
          <w:p w14:paraId="3108FE7E" w14:textId="77777777" w:rsidR="00151DBE" w:rsidRPr="00072A4E" w:rsidRDefault="00151DBE" w:rsidP="00FD35D4">
            <w:pPr>
              <w:rPr>
                <w:smallCaps/>
                <w:sz w:val="20"/>
              </w:rPr>
            </w:pPr>
          </w:p>
        </w:tc>
        <w:tc>
          <w:tcPr>
            <w:tcW w:w="3969" w:type="dxa"/>
            <w:gridSpan w:val="2"/>
            <w:vMerge/>
          </w:tcPr>
          <w:p w14:paraId="4117F4A6" w14:textId="77777777" w:rsidR="00151DBE" w:rsidRPr="00072A4E" w:rsidRDefault="00151DBE" w:rsidP="00FD35D4">
            <w:pPr>
              <w:rPr>
                <w:smallCaps/>
                <w:sz w:val="20"/>
              </w:rPr>
            </w:pPr>
          </w:p>
        </w:tc>
        <w:tc>
          <w:tcPr>
            <w:tcW w:w="4537" w:type="dxa"/>
            <w:gridSpan w:val="3"/>
          </w:tcPr>
          <w:p w14:paraId="4F116C14" w14:textId="77777777" w:rsidR="00151DBE" w:rsidRPr="001D282B" w:rsidRDefault="00151DBE" w:rsidP="00FD35D4">
            <w:pPr>
              <w:pStyle w:val="TSBHeaderRight14"/>
            </w:pPr>
            <w:r w:rsidRPr="001D282B">
              <w:rPr>
                <w:noProof/>
              </w:rPr>
              <w:t>STUDY GROUP 12</w:t>
            </w:r>
            <w:r w:rsidRPr="001D282B">
              <w:t xml:space="preserve"> </w:t>
            </w:r>
          </w:p>
        </w:tc>
      </w:tr>
      <w:tr w:rsidR="00151DBE" w:rsidRPr="001D282B" w14:paraId="4E05E5DB" w14:textId="77777777" w:rsidTr="00BD33A7">
        <w:trPr>
          <w:cantSplit/>
          <w:jc w:val="center"/>
        </w:trPr>
        <w:tc>
          <w:tcPr>
            <w:tcW w:w="1134" w:type="dxa"/>
            <w:vMerge/>
            <w:tcBorders>
              <w:bottom w:val="single" w:sz="12" w:space="0" w:color="auto"/>
            </w:tcBorders>
          </w:tcPr>
          <w:p w14:paraId="52BCB896" w14:textId="77777777" w:rsidR="00151DBE" w:rsidRPr="0037415F" w:rsidRDefault="00151DBE" w:rsidP="00691C94">
            <w:pPr>
              <w:rPr>
                <w:b/>
                <w:bCs/>
                <w:sz w:val="26"/>
              </w:rPr>
            </w:pPr>
          </w:p>
        </w:tc>
        <w:tc>
          <w:tcPr>
            <w:tcW w:w="3969" w:type="dxa"/>
            <w:gridSpan w:val="2"/>
            <w:vMerge/>
            <w:tcBorders>
              <w:bottom w:val="single" w:sz="12" w:space="0" w:color="auto"/>
            </w:tcBorders>
          </w:tcPr>
          <w:p w14:paraId="2D02400A" w14:textId="77777777" w:rsidR="00151DBE" w:rsidRPr="0037415F" w:rsidRDefault="00151DBE" w:rsidP="00691C94">
            <w:pPr>
              <w:rPr>
                <w:b/>
                <w:bCs/>
                <w:sz w:val="26"/>
              </w:rPr>
            </w:pPr>
          </w:p>
        </w:tc>
        <w:tc>
          <w:tcPr>
            <w:tcW w:w="4537" w:type="dxa"/>
            <w:gridSpan w:val="3"/>
            <w:tcBorders>
              <w:bottom w:val="single" w:sz="12" w:space="0" w:color="auto"/>
            </w:tcBorders>
            <w:vAlign w:val="center"/>
          </w:tcPr>
          <w:p w14:paraId="4A5F888A" w14:textId="77777777" w:rsidR="00151DBE" w:rsidRPr="001D282B" w:rsidRDefault="00151DBE" w:rsidP="006F4361">
            <w:pPr>
              <w:pStyle w:val="TSBHeaderRight14"/>
            </w:pPr>
            <w:r w:rsidRPr="001D282B">
              <w:t>Original: English</w:t>
            </w:r>
          </w:p>
        </w:tc>
      </w:tr>
      <w:tr w:rsidR="00151DBE" w:rsidRPr="001D282B" w14:paraId="0B88D52C" w14:textId="77777777" w:rsidTr="00BD33A7">
        <w:trPr>
          <w:cantSplit/>
          <w:jc w:val="center"/>
        </w:trPr>
        <w:tc>
          <w:tcPr>
            <w:tcW w:w="1418" w:type="dxa"/>
            <w:gridSpan w:val="2"/>
            <w:tcBorders>
              <w:top w:val="single" w:sz="12" w:space="0" w:color="auto"/>
            </w:tcBorders>
          </w:tcPr>
          <w:p w14:paraId="534FE696" w14:textId="77777777" w:rsidR="00151DBE" w:rsidRPr="0037415F" w:rsidRDefault="00151DBE" w:rsidP="00691C94">
            <w:pPr>
              <w:rPr>
                <w:b/>
                <w:bCs/>
              </w:rPr>
            </w:pPr>
            <w:bookmarkStart w:id="3" w:name="dbluepink" w:colFirst="1" w:colLast="1"/>
            <w:bookmarkStart w:id="4" w:name="dmeeting" w:colFirst="2" w:colLast="2"/>
            <w:bookmarkEnd w:id="1"/>
            <w:r w:rsidRPr="0037415F">
              <w:rPr>
                <w:b/>
                <w:bCs/>
              </w:rPr>
              <w:t>Question(s):</w:t>
            </w:r>
          </w:p>
        </w:tc>
        <w:tc>
          <w:tcPr>
            <w:tcW w:w="3827" w:type="dxa"/>
            <w:gridSpan w:val="2"/>
          </w:tcPr>
          <w:p w14:paraId="3B4DF524" w14:textId="77777777" w:rsidR="00151DBE" w:rsidRPr="001D282B" w:rsidRDefault="00151DBE" w:rsidP="001D282B">
            <w:pPr>
              <w:pStyle w:val="TSBHeaderQuestion"/>
            </w:pPr>
            <w:r w:rsidRPr="001D282B">
              <w:rPr>
                <w:noProof/>
              </w:rPr>
              <w:t>1</w:t>
            </w:r>
            <w:r w:rsidR="001D282B" w:rsidRPr="001D282B">
              <w:rPr>
                <w:noProof/>
              </w:rPr>
              <w:t>0</w:t>
            </w:r>
            <w:r w:rsidRPr="001D282B">
              <w:rPr>
                <w:noProof/>
              </w:rPr>
              <w:t>/12</w:t>
            </w:r>
          </w:p>
        </w:tc>
        <w:tc>
          <w:tcPr>
            <w:tcW w:w="4395" w:type="dxa"/>
            <w:gridSpan w:val="2"/>
          </w:tcPr>
          <w:p w14:paraId="38C22817" w14:textId="434322CE" w:rsidR="00151DBE" w:rsidRPr="001D282B" w:rsidRDefault="00B7109C" w:rsidP="001D282B">
            <w:pPr>
              <w:pStyle w:val="VenueDate"/>
            </w:pPr>
            <w:r>
              <w:t>Mexico City</w:t>
            </w:r>
            <w:r w:rsidRPr="007D16EB">
              <w:t>, 1</w:t>
            </w:r>
            <w:r>
              <w:t>9-28 September</w:t>
            </w:r>
            <w:r w:rsidRPr="007D16EB">
              <w:t xml:space="preserve"> 2023</w:t>
            </w:r>
          </w:p>
        </w:tc>
      </w:tr>
      <w:tr w:rsidR="00151DBE" w:rsidRPr="00A4045F" w14:paraId="4DCD72B6" w14:textId="77777777" w:rsidTr="00BC1FAE">
        <w:trPr>
          <w:cantSplit/>
          <w:jc w:val="center"/>
        </w:trPr>
        <w:tc>
          <w:tcPr>
            <w:tcW w:w="9640" w:type="dxa"/>
            <w:gridSpan w:val="6"/>
          </w:tcPr>
          <w:p w14:paraId="1B66B228" w14:textId="574D5C5F" w:rsidR="00151DBE" w:rsidRPr="002534C9" w:rsidRDefault="00BD33A7" w:rsidP="0095099F">
            <w:pPr>
              <w:jc w:val="center"/>
              <w:rPr>
                <w:b/>
                <w:bCs/>
              </w:rPr>
            </w:pPr>
            <w:bookmarkStart w:id="5" w:name="dtitle" w:colFirst="0" w:colLast="0"/>
            <w:bookmarkEnd w:id="3"/>
            <w:bookmarkEnd w:id="4"/>
            <w:r>
              <w:rPr>
                <w:b/>
                <w:bCs/>
              </w:rPr>
              <w:t>TD</w:t>
            </w:r>
          </w:p>
        </w:tc>
      </w:tr>
      <w:tr w:rsidR="00151DBE" w:rsidRPr="0037415F" w14:paraId="200A8514" w14:textId="77777777" w:rsidTr="00D57D7F">
        <w:trPr>
          <w:cantSplit/>
          <w:jc w:val="center"/>
        </w:trPr>
        <w:tc>
          <w:tcPr>
            <w:tcW w:w="1418" w:type="dxa"/>
            <w:gridSpan w:val="2"/>
          </w:tcPr>
          <w:p w14:paraId="5DB68336" w14:textId="77777777" w:rsidR="00151DBE" w:rsidRPr="0037415F" w:rsidRDefault="00151DBE" w:rsidP="00691C94">
            <w:pPr>
              <w:rPr>
                <w:b/>
                <w:bCs/>
              </w:rPr>
            </w:pPr>
            <w:bookmarkStart w:id="6" w:name="dsource" w:colFirst="1" w:colLast="1"/>
            <w:bookmarkEnd w:id="5"/>
            <w:r>
              <w:rPr>
                <w:b/>
                <w:bCs/>
              </w:rPr>
              <w:t>Source:</w:t>
            </w:r>
          </w:p>
        </w:tc>
        <w:tc>
          <w:tcPr>
            <w:tcW w:w="8222" w:type="dxa"/>
            <w:gridSpan w:val="4"/>
          </w:tcPr>
          <w:p w14:paraId="3DD49951" w14:textId="71325838" w:rsidR="00151DBE" w:rsidRPr="00FA2E6D" w:rsidRDefault="00BD33A7" w:rsidP="002534C9">
            <w:pPr>
              <w:pStyle w:val="TSBHeaderSource"/>
              <w:rPr>
                <w:highlight w:val="yellow"/>
              </w:rPr>
            </w:pPr>
            <w:r>
              <w:t>Editors G.TeleMeTax</w:t>
            </w:r>
          </w:p>
        </w:tc>
      </w:tr>
      <w:tr w:rsidR="00151DBE" w:rsidRPr="0037415F" w14:paraId="323C133E" w14:textId="77777777" w:rsidTr="00D57D7F">
        <w:trPr>
          <w:cantSplit/>
          <w:jc w:val="center"/>
        </w:trPr>
        <w:tc>
          <w:tcPr>
            <w:tcW w:w="1418" w:type="dxa"/>
            <w:gridSpan w:val="2"/>
          </w:tcPr>
          <w:p w14:paraId="4EA02323" w14:textId="77777777" w:rsidR="00151DBE" w:rsidRPr="0037415F" w:rsidRDefault="00151DBE" w:rsidP="00691C94">
            <w:bookmarkStart w:id="7" w:name="dtitle1" w:colFirst="1" w:colLast="1"/>
            <w:bookmarkEnd w:id="6"/>
            <w:r w:rsidRPr="0037415F">
              <w:rPr>
                <w:b/>
                <w:bCs/>
              </w:rPr>
              <w:t>Title:</w:t>
            </w:r>
          </w:p>
        </w:tc>
        <w:tc>
          <w:tcPr>
            <w:tcW w:w="8222" w:type="dxa"/>
            <w:gridSpan w:val="4"/>
          </w:tcPr>
          <w:p w14:paraId="7070CB81" w14:textId="6D09EFD8" w:rsidR="00151DBE" w:rsidRPr="00FA2E6D" w:rsidRDefault="00BD33A7" w:rsidP="00054813">
            <w:pPr>
              <w:pStyle w:val="TSBHeaderTitle"/>
              <w:rPr>
                <w:highlight w:val="yellow"/>
              </w:rPr>
            </w:pPr>
            <w:r>
              <w:t>D</w:t>
            </w:r>
            <w:r w:rsidR="005713F4" w:rsidRPr="005713F4">
              <w:t>raft new Recommendation ITU-T G.TeleMeTax: Taxonomy of telemeetings from a QoE perspective (for consent)</w:t>
            </w:r>
            <w:r w:rsidR="001D282B" w:rsidRPr="001D282B">
              <w:t xml:space="preserve">  </w:t>
            </w:r>
          </w:p>
        </w:tc>
      </w:tr>
      <w:bookmarkEnd w:id="0"/>
      <w:bookmarkEnd w:id="7"/>
      <w:tr w:rsidR="00151DBE" w:rsidRPr="0024110F" w14:paraId="292A4685" w14:textId="77777777" w:rsidTr="0081064E">
        <w:trPr>
          <w:cantSplit/>
          <w:jc w:val="center"/>
        </w:trPr>
        <w:tc>
          <w:tcPr>
            <w:tcW w:w="1418" w:type="dxa"/>
            <w:gridSpan w:val="2"/>
            <w:tcBorders>
              <w:top w:val="single" w:sz="6" w:space="0" w:color="auto"/>
              <w:bottom w:val="single" w:sz="6" w:space="0" w:color="auto"/>
            </w:tcBorders>
          </w:tcPr>
          <w:p w14:paraId="45BB0345" w14:textId="77777777" w:rsidR="00151DBE" w:rsidRPr="008F7104" w:rsidRDefault="00151DBE" w:rsidP="005C4F27">
            <w:pPr>
              <w:rPr>
                <w:b/>
                <w:bCs/>
              </w:rPr>
            </w:pPr>
            <w:r w:rsidRPr="008F7104">
              <w:rPr>
                <w:b/>
                <w:bCs/>
              </w:rPr>
              <w:t>Contact:</w:t>
            </w:r>
          </w:p>
        </w:tc>
        <w:tc>
          <w:tcPr>
            <w:tcW w:w="4111" w:type="dxa"/>
            <w:gridSpan w:val="3"/>
            <w:tcBorders>
              <w:top w:val="single" w:sz="6" w:space="0" w:color="auto"/>
              <w:bottom w:val="single" w:sz="6" w:space="0" w:color="auto"/>
            </w:tcBorders>
          </w:tcPr>
          <w:p w14:paraId="32794E6D" w14:textId="77777777" w:rsidR="00151DBE" w:rsidRPr="001D282B" w:rsidRDefault="001D282B" w:rsidP="001D282B">
            <w:r>
              <w:t>Janto Skowronek</w:t>
            </w:r>
            <w:r>
              <w:br/>
              <w:t>Ilmenau University of Technology</w:t>
            </w:r>
            <w:r>
              <w:br/>
              <w:t>Germany</w:t>
            </w:r>
          </w:p>
        </w:tc>
        <w:tc>
          <w:tcPr>
            <w:tcW w:w="4111" w:type="dxa"/>
            <w:tcBorders>
              <w:top w:val="single" w:sz="6" w:space="0" w:color="auto"/>
              <w:bottom w:val="single" w:sz="6" w:space="0" w:color="auto"/>
            </w:tcBorders>
          </w:tcPr>
          <w:p w14:paraId="72C275B3" w14:textId="77777777" w:rsidR="00151DBE" w:rsidRPr="001D282B" w:rsidRDefault="001D282B" w:rsidP="001D282B">
            <w:pPr>
              <w:tabs>
                <w:tab w:val="left" w:pos="794"/>
              </w:tabs>
              <w:rPr>
                <w:lang w:val="de-DE"/>
              </w:rPr>
            </w:pPr>
            <w:r w:rsidRPr="001D282B">
              <w:rPr>
                <w:lang w:val="de-DE"/>
              </w:rPr>
              <w:t>Tel: +49 711 8926 2326</w:t>
            </w:r>
            <w:r w:rsidRPr="001D282B">
              <w:rPr>
                <w:lang w:val="de-DE"/>
              </w:rPr>
              <w:br/>
              <w:t>E-mail: janto.skowronek@hft-stuttgart.de</w:t>
            </w:r>
          </w:p>
        </w:tc>
      </w:tr>
      <w:tr w:rsidR="00151DBE" w:rsidRPr="0024110F" w14:paraId="33ACDB57" w14:textId="77777777" w:rsidTr="00D57D7F">
        <w:trPr>
          <w:cantSplit/>
          <w:jc w:val="center"/>
        </w:trPr>
        <w:tc>
          <w:tcPr>
            <w:tcW w:w="1418" w:type="dxa"/>
            <w:gridSpan w:val="2"/>
            <w:tcBorders>
              <w:top w:val="single" w:sz="6" w:space="0" w:color="auto"/>
              <w:bottom w:val="single" w:sz="6" w:space="0" w:color="auto"/>
            </w:tcBorders>
          </w:tcPr>
          <w:p w14:paraId="55E024C5" w14:textId="77777777" w:rsidR="00151DBE" w:rsidRPr="008F7104" w:rsidRDefault="00151DBE" w:rsidP="005C4F27">
            <w:pPr>
              <w:rPr>
                <w:b/>
                <w:bCs/>
              </w:rPr>
            </w:pPr>
            <w:r w:rsidRPr="008F7104">
              <w:rPr>
                <w:b/>
                <w:bCs/>
              </w:rPr>
              <w:t>Contact:</w:t>
            </w:r>
          </w:p>
        </w:tc>
        <w:tc>
          <w:tcPr>
            <w:tcW w:w="4111" w:type="dxa"/>
            <w:gridSpan w:val="3"/>
            <w:tcBorders>
              <w:top w:val="single" w:sz="6" w:space="0" w:color="auto"/>
              <w:bottom w:val="single" w:sz="6" w:space="0" w:color="auto"/>
            </w:tcBorders>
          </w:tcPr>
          <w:p w14:paraId="12EF8C36" w14:textId="77777777" w:rsidR="00151DBE" w:rsidRPr="007C6602" w:rsidRDefault="001D282B" w:rsidP="001D282B">
            <w:pPr>
              <w:rPr>
                <w:lang w:val="sv-SE"/>
              </w:rPr>
            </w:pPr>
            <w:r w:rsidRPr="007C6602">
              <w:rPr>
                <w:lang w:val="sv-SE"/>
              </w:rPr>
              <w:t>Gunilla Berndtsson</w:t>
            </w:r>
            <w:r w:rsidRPr="007C6602">
              <w:rPr>
                <w:lang w:val="sv-SE"/>
              </w:rPr>
              <w:br/>
              <w:t>Telefon AB - LM Ericsson</w:t>
            </w:r>
            <w:r w:rsidRPr="007C6602">
              <w:rPr>
                <w:lang w:val="sv-SE"/>
              </w:rPr>
              <w:br/>
              <w:t>Sweden</w:t>
            </w:r>
          </w:p>
        </w:tc>
        <w:tc>
          <w:tcPr>
            <w:tcW w:w="4111" w:type="dxa"/>
            <w:tcBorders>
              <w:top w:val="single" w:sz="6" w:space="0" w:color="auto"/>
              <w:bottom w:val="single" w:sz="6" w:space="0" w:color="auto"/>
            </w:tcBorders>
          </w:tcPr>
          <w:p w14:paraId="0AE2A3A6" w14:textId="77777777" w:rsidR="00151DBE" w:rsidRPr="001D282B" w:rsidRDefault="001D282B" w:rsidP="001D282B">
            <w:pPr>
              <w:tabs>
                <w:tab w:val="left" w:pos="794"/>
              </w:tabs>
              <w:rPr>
                <w:lang w:val="de-DE"/>
              </w:rPr>
            </w:pPr>
            <w:r w:rsidRPr="001D282B">
              <w:rPr>
                <w:lang w:val="de-DE"/>
              </w:rPr>
              <w:t>Tel: +46 761011119</w:t>
            </w:r>
            <w:r w:rsidRPr="001D282B">
              <w:rPr>
                <w:lang w:val="de-DE"/>
              </w:rPr>
              <w:br/>
            </w:r>
            <w:r>
              <w:rPr>
                <w:lang w:val="de-DE"/>
              </w:rPr>
              <w:t xml:space="preserve">E-mail: </w:t>
            </w:r>
            <w:r w:rsidRPr="001D282B">
              <w:rPr>
                <w:lang w:val="de-DE"/>
              </w:rPr>
              <w:t>gunilla.berndtsson@ericsson.com</w:t>
            </w:r>
          </w:p>
        </w:tc>
      </w:tr>
      <w:tr w:rsidR="001D282B" w:rsidRPr="0024110F" w14:paraId="0BD64088" w14:textId="77777777" w:rsidTr="00D57D7F">
        <w:trPr>
          <w:cantSplit/>
          <w:jc w:val="center"/>
        </w:trPr>
        <w:tc>
          <w:tcPr>
            <w:tcW w:w="1418" w:type="dxa"/>
            <w:gridSpan w:val="2"/>
            <w:tcBorders>
              <w:top w:val="single" w:sz="6" w:space="0" w:color="auto"/>
              <w:bottom w:val="single" w:sz="6" w:space="0" w:color="auto"/>
            </w:tcBorders>
          </w:tcPr>
          <w:p w14:paraId="09676FC0" w14:textId="77777777" w:rsidR="001D282B" w:rsidRPr="001D282B" w:rsidRDefault="008B6E0D" w:rsidP="005C4F27">
            <w:pPr>
              <w:rPr>
                <w:b/>
                <w:bCs/>
                <w:lang w:val="de-DE"/>
              </w:rPr>
            </w:pPr>
            <w:r w:rsidRPr="008F7104">
              <w:rPr>
                <w:b/>
                <w:bCs/>
              </w:rPr>
              <w:t>Contact:</w:t>
            </w:r>
          </w:p>
        </w:tc>
        <w:tc>
          <w:tcPr>
            <w:tcW w:w="4111" w:type="dxa"/>
            <w:gridSpan w:val="3"/>
            <w:tcBorders>
              <w:top w:val="single" w:sz="6" w:space="0" w:color="auto"/>
              <w:bottom w:val="single" w:sz="6" w:space="0" w:color="auto"/>
            </w:tcBorders>
          </w:tcPr>
          <w:p w14:paraId="6036D5BD" w14:textId="77777777" w:rsidR="001D282B" w:rsidRPr="001D282B" w:rsidRDefault="001D282B" w:rsidP="001D282B">
            <w:r w:rsidRPr="001D282B">
              <w:t>Alexander Raake</w:t>
            </w:r>
            <w:r>
              <w:br/>
            </w:r>
            <w:r w:rsidRPr="001D282B">
              <w:t>I</w:t>
            </w:r>
            <w:r>
              <w:t>lmenau University of Technology</w:t>
            </w:r>
            <w:r>
              <w:br/>
            </w:r>
            <w:r w:rsidRPr="001D282B">
              <w:t>Germany</w:t>
            </w:r>
          </w:p>
        </w:tc>
        <w:tc>
          <w:tcPr>
            <w:tcW w:w="4111" w:type="dxa"/>
            <w:tcBorders>
              <w:top w:val="single" w:sz="6" w:space="0" w:color="auto"/>
              <w:bottom w:val="single" w:sz="6" w:space="0" w:color="auto"/>
            </w:tcBorders>
          </w:tcPr>
          <w:p w14:paraId="32B2AE52" w14:textId="77777777" w:rsidR="001D282B" w:rsidRPr="001D282B" w:rsidRDefault="001D282B" w:rsidP="001D282B">
            <w:pPr>
              <w:tabs>
                <w:tab w:val="left" w:pos="794"/>
              </w:tabs>
              <w:rPr>
                <w:lang w:val="de-DE"/>
              </w:rPr>
            </w:pPr>
            <w:r w:rsidRPr="001D282B">
              <w:rPr>
                <w:lang w:val="de-DE"/>
              </w:rPr>
              <w:t>Tel: +49 3677 691468</w:t>
            </w:r>
            <w:r>
              <w:rPr>
                <w:lang w:val="de-DE"/>
              </w:rPr>
              <w:br/>
            </w:r>
            <w:r w:rsidRPr="001D282B">
              <w:rPr>
                <w:lang w:val="de-DE"/>
              </w:rPr>
              <w:t>E-mail: alexander.raake@tu-ilmenau.de</w:t>
            </w:r>
          </w:p>
        </w:tc>
      </w:tr>
      <w:tr w:rsidR="001D282B" w:rsidRPr="0024110F" w14:paraId="78896D86" w14:textId="77777777" w:rsidTr="00D57D7F">
        <w:trPr>
          <w:cantSplit/>
          <w:jc w:val="center"/>
        </w:trPr>
        <w:tc>
          <w:tcPr>
            <w:tcW w:w="1418" w:type="dxa"/>
            <w:gridSpan w:val="2"/>
            <w:tcBorders>
              <w:top w:val="single" w:sz="6" w:space="0" w:color="auto"/>
              <w:bottom w:val="single" w:sz="6" w:space="0" w:color="auto"/>
            </w:tcBorders>
          </w:tcPr>
          <w:p w14:paraId="3576527C" w14:textId="77777777" w:rsidR="001D282B" w:rsidRPr="001D282B" w:rsidRDefault="008B6E0D" w:rsidP="005C4F27">
            <w:pPr>
              <w:rPr>
                <w:b/>
                <w:bCs/>
                <w:lang w:val="de-DE"/>
              </w:rPr>
            </w:pPr>
            <w:r w:rsidRPr="008F7104">
              <w:rPr>
                <w:b/>
                <w:bCs/>
              </w:rPr>
              <w:t>Contact:</w:t>
            </w:r>
          </w:p>
        </w:tc>
        <w:tc>
          <w:tcPr>
            <w:tcW w:w="4111" w:type="dxa"/>
            <w:gridSpan w:val="3"/>
            <w:tcBorders>
              <w:top w:val="single" w:sz="6" w:space="0" w:color="auto"/>
              <w:bottom w:val="single" w:sz="6" w:space="0" w:color="auto"/>
            </w:tcBorders>
          </w:tcPr>
          <w:p w14:paraId="174737EA" w14:textId="77777777" w:rsidR="001D282B" w:rsidRPr="001D282B" w:rsidRDefault="001D282B" w:rsidP="001D282B">
            <w:r w:rsidRPr="001D282B">
              <w:t>Markus Fiedler</w:t>
            </w:r>
            <w:r>
              <w:br/>
            </w:r>
            <w:r w:rsidRPr="001D282B">
              <w:t>Blekinge Institute of Technology (BTH)</w:t>
            </w:r>
            <w:r>
              <w:br/>
            </w:r>
            <w:r w:rsidRPr="001D282B">
              <w:t>Sweden</w:t>
            </w:r>
          </w:p>
        </w:tc>
        <w:tc>
          <w:tcPr>
            <w:tcW w:w="4111" w:type="dxa"/>
            <w:tcBorders>
              <w:top w:val="single" w:sz="6" w:space="0" w:color="auto"/>
              <w:bottom w:val="single" w:sz="6" w:space="0" w:color="auto"/>
            </w:tcBorders>
          </w:tcPr>
          <w:p w14:paraId="2238CFD2" w14:textId="77777777" w:rsidR="001D282B" w:rsidRPr="001D282B" w:rsidRDefault="001D282B" w:rsidP="001D282B">
            <w:pPr>
              <w:tabs>
                <w:tab w:val="left" w:pos="794"/>
              </w:tabs>
              <w:rPr>
                <w:lang w:val="de-DE"/>
              </w:rPr>
            </w:pPr>
            <w:r w:rsidRPr="001D282B">
              <w:rPr>
                <w:lang w:val="de-DE"/>
              </w:rPr>
              <w:t>Tel: +46708537339</w:t>
            </w:r>
            <w:r>
              <w:rPr>
                <w:lang w:val="de-DE"/>
              </w:rPr>
              <w:br/>
            </w:r>
            <w:r w:rsidRPr="001D282B">
              <w:rPr>
                <w:lang w:val="de-DE"/>
              </w:rPr>
              <w:t>E-mail: markus.fiedler@bth.se</w:t>
            </w:r>
          </w:p>
        </w:tc>
      </w:tr>
      <w:tr w:rsidR="001D282B" w:rsidRPr="0024110F" w14:paraId="615F626C" w14:textId="77777777" w:rsidTr="00D57D7F">
        <w:trPr>
          <w:cantSplit/>
          <w:jc w:val="center"/>
        </w:trPr>
        <w:tc>
          <w:tcPr>
            <w:tcW w:w="1418" w:type="dxa"/>
            <w:gridSpan w:val="2"/>
            <w:tcBorders>
              <w:top w:val="single" w:sz="6" w:space="0" w:color="auto"/>
              <w:bottom w:val="single" w:sz="6" w:space="0" w:color="auto"/>
            </w:tcBorders>
          </w:tcPr>
          <w:p w14:paraId="46160108" w14:textId="77777777" w:rsidR="001D282B" w:rsidRPr="001D282B" w:rsidRDefault="008B6E0D" w:rsidP="005C4F27">
            <w:pPr>
              <w:rPr>
                <w:b/>
                <w:bCs/>
                <w:lang w:val="en-US"/>
              </w:rPr>
            </w:pPr>
            <w:r w:rsidRPr="008F7104">
              <w:rPr>
                <w:b/>
                <w:bCs/>
              </w:rPr>
              <w:t>Contact:</w:t>
            </w:r>
          </w:p>
        </w:tc>
        <w:tc>
          <w:tcPr>
            <w:tcW w:w="4111" w:type="dxa"/>
            <w:gridSpan w:val="3"/>
            <w:tcBorders>
              <w:top w:val="single" w:sz="6" w:space="0" w:color="auto"/>
              <w:bottom w:val="single" w:sz="6" w:space="0" w:color="auto"/>
            </w:tcBorders>
          </w:tcPr>
          <w:p w14:paraId="5532791B" w14:textId="77777777" w:rsidR="001D282B" w:rsidRPr="001D282B" w:rsidRDefault="001D282B" w:rsidP="001D282B">
            <w:pPr>
              <w:rPr>
                <w:lang w:val="de-DE"/>
              </w:rPr>
            </w:pPr>
            <w:r w:rsidRPr="001D282B">
              <w:rPr>
                <w:lang w:val="de-DE"/>
              </w:rPr>
              <w:t>David Lindero</w:t>
            </w:r>
            <w:r w:rsidRPr="001D282B">
              <w:rPr>
                <w:lang w:val="de-DE"/>
              </w:rPr>
              <w:br/>
              <w:t>Telefon AB - LM Ericsson</w:t>
            </w:r>
            <w:r w:rsidRPr="001D282B">
              <w:rPr>
                <w:lang w:val="de-DE"/>
              </w:rPr>
              <w:br/>
              <w:t>Sweden</w:t>
            </w:r>
          </w:p>
        </w:tc>
        <w:tc>
          <w:tcPr>
            <w:tcW w:w="4111" w:type="dxa"/>
            <w:tcBorders>
              <w:top w:val="single" w:sz="6" w:space="0" w:color="auto"/>
              <w:bottom w:val="single" w:sz="6" w:space="0" w:color="auto"/>
            </w:tcBorders>
          </w:tcPr>
          <w:p w14:paraId="0C5CDB8D" w14:textId="77777777" w:rsidR="001D282B" w:rsidRPr="001D282B" w:rsidRDefault="001D282B" w:rsidP="001D282B">
            <w:pPr>
              <w:tabs>
                <w:tab w:val="left" w:pos="794"/>
              </w:tabs>
              <w:rPr>
                <w:lang w:val="de-DE"/>
              </w:rPr>
            </w:pPr>
            <w:r w:rsidRPr="001D282B">
              <w:rPr>
                <w:lang w:val="de-DE"/>
              </w:rPr>
              <w:t>Tel: +46761153483</w:t>
            </w:r>
            <w:r w:rsidRPr="001D282B">
              <w:rPr>
                <w:lang w:val="de-DE"/>
              </w:rPr>
              <w:br/>
              <w:t>E-mail: david.lindero@ericsson.com</w:t>
            </w:r>
          </w:p>
        </w:tc>
      </w:tr>
    </w:tbl>
    <w:p w14:paraId="2297CBD3" w14:textId="77777777" w:rsidR="00151DBE" w:rsidRPr="008B6E0D" w:rsidRDefault="00151DBE" w:rsidP="0089088E">
      <w:pPr>
        <w:rPr>
          <w:lang w:val="de-DE"/>
        </w:rPr>
      </w:pPr>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151DBE" w:rsidRPr="0037415F" w14:paraId="04CCF9BA" w14:textId="77777777" w:rsidTr="00D57D7F">
        <w:trPr>
          <w:cantSplit/>
          <w:jc w:val="center"/>
        </w:trPr>
        <w:tc>
          <w:tcPr>
            <w:tcW w:w="1418" w:type="dxa"/>
          </w:tcPr>
          <w:p w14:paraId="347328F5" w14:textId="77777777" w:rsidR="00151DBE" w:rsidRPr="008F7104" w:rsidRDefault="00151DBE" w:rsidP="000E55F2">
            <w:pPr>
              <w:rPr>
                <w:b/>
                <w:bCs/>
              </w:rPr>
            </w:pPr>
            <w:r w:rsidRPr="008F7104">
              <w:rPr>
                <w:b/>
                <w:bCs/>
              </w:rPr>
              <w:t>Abstract:</w:t>
            </w:r>
          </w:p>
        </w:tc>
        <w:tc>
          <w:tcPr>
            <w:tcW w:w="8222" w:type="dxa"/>
          </w:tcPr>
          <w:p w14:paraId="5FE8E603" w14:textId="229A3570" w:rsidR="00151DBE" w:rsidRPr="008B6E0D" w:rsidRDefault="008B6E0D" w:rsidP="008B6E0D">
            <w:pPr>
              <w:pStyle w:val="TSBHeaderSummary"/>
              <w:rPr>
                <w:highlight w:val="yellow"/>
                <w:lang w:val="en-US"/>
              </w:rPr>
            </w:pPr>
            <w:r>
              <w:t xml:space="preserve">This </w:t>
            </w:r>
            <w:r w:rsidR="00BD33A7">
              <w:t xml:space="preserve">document </w:t>
            </w:r>
            <w:r>
              <w:t xml:space="preserve">presents the </w:t>
            </w:r>
            <w:r w:rsidR="005713F4">
              <w:t>draft</w:t>
            </w:r>
            <w:r>
              <w:t xml:space="preserve"> recommendation text </w:t>
            </w:r>
            <w:r w:rsidR="005713F4">
              <w:t>that is proposed for consent</w:t>
            </w:r>
            <w:r>
              <w:t xml:space="preserve"> </w:t>
            </w:r>
            <w:r w:rsidR="005713F4">
              <w:t xml:space="preserve">at </w:t>
            </w:r>
            <w:r>
              <w:t xml:space="preserve">the SG12 meeting in </w:t>
            </w:r>
            <w:r w:rsidR="005713F4">
              <w:t>September</w:t>
            </w:r>
            <w:r>
              <w:t xml:space="preserve"> 2023.</w:t>
            </w:r>
          </w:p>
        </w:tc>
      </w:tr>
    </w:tbl>
    <w:p w14:paraId="469518FB" w14:textId="77777777" w:rsidR="00151DBE" w:rsidRDefault="00151DBE" w:rsidP="0089088E"/>
    <w:p w14:paraId="60EC28CD" w14:textId="77777777" w:rsidR="008B6E0D" w:rsidRPr="00EC2A42" w:rsidRDefault="008B6E0D" w:rsidP="008B6E0D">
      <w:pPr>
        <w:pStyle w:val="RecNo"/>
      </w:pPr>
      <w:r w:rsidRPr="00EC2A42">
        <w:t xml:space="preserve">Recommendation </w:t>
      </w:r>
      <w:r>
        <w:t>ITU-T &lt;</w:t>
      </w:r>
      <w:r w:rsidRPr="00EC2A42">
        <w:t>No.&gt;</w:t>
      </w:r>
    </w:p>
    <w:p w14:paraId="5EE63596" w14:textId="70ACF351" w:rsidR="008B6E0D" w:rsidRPr="00EC2A42" w:rsidRDefault="008B6E0D" w:rsidP="008B6E0D">
      <w:pPr>
        <w:pStyle w:val="Rectitle"/>
      </w:pPr>
      <w:r>
        <w:rPr>
          <w:color w:val="000000"/>
        </w:rPr>
        <w:t>Taxonomy of telemeetings from a QoE perspective</w:t>
      </w:r>
    </w:p>
    <w:p w14:paraId="40A291A9" w14:textId="77777777" w:rsidR="008B6E0D" w:rsidRPr="00EC2A42" w:rsidRDefault="008B6E0D" w:rsidP="008B6E0D">
      <w:pPr>
        <w:pStyle w:val="Headingb"/>
      </w:pPr>
      <w:r w:rsidRPr="00EC2A42">
        <w:t>Summary</w:t>
      </w:r>
    </w:p>
    <w:p w14:paraId="37BAD5E3" w14:textId="77777777" w:rsidR="008B6E0D" w:rsidRPr="008B6E0D" w:rsidRDefault="008B6E0D" w:rsidP="008B6E0D">
      <w:pPr>
        <w:rPr>
          <w:lang w:val="en-US"/>
        </w:rPr>
      </w:pPr>
      <w:r>
        <w:t>This recommendation provides a taxonomy on the different possible types of telemeetings, focussing on aspects that are crucial for Quality of Experience (QoE) assessment. The purpose is to facilitate the selection of appropriate quality assessment methods as well as an appropriate reporting and interpretation of results.</w:t>
      </w:r>
    </w:p>
    <w:p w14:paraId="15AC48F9" w14:textId="77777777" w:rsidR="008B6E0D" w:rsidRPr="00EC2A42" w:rsidRDefault="008B6E0D" w:rsidP="008B6E0D">
      <w:pPr>
        <w:pStyle w:val="Headingb"/>
      </w:pPr>
      <w:r w:rsidRPr="00EC2A42">
        <w:t>Keywords</w:t>
      </w:r>
    </w:p>
    <w:p w14:paraId="0D783454" w14:textId="54C4E7F0" w:rsidR="008B6E0D" w:rsidRPr="00EC2A42" w:rsidRDefault="00B7109C" w:rsidP="008B6E0D">
      <w:r>
        <w:t>Tele</w:t>
      </w:r>
      <w:r w:rsidR="0021211B">
        <w:t xml:space="preserve">meeting, </w:t>
      </w:r>
      <w:r w:rsidR="00696D30">
        <w:t>taxonomy</w:t>
      </w:r>
      <w:r w:rsidR="00D1407E">
        <w:t xml:space="preserve">, QoE, </w:t>
      </w:r>
      <w:r w:rsidR="006338EC">
        <w:t>assessment</w:t>
      </w:r>
    </w:p>
    <w:p w14:paraId="5738E5FA" w14:textId="77777777" w:rsidR="008B6E0D" w:rsidRPr="00EC2A42" w:rsidRDefault="008B6E0D" w:rsidP="008B6E0D">
      <w:pPr>
        <w:pStyle w:val="Heading1"/>
      </w:pPr>
      <w:r w:rsidRPr="00EC2A42">
        <w:t>1</w:t>
      </w:r>
      <w:r w:rsidRPr="00EC2A42">
        <w:tab/>
        <w:t>Scope</w:t>
      </w:r>
    </w:p>
    <w:p w14:paraId="408093E3" w14:textId="77777777" w:rsidR="008B6E0D" w:rsidRDefault="008B6E0D" w:rsidP="008B6E0D">
      <w:r>
        <w:t xml:space="preserve">Telemeeting systems can be realized in numerous ways, ranging from telephone conference bridges over audiovisual computer-based solutions to high-end telepresence systems and XR meetings. The </w:t>
      </w:r>
      <w:r>
        <w:lastRenderedPageBreak/>
        <w:t>solutions can differ in various aspects such as required devices with different form factors and setup complexity, used transmission technology and communication modality, included collaboration and management features, etc.</w:t>
      </w:r>
    </w:p>
    <w:p w14:paraId="1FB63067" w14:textId="7058194C" w:rsidR="008B6E0D" w:rsidRDefault="008B6E0D" w:rsidP="008B6E0D">
      <w:r>
        <w:t>For a proper quality assessment of telemeeting systems a structured method to characterize these different t</w:t>
      </w:r>
      <w:r w:rsidR="0054424C">
        <w:t>ypes of systems is required. On</w:t>
      </w:r>
      <w:r>
        <w:t xml:space="preserve"> the one hand, this will facilitate precise </w:t>
      </w:r>
      <w:r w:rsidR="00D10B78">
        <w:t>comparison of</w:t>
      </w:r>
      <w:r>
        <w:t xml:space="preserve"> telemeeting systems and their quality. On the other hand, this will help </w:t>
      </w:r>
      <w:r w:rsidR="0054424C">
        <w:t xml:space="preserve">to </w:t>
      </w:r>
      <w:r>
        <w:t>avoid misinterpretation of assessment results, which may arise due to comparing results of different telemeeting systems that are too different in their character.</w:t>
      </w:r>
    </w:p>
    <w:p w14:paraId="2B6B9717" w14:textId="5F900FCD" w:rsidR="008B6E0D" w:rsidRPr="008B6E0D" w:rsidRDefault="008B6E0D" w:rsidP="008B6E0D">
      <w:pPr>
        <w:rPr>
          <w:lang w:val="en-US"/>
        </w:rPr>
      </w:pPr>
      <w:r>
        <w:t xml:space="preserve">For that reason, the present recommendation provides a taxonomy for characterizing telemeeting systems, focussing on those aspects that are crucial for Quality of Experience (QoE) assessment. The present recommendation builds on existing definitions as given in ITU recommendations G.100/P.10, G.1000, and P.1301. Moreover, the present recommendation outlines how such a characterization can be used </w:t>
      </w:r>
      <w:r w:rsidR="0054424C">
        <w:t>for choosing appropriate QoE</w:t>
      </w:r>
      <w:r>
        <w:t xml:space="preserve"> assessment methods by referring to relevant ITU recommendations such as G.1011, P.1301 and P.1310.</w:t>
      </w:r>
    </w:p>
    <w:p w14:paraId="5990259F" w14:textId="77777777" w:rsidR="008B6E0D" w:rsidRPr="00EC2A42" w:rsidRDefault="008B6E0D" w:rsidP="008B6E0D">
      <w:pPr>
        <w:pStyle w:val="Heading1"/>
      </w:pPr>
      <w:r w:rsidRPr="00EC2A42">
        <w:t>2</w:t>
      </w:r>
      <w:r w:rsidRPr="00EC2A42">
        <w:tab/>
        <w:t>References</w:t>
      </w:r>
    </w:p>
    <w:p w14:paraId="0A001D8E" w14:textId="77777777" w:rsidR="008B6E0D" w:rsidRPr="002C3A0E" w:rsidRDefault="008B6E0D" w:rsidP="008B6E0D">
      <w:r w:rsidRPr="00EC2A42">
        <w:t xml:space="preserve">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w:t>
      </w:r>
      <w:r w:rsidRPr="002C3A0E">
        <w:t>currently valid ITU-T Recommendations is regularly published. The reference to a document within this Recommendation does not give it, as a stand-alone document, the status of a Recommendation.</w:t>
      </w:r>
    </w:p>
    <w:p w14:paraId="466A16F0" w14:textId="2B2881EA" w:rsidR="005D4805" w:rsidRPr="002C3A0E" w:rsidRDefault="005D4805" w:rsidP="005D4805">
      <w:pPr>
        <w:pStyle w:val="Reftext"/>
        <w:rPr>
          <w:szCs w:val="24"/>
        </w:rPr>
      </w:pPr>
      <w:r w:rsidRPr="002C3A0E">
        <w:rPr>
          <w:szCs w:val="24"/>
        </w:rPr>
        <w:t>[ITU-T G.100/P.10]</w:t>
      </w:r>
      <w:r w:rsidRPr="002C3A0E">
        <w:rPr>
          <w:szCs w:val="24"/>
        </w:rPr>
        <w:tab/>
        <w:t>Recommendation ITU-T</w:t>
      </w:r>
      <w:r w:rsidR="05AA436C" w:rsidRPr="00042221">
        <w:rPr>
          <w:rFonts w:eastAsia="Calibri"/>
          <w:szCs w:val="24"/>
          <w:lang w:val="en-US"/>
        </w:rPr>
        <w:t xml:space="preserve"> P.10/G.100 (2017), </w:t>
      </w:r>
      <w:r w:rsidR="05AA436C" w:rsidRPr="00042221">
        <w:rPr>
          <w:rFonts w:eastAsia="Calibri"/>
          <w:i/>
          <w:iCs/>
          <w:szCs w:val="24"/>
          <w:lang w:val="en-US"/>
        </w:rPr>
        <w:t>Vocabulary for performance, quality of service and quality of experience</w:t>
      </w:r>
      <w:r w:rsidRPr="002C3A0E">
        <w:rPr>
          <w:szCs w:val="24"/>
        </w:rPr>
        <w:t>.</w:t>
      </w:r>
    </w:p>
    <w:p w14:paraId="417A8D6E" w14:textId="3F5313F9" w:rsidR="008B6E0D" w:rsidRPr="002C3A0E" w:rsidRDefault="008B6E0D" w:rsidP="008B6E0D">
      <w:pPr>
        <w:pStyle w:val="Reftext"/>
        <w:rPr>
          <w:szCs w:val="24"/>
        </w:rPr>
      </w:pPr>
      <w:r w:rsidRPr="002C3A0E">
        <w:rPr>
          <w:szCs w:val="24"/>
        </w:rPr>
        <w:t xml:space="preserve">[ITU-T </w:t>
      </w:r>
      <w:r w:rsidR="005D4805" w:rsidRPr="002C3A0E">
        <w:rPr>
          <w:szCs w:val="24"/>
        </w:rPr>
        <w:t>G</w:t>
      </w:r>
      <w:r w:rsidRPr="002C3A0E">
        <w:rPr>
          <w:szCs w:val="24"/>
        </w:rPr>
        <w:t>.</w:t>
      </w:r>
      <w:r w:rsidR="005D4805" w:rsidRPr="002C3A0E">
        <w:rPr>
          <w:szCs w:val="24"/>
        </w:rPr>
        <w:t>1011</w:t>
      </w:r>
      <w:r w:rsidRPr="002C3A0E">
        <w:rPr>
          <w:szCs w:val="24"/>
        </w:rPr>
        <w:t>]</w:t>
      </w:r>
      <w:r w:rsidRPr="002C3A0E">
        <w:rPr>
          <w:szCs w:val="24"/>
        </w:rPr>
        <w:tab/>
        <w:t xml:space="preserve">Recommendation ITU-T </w:t>
      </w:r>
      <w:r w:rsidR="00D057CC" w:rsidRPr="002C3A0E">
        <w:rPr>
          <w:szCs w:val="24"/>
        </w:rPr>
        <w:t xml:space="preserve">G.1011 (2015), </w:t>
      </w:r>
      <w:r w:rsidR="00D057CC" w:rsidRPr="002C3A0E">
        <w:rPr>
          <w:i/>
          <w:iCs/>
          <w:szCs w:val="24"/>
        </w:rPr>
        <w:t xml:space="preserve">Reference </w:t>
      </w:r>
      <w:r w:rsidR="003E74CA">
        <w:rPr>
          <w:i/>
          <w:iCs/>
          <w:szCs w:val="24"/>
        </w:rPr>
        <w:t>g</w:t>
      </w:r>
      <w:r w:rsidR="00D057CC" w:rsidRPr="002C3A0E">
        <w:rPr>
          <w:i/>
          <w:iCs/>
          <w:szCs w:val="24"/>
        </w:rPr>
        <w:t xml:space="preserve">uide to </w:t>
      </w:r>
      <w:r w:rsidR="003E74CA">
        <w:rPr>
          <w:i/>
          <w:iCs/>
          <w:szCs w:val="24"/>
        </w:rPr>
        <w:t>q</w:t>
      </w:r>
      <w:r w:rsidR="00D057CC" w:rsidRPr="002C3A0E">
        <w:rPr>
          <w:i/>
          <w:iCs/>
          <w:szCs w:val="24"/>
        </w:rPr>
        <w:t xml:space="preserve">uality of </w:t>
      </w:r>
      <w:r w:rsidR="00D442CA">
        <w:rPr>
          <w:i/>
          <w:iCs/>
          <w:szCs w:val="24"/>
        </w:rPr>
        <w:t>e</w:t>
      </w:r>
      <w:r w:rsidR="00D057CC" w:rsidRPr="002C3A0E">
        <w:rPr>
          <w:i/>
          <w:iCs/>
          <w:szCs w:val="24"/>
        </w:rPr>
        <w:t xml:space="preserve">xperience </w:t>
      </w:r>
      <w:r w:rsidR="00D442CA">
        <w:rPr>
          <w:i/>
          <w:iCs/>
          <w:szCs w:val="24"/>
        </w:rPr>
        <w:t>a</w:t>
      </w:r>
      <w:r w:rsidR="00D057CC" w:rsidRPr="002C3A0E">
        <w:rPr>
          <w:i/>
          <w:iCs/>
          <w:szCs w:val="24"/>
        </w:rPr>
        <w:t xml:space="preserve">ssessment </w:t>
      </w:r>
      <w:r w:rsidR="00D442CA">
        <w:rPr>
          <w:i/>
          <w:iCs/>
          <w:szCs w:val="24"/>
        </w:rPr>
        <w:t>m</w:t>
      </w:r>
      <w:r w:rsidR="00D057CC" w:rsidRPr="002C3A0E">
        <w:rPr>
          <w:i/>
          <w:iCs/>
          <w:szCs w:val="24"/>
        </w:rPr>
        <w:t>ethodologies</w:t>
      </w:r>
      <w:r w:rsidRPr="002C3A0E">
        <w:rPr>
          <w:szCs w:val="24"/>
        </w:rPr>
        <w:t>.</w:t>
      </w:r>
    </w:p>
    <w:p w14:paraId="6587273C" w14:textId="4C0CB663" w:rsidR="005D4805" w:rsidRPr="002C3A0E" w:rsidRDefault="005D4805" w:rsidP="005D4805">
      <w:pPr>
        <w:pStyle w:val="Reftext"/>
        <w:rPr>
          <w:szCs w:val="24"/>
        </w:rPr>
      </w:pPr>
      <w:r w:rsidRPr="002C3A0E">
        <w:rPr>
          <w:szCs w:val="24"/>
        </w:rPr>
        <w:t>[ITU-T G.1035]</w:t>
      </w:r>
      <w:r w:rsidRPr="002C3A0E">
        <w:rPr>
          <w:szCs w:val="24"/>
        </w:rPr>
        <w:tab/>
        <w:t>Recommendation ITU-T</w:t>
      </w:r>
      <w:r w:rsidR="3EFDF801" w:rsidRPr="00042221">
        <w:rPr>
          <w:rFonts w:eastAsia="Calibri"/>
          <w:szCs w:val="24"/>
          <w:lang w:val="en-US"/>
        </w:rPr>
        <w:t xml:space="preserve"> G.1035 (2021), </w:t>
      </w:r>
      <w:r w:rsidR="3EFDF801" w:rsidRPr="00042221">
        <w:rPr>
          <w:rFonts w:eastAsia="Calibri"/>
          <w:i/>
          <w:szCs w:val="24"/>
          <w:lang w:val="en-US"/>
        </w:rPr>
        <w:t>Influencing factors on quality of experience for virtual reality (VR) services</w:t>
      </w:r>
      <w:r w:rsidR="3EFDF801" w:rsidRPr="002C3A0E">
        <w:rPr>
          <w:szCs w:val="24"/>
        </w:rPr>
        <w:t>.</w:t>
      </w:r>
    </w:p>
    <w:p w14:paraId="3710555A" w14:textId="19A71F71" w:rsidR="005D4805" w:rsidRPr="002C3A0E" w:rsidRDefault="005D4805">
      <w:pPr>
        <w:pStyle w:val="Reftext"/>
        <w:rPr>
          <w:szCs w:val="24"/>
        </w:rPr>
      </w:pPr>
      <w:r w:rsidRPr="002C3A0E">
        <w:rPr>
          <w:szCs w:val="24"/>
        </w:rPr>
        <w:t>[ITU-T P.1301]</w:t>
      </w:r>
      <w:r w:rsidRPr="002C3A0E">
        <w:rPr>
          <w:szCs w:val="24"/>
        </w:rPr>
        <w:tab/>
        <w:t xml:space="preserve">Recommendation ITU-T </w:t>
      </w:r>
      <w:r w:rsidR="3F6867B6" w:rsidRPr="00042221">
        <w:rPr>
          <w:rFonts w:eastAsia="Calibri"/>
          <w:szCs w:val="24"/>
          <w:lang w:val="en-US"/>
        </w:rPr>
        <w:t xml:space="preserve">P.1301 (2017), </w:t>
      </w:r>
      <w:r w:rsidR="3F6867B6" w:rsidRPr="00042221">
        <w:rPr>
          <w:rFonts w:eastAsia="Calibri"/>
          <w:i/>
          <w:iCs/>
          <w:szCs w:val="24"/>
          <w:lang w:val="en-US"/>
        </w:rPr>
        <w:t>Subjective quality evaluation of audio and audiovisual multiparty telemeetings</w:t>
      </w:r>
      <w:r w:rsidRPr="002C3A0E">
        <w:rPr>
          <w:szCs w:val="24"/>
        </w:rPr>
        <w:t>.</w:t>
      </w:r>
    </w:p>
    <w:p w14:paraId="78AE50FE" w14:textId="3B6DEE98" w:rsidR="005D4805" w:rsidRPr="002C3A0E" w:rsidRDefault="005D4805" w:rsidP="005D4805">
      <w:pPr>
        <w:pStyle w:val="Reftext"/>
        <w:rPr>
          <w:szCs w:val="24"/>
        </w:rPr>
      </w:pPr>
      <w:r w:rsidRPr="002C3A0E">
        <w:rPr>
          <w:szCs w:val="24"/>
        </w:rPr>
        <w:t>[ITU-T P.1310]</w:t>
      </w:r>
      <w:r w:rsidRPr="002C3A0E">
        <w:rPr>
          <w:szCs w:val="24"/>
        </w:rPr>
        <w:tab/>
        <w:t>Recommendation ITU-T</w:t>
      </w:r>
      <w:r w:rsidR="34AB4A20" w:rsidRPr="00042221">
        <w:rPr>
          <w:rFonts w:eastAsia="Calibri"/>
          <w:szCs w:val="24"/>
          <w:lang w:val="en-US"/>
        </w:rPr>
        <w:t xml:space="preserve"> P.1310 (2017), </w:t>
      </w:r>
      <w:r w:rsidR="34AB4A20" w:rsidRPr="00042221">
        <w:rPr>
          <w:rFonts w:eastAsia="Calibri"/>
          <w:i/>
          <w:iCs/>
          <w:szCs w:val="24"/>
          <w:lang w:val="en-US"/>
        </w:rPr>
        <w:t>Spatial audio meetings quality evaluation</w:t>
      </w:r>
      <w:r w:rsidRPr="002C3A0E">
        <w:rPr>
          <w:szCs w:val="24"/>
        </w:rPr>
        <w:t>.</w:t>
      </w:r>
    </w:p>
    <w:p w14:paraId="28C79DA6" w14:textId="1A1F7987" w:rsidR="005D4805" w:rsidRPr="002C3A0E" w:rsidRDefault="005D4805" w:rsidP="005D4805">
      <w:pPr>
        <w:pStyle w:val="Reftext"/>
        <w:rPr>
          <w:szCs w:val="24"/>
        </w:rPr>
      </w:pPr>
      <w:r w:rsidRPr="002C3A0E">
        <w:rPr>
          <w:szCs w:val="24"/>
        </w:rPr>
        <w:t>[ITU-T P.1320]</w:t>
      </w:r>
      <w:r w:rsidRPr="002C3A0E">
        <w:rPr>
          <w:szCs w:val="24"/>
        </w:rPr>
        <w:tab/>
        <w:t>Recommendation ITU-T</w:t>
      </w:r>
      <w:r w:rsidRPr="00042221">
        <w:rPr>
          <w:rFonts w:eastAsia="Calibri"/>
          <w:szCs w:val="24"/>
          <w:lang w:val="en-US"/>
        </w:rPr>
        <w:t xml:space="preserve"> </w:t>
      </w:r>
      <w:r w:rsidR="6343332F" w:rsidRPr="00042221">
        <w:rPr>
          <w:rFonts w:eastAsia="Calibri"/>
          <w:szCs w:val="24"/>
          <w:lang w:val="en-US"/>
        </w:rPr>
        <w:t xml:space="preserve">P.1320 (2022), </w:t>
      </w:r>
      <w:r w:rsidR="6343332F" w:rsidRPr="00042221">
        <w:rPr>
          <w:rFonts w:eastAsia="Calibri"/>
          <w:i/>
          <w:iCs/>
          <w:szCs w:val="24"/>
          <w:lang w:val="en-US"/>
        </w:rPr>
        <w:t>Quality of experience assessment of extended reality meetings</w:t>
      </w:r>
      <w:r w:rsidR="00B42D55">
        <w:rPr>
          <w:rFonts w:eastAsia="Calibri"/>
          <w:i/>
          <w:iCs/>
          <w:szCs w:val="24"/>
          <w:lang w:val="en-US"/>
        </w:rPr>
        <w:t>.</w:t>
      </w:r>
    </w:p>
    <w:p w14:paraId="2EDB2565" w14:textId="77777777" w:rsidR="005D4805" w:rsidRPr="002C3A0E" w:rsidRDefault="005D4805" w:rsidP="008B6E0D">
      <w:pPr>
        <w:pStyle w:val="Reftext"/>
        <w:rPr>
          <w:szCs w:val="24"/>
        </w:rPr>
      </w:pPr>
    </w:p>
    <w:p w14:paraId="15907B52" w14:textId="77777777" w:rsidR="008B6E0D" w:rsidRPr="00EC2A42" w:rsidRDefault="008B6E0D" w:rsidP="008B6E0D">
      <w:pPr>
        <w:pStyle w:val="Heading1"/>
      </w:pPr>
      <w:r w:rsidRPr="00EC2A42">
        <w:t>3</w:t>
      </w:r>
      <w:r w:rsidRPr="00EC2A42">
        <w:tab/>
        <w:t>Definitions</w:t>
      </w:r>
    </w:p>
    <w:p w14:paraId="0A317943" w14:textId="77777777" w:rsidR="008B6E0D" w:rsidRPr="00EC2A42" w:rsidRDefault="008B6E0D" w:rsidP="008B6E0D">
      <w:pPr>
        <w:pStyle w:val="Heading2"/>
      </w:pPr>
      <w:r w:rsidRPr="00EC2A42">
        <w:t>3.1</w:t>
      </w:r>
      <w:r w:rsidRPr="00EC2A42">
        <w:tab/>
        <w:t>Terms defined elsewhere</w:t>
      </w:r>
    </w:p>
    <w:p w14:paraId="2192A320" w14:textId="77777777" w:rsidR="008B6E0D" w:rsidRPr="00EC2A42" w:rsidRDefault="008B6E0D" w:rsidP="008B6E0D">
      <w:r w:rsidRPr="00EC2A42">
        <w:t>This Recommendation uses the following terms defined elsewhere:</w:t>
      </w:r>
    </w:p>
    <w:p w14:paraId="1188C11E" w14:textId="24DF32C4" w:rsidR="008B6E0D" w:rsidRPr="00274BEC" w:rsidRDefault="008B6E0D" w:rsidP="008B6E0D">
      <w:pPr>
        <w:tabs>
          <w:tab w:val="left" w:pos="851"/>
        </w:tabs>
        <w:rPr>
          <w:lang w:val="fr-FR"/>
        </w:rPr>
      </w:pPr>
      <w:r w:rsidRPr="00274BEC">
        <w:rPr>
          <w:b/>
          <w:bCs/>
          <w:lang w:val="fr-FR"/>
        </w:rPr>
        <w:t>3.1.1</w:t>
      </w:r>
      <w:r w:rsidRPr="00274BEC">
        <w:rPr>
          <w:b/>
          <w:bCs/>
          <w:lang w:val="fr-FR"/>
        </w:rPr>
        <w:tab/>
      </w:r>
      <w:r w:rsidR="005029F5" w:rsidRPr="00274BEC">
        <w:rPr>
          <w:b/>
          <w:bCs/>
          <w:lang w:val="fr-FR"/>
        </w:rPr>
        <w:t>QoE</w:t>
      </w:r>
      <w:r w:rsidRPr="00274BEC">
        <w:rPr>
          <w:lang w:val="fr-FR"/>
        </w:rPr>
        <w:t xml:space="preserve"> [</w:t>
      </w:r>
      <w:r w:rsidR="005029F5" w:rsidRPr="00274BEC">
        <w:rPr>
          <w:lang w:val="fr-FR"/>
        </w:rPr>
        <w:t>G.100/P.10</w:t>
      </w:r>
      <w:r w:rsidRPr="00274BEC">
        <w:rPr>
          <w:lang w:val="fr-FR"/>
        </w:rPr>
        <w:t>].</w:t>
      </w:r>
    </w:p>
    <w:p w14:paraId="4665621B" w14:textId="12F6C30F" w:rsidR="008B6E0D" w:rsidRPr="00274BEC" w:rsidRDefault="008B6E0D" w:rsidP="008B6E0D">
      <w:pPr>
        <w:tabs>
          <w:tab w:val="left" w:pos="851"/>
        </w:tabs>
        <w:rPr>
          <w:lang w:val="fr-FR"/>
        </w:rPr>
      </w:pPr>
      <w:r w:rsidRPr="00274BEC">
        <w:rPr>
          <w:b/>
          <w:bCs/>
          <w:lang w:val="fr-FR"/>
        </w:rPr>
        <w:t>3.1.2</w:t>
      </w:r>
      <w:r w:rsidRPr="00274BEC">
        <w:rPr>
          <w:b/>
          <w:bCs/>
          <w:lang w:val="fr-FR"/>
        </w:rPr>
        <w:tab/>
      </w:r>
      <w:r w:rsidR="005029F5" w:rsidRPr="00274BEC">
        <w:rPr>
          <w:b/>
          <w:bCs/>
          <w:lang w:val="fr-FR"/>
        </w:rPr>
        <w:t>QoS</w:t>
      </w:r>
      <w:r w:rsidRPr="00274BEC">
        <w:rPr>
          <w:lang w:val="fr-FR"/>
        </w:rPr>
        <w:t xml:space="preserve"> [</w:t>
      </w:r>
      <w:r w:rsidR="005029F5" w:rsidRPr="00274BEC">
        <w:rPr>
          <w:lang w:val="fr-FR"/>
        </w:rPr>
        <w:t>G.100/P.10</w:t>
      </w:r>
      <w:r w:rsidRPr="00274BEC">
        <w:rPr>
          <w:lang w:val="fr-FR"/>
        </w:rPr>
        <w:t>].</w:t>
      </w:r>
    </w:p>
    <w:p w14:paraId="40BF2158" w14:textId="099813CC" w:rsidR="005029F5" w:rsidRPr="006E3981" w:rsidRDefault="005029F5" w:rsidP="005029F5">
      <w:pPr>
        <w:tabs>
          <w:tab w:val="left" w:pos="851"/>
        </w:tabs>
      </w:pPr>
      <w:r w:rsidRPr="006E3981">
        <w:rPr>
          <w:b/>
          <w:bCs/>
        </w:rPr>
        <w:t>3.1.</w:t>
      </w:r>
      <w:r>
        <w:rPr>
          <w:b/>
          <w:bCs/>
        </w:rPr>
        <w:t>3</w:t>
      </w:r>
      <w:r w:rsidRPr="006E3981">
        <w:rPr>
          <w:b/>
          <w:bCs/>
        </w:rPr>
        <w:tab/>
      </w:r>
      <w:r w:rsidRPr="005029F5">
        <w:rPr>
          <w:b/>
          <w:bCs/>
        </w:rPr>
        <w:t>Virtual reality (VR)</w:t>
      </w:r>
      <w:r w:rsidRPr="006E3981">
        <w:t xml:space="preserve"> [</w:t>
      </w:r>
      <w:r>
        <w:t>P.1320</w:t>
      </w:r>
      <w:r w:rsidRPr="006E3981">
        <w:t>]</w:t>
      </w:r>
      <w:r>
        <w:t>.</w:t>
      </w:r>
    </w:p>
    <w:p w14:paraId="1C6D9411" w14:textId="210983C1" w:rsidR="005029F5" w:rsidRDefault="005029F5" w:rsidP="005029F5">
      <w:pPr>
        <w:tabs>
          <w:tab w:val="left" w:pos="851"/>
        </w:tabs>
      </w:pPr>
      <w:r w:rsidRPr="006E3981">
        <w:rPr>
          <w:b/>
          <w:bCs/>
        </w:rPr>
        <w:t>3.1.</w:t>
      </w:r>
      <w:r>
        <w:rPr>
          <w:b/>
          <w:bCs/>
        </w:rPr>
        <w:t>4</w:t>
      </w:r>
      <w:r w:rsidRPr="006E3981">
        <w:rPr>
          <w:b/>
          <w:bCs/>
        </w:rPr>
        <w:tab/>
      </w:r>
      <w:r w:rsidRPr="005029F5">
        <w:rPr>
          <w:b/>
          <w:bCs/>
        </w:rPr>
        <w:t>Augmented reality (AR)</w:t>
      </w:r>
      <w:r w:rsidRPr="006E3981">
        <w:t xml:space="preserve"> [</w:t>
      </w:r>
      <w:r>
        <w:t>P.1320</w:t>
      </w:r>
      <w:r w:rsidRPr="006E3981">
        <w:t>]</w:t>
      </w:r>
      <w:r>
        <w:t>.</w:t>
      </w:r>
    </w:p>
    <w:p w14:paraId="3C4EFD50" w14:textId="0E964593" w:rsidR="005029F5" w:rsidRDefault="005029F5" w:rsidP="005029F5">
      <w:pPr>
        <w:tabs>
          <w:tab w:val="left" w:pos="851"/>
        </w:tabs>
      </w:pPr>
      <w:r w:rsidRPr="006E3981">
        <w:rPr>
          <w:b/>
          <w:bCs/>
        </w:rPr>
        <w:lastRenderedPageBreak/>
        <w:t>3.1.</w:t>
      </w:r>
      <w:r>
        <w:rPr>
          <w:b/>
          <w:bCs/>
        </w:rPr>
        <w:t>5</w:t>
      </w:r>
      <w:r w:rsidRPr="006E3981">
        <w:rPr>
          <w:b/>
          <w:bCs/>
        </w:rPr>
        <w:tab/>
      </w:r>
      <w:r w:rsidRPr="005029F5">
        <w:rPr>
          <w:b/>
          <w:bCs/>
        </w:rPr>
        <w:t>Extended reality (XR)</w:t>
      </w:r>
      <w:r w:rsidRPr="006E3981">
        <w:t xml:space="preserve"> [</w:t>
      </w:r>
      <w:r>
        <w:t>P.1320</w:t>
      </w:r>
      <w:r w:rsidRPr="006E3981">
        <w:t>]</w:t>
      </w:r>
      <w:r>
        <w:t>.</w:t>
      </w:r>
    </w:p>
    <w:p w14:paraId="0F3AD939" w14:textId="73F111DB" w:rsidR="005029F5" w:rsidRPr="006E3981" w:rsidRDefault="005029F5" w:rsidP="005029F5">
      <w:pPr>
        <w:tabs>
          <w:tab w:val="left" w:pos="851"/>
        </w:tabs>
      </w:pPr>
      <w:r w:rsidRPr="006E3981">
        <w:rPr>
          <w:b/>
          <w:bCs/>
        </w:rPr>
        <w:t>3.1.</w:t>
      </w:r>
      <w:r>
        <w:rPr>
          <w:b/>
          <w:bCs/>
        </w:rPr>
        <w:t>6</w:t>
      </w:r>
      <w:r w:rsidRPr="006E3981">
        <w:rPr>
          <w:b/>
          <w:bCs/>
        </w:rPr>
        <w:tab/>
      </w:r>
      <w:r w:rsidRPr="005029F5">
        <w:rPr>
          <w:b/>
          <w:bCs/>
        </w:rPr>
        <w:t>QoE influencing factors</w:t>
      </w:r>
      <w:r w:rsidRPr="006E3981">
        <w:t xml:space="preserve"> </w:t>
      </w:r>
      <w:r w:rsidR="00BD33A7" w:rsidRPr="002C3A0E">
        <w:t>[ITU-T G.100/P.10]</w:t>
      </w:r>
      <w:r>
        <w:t>.</w:t>
      </w:r>
    </w:p>
    <w:p w14:paraId="6D2E2FBE" w14:textId="718FDA86" w:rsidR="005029F5" w:rsidRPr="006E3981" w:rsidRDefault="005029F5" w:rsidP="005029F5">
      <w:pPr>
        <w:tabs>
          <w:tab w:val="left" w:pos="851"/>
        </w:tabs>
      </w:pPr>
      <w:r w:rsidRPr="006E3981">
        <w:rPr>
          <w:b/>
          <w:bCs/>
        </w:rPr>
        <w:t>3.1.</w:t>
      </w:r>
      <w:r>
        <w:rPr>
          <w:b/>
          <w:bCs/>
        </w:rPr>
        <w:t>7</w:t>
      </w:r>
      <w:r w:rsidRPr="006E3981">
        <w:rPr>
          <w:b/>
          <w:bCs/>
        </w:rPr>
        <w:tab/>
      </w:r>
      <w:r w:rsidR="00B42D55">
        <w:rPr>
          <w:b/>
          <w:bCs/>
        </w:rPr>
        <w:t>T</w:t>
      </w:r>
      <w:r w:rsidR="009A7082" w:rsidRPr="009A7082">
        <w:rPr>
          <w:b/>
          <w:bCs/>
        </w:rPr>
        <w:t>elemeeting</w:t>
      </w:r>
      <w:r w:rsidRPr="006E3981">
        <w:t xml:space="preserve"> [</w:t>
      </w:r>
      <w:r>
        <w:t>P.13</w:t>
      </w:r>
      <w:r w:rsidR="009A7082">
        <w:t>01</w:t>
      </w:r>
      <w:r w:rsidRPr="006E3981">
        <w:t>]</w:t>
      </w:r>
      <w:r>
        <w:t>.</w:t>
      </w:r>
    </w:p>
    <w:p w14:paraId="35F7D818" w14:textId="1258EAE7" w:rsidR="005029F5" w:rsidRPr="006E3981" w:rsidRDefault="005029F5" w:rsidP="005029F5">
      <w:pPr>
        <w:tabs>
          <w:tab w:val="left" w:pos="851"/>
        </w:tabs>
      </w:pPr>
      <w:r w:rsidRPr="006E3981">
        <w:rPr>
          <w:b/>
          <w:bCs/>
        </w:rPr>
        <w:t>3.1.</w:t>
      </w:r>
      <w:r>
        <w:rPr>
          <w:b/>
          <w:bCs/>
        </w:rPr>
        <w:t>8</w:t>
      </w:r>
      <w:r w:rsidRPr="006E3981">
        <w:rPr>
          <w:b/>
          <w:bCs/>
        </w:rPr>
        <w:tab/>
      </w:r>
      <w:r w:rsidR="009A7082" w:rsidRPr="009A7082">
        <w:rPr>
          <w:b/>
          <w:bCs/>
        </w:rPr>
        <w:t>Degree of Freedom (DoF)</w:t>
      </w:r>
      <w:r w:rsidRPr="006E3981">
        <w:t xml:space="preserve"> [</w:t>
      </w:r>
      <w:r w:rsidR="009A7082">
        <w:t>G</w:t>
      </w:r>
      <w:r>
        <w:t>.1</w:t>
      </w:r>
      <w:r w:rsidR="009A7082">
        <w:t>035</w:t>
      </w:r>
      <w:r w:rsidRPr="006E3981">
        <w:t>]</w:t>
      </w:r>
      <w:r>
        <w:t>.</w:t>
      </w:r>
    </w:p>
    <w:p w14:paraId="52A92542" w14:textId="77777777" w:rsidR="005029F5" w:rsidRPr="006E3981" w:rsidRDefault="005029F5" w:rsidP="008B6E0D">
      <w:pPr>
        <w:tabs>
          <w:tab w:val="left" w:pos="851"/>
        </w:tabs>
      </w:pPr>
    </w:p>
    <w:p w14:paraId="3A718737" w14:textId="77777777" w:rsidR="008B6E0D" w:rsidRPr="00EC2A42" w:rsidRDefault="008B6E0D" w:rsidP="008B6E0D">
      <w:pPr>
        <w:pStyle w:val="Heading2"/>
      </w:pPr>
      <w:r w:rsidRPr="00EC2A42">
        <w:t>3.2</w:t>
      </w:r>
      <w:r w:rsidRPr="00EC2A42">
        <w:tab/>
        <w:t>Terms defined in this Recommendation</w:t>
      </w:r>
    </w:p>
    <w:p w14:paraId="305D27EA" w14:textId="77777777" w:rsidR="008B6E0D" w:rsidRPr="00EC2A42" w:rsidRDefault="008B6E0D" w:rsidP="008B6E0D">
      <w:r w:rsidRPr="00EC2A42">
        <w:t>This Recommendation defines the following terms:</w:t>
      </w:r>
    </w:p>
    <w:p w14:paraId="00D11B2C" w14:textId="74F82C47" w:rsidR="008B6E0D" w:rsidRPr="006E3981" w:rsidRDefault="008B6E0D" w:rsidP="008B6E0D">
      <w:pPr>
        <w:tabs>
          <w:tab w:val="left" w:pos="851"/>
        </w:tabs>
      </w:pPr>
      <w:r w:rsidRPr="006E3981">
        <w:rPr>
          <w:b/>
          <w:bCs/>
        </w:rPr>
        <w:t>3.2.1</w:t>
      </w:r>
      <w:r w:rsidRPr="006E3981">
        <w:rPr>
          <w:b/>
          <w:bCs/>
        </w:rPr>
        <w:tab/>
      </w:r>
      <w:r w:rsidR="009A7082">
        <w:rPr>
          <w:b/>
          <w:bCs/>
        </w:rPr>
        <w:t>None</w:t>
      </w:r>
      <w:r>
        <w:t>.</w:t>
      </w:r>
    </w:p>
    <w:p w14:paraId="710C0E52" w14:textId="77777777" w:rsidR="008B6E0D" w:rsidRPr="00EC2A42" w:rsidRDefault="008B6E0D" w:rsidP="008B6E0D">
      <w:pPr>
        <w:pStyle w:val="Heading1"/>
      </w:pPr>
      <w:r w:rsidRPr="00EC2A42">
        <w:t>4</w:t>
      </w:r>
      <w:r w:rsidRPr="00EC2A42">
        <w:tab/>
        <w:t>Abbreviations and acronyms</w:t>
      </w:r>
    </w:p>
    <w:p w14:paraId="768E477D" w14:textId="77777777" w:rsidR="008B6E0D" w:rsidRPr="00EC2A42" w:rsidRDefault="008B6E0D" w:rsidP="008B6E0D">
      <w:r w:rsidRPr="00EC2A42">
        <w:t>This Recommendation uses the following abbreviations and acronyms:</w:t>
      </w:r>
    </w:p>
    <w:p w14:paraId="4B597AC6" w14:textId="491AA51B" w:rsidR="008B6E0D" w:rsidRDefault="009A7082" w:rsidP="008B6E0D">
      <w:r w:rsidRPr="009A7082">
        <w:t>AR</w:t>
      </w:r>
      <w:r w:rsidR="008B6E0D" w:rsidRPr="00EC2A42">
        <w:tab/>
      </w:r>
      <w:r w:rsidRPr="009A7082">
        <w:t>Augmented Reality</w:t>
      </w:r>
    </w:p>
    <w:p w14:paraId="1873F4D7" w14:textId="2C5313CA" w:rsidR="009A7082" w:rsidRPr="00EC2A42" w:rsidRDefault="009A7082" w:rsidP="009A7082">
      <w:r w:rsidRPr="009A7082">
        <w:t>CIF</w:t>
      </w:r>
      <w:r w:rsidRPr="00EC2A42">
        <w:tab/>
      </w:r>
      <w:r w:rsidRPr="009A7082">
        <w:t>Context Influence Factor</w:t>
      </w:r>
    </w:p>
    <w:p w14:paraId="0C66A8CF" w14:textId="275EB0E9" w:rsidR="009A7082" w:rsidRPr="00EC2A42" w:rsidRDefault="009A7082" w:rsidP="009A7082">
      <w:r w:rsidRPr="009A7082">
        <w:t>DoF</w:t>
      </w:r>
      <w:r w:rsidRPr="00EC2A42">
        <w:tab/>
      </w:r>
      <w:r w:rsidRPr="009A7082">
        <w:t>Degree of Freedom</w:t>
      </w:r>
    </w:p>
    <w:p w14:paraId="3633F4D3" w14:textId="4301C950" w:rsidR="009A7082" w:rsidRPr="00EC2A42" w:rsidRDefault="009A7082" w:rsidP="009A7082">
      <w:r w:rsidRPr="009A7082">
        <w:t>HIF</w:t>
      </w:r>
      <w:r w:rsidRPr="00EC2A42">
        <w:tab/>
      </w:r>
      <w:r w:rsidRPr="009A7082">
        <w:t>Human Influence Factor</w:t>
      </w:r>
    </w:p>
    <w:p w14:paraId="35ED7CFD" w14:textId="6A9DA768" w:rsidR="009A7082" w:rsidRPr="00EC2A42" w:rsidRDefault="009A7082" w:rsidP="009A7082">
      <w:r w:rsidRPr="009A7082">
        <w:t>HMD</w:t>
      </w:r>
      <w:r w:rsidRPr="00EC2A42">
        <w:tab/>
      </w:r>
      <w:r w:rsidRPr="009A7082">
        <w:t>Head-Mounted Display</w:t>
      </w:r>
    </w:p>
    <w:p w14:paraId="7CA8C375" w14:textId="47314E4E" w:rsidR="009A7082" w:rsidRPr="00EC2A42" w:rsidRDefault="00B861D9" w:rsidP="009A7082">
      <w:r w:rsidRPr="00B861D9">
        <w:t>HOA</w:t>
      </w:r>
      <w:r w:rsidR="009A7082" w:rsidRPr="00EC2A42">
        <w:tab/>
      </w:r>
      <w:r w:rsidRPr="00B861D9">
        <w:t>Higher Order Ambisonics</w:t>
      </w:r>
    </w:p>
    <w:p w14:paraId="6A1123BF" w14:textId="39F55AAD" w:rsidR="009A7082" w:rsidRPr="00EC2A42" w:rsidRDefault="00B861D9" w:rsidP="009A7082">
      <w:r w:rsidRPr="00B861D9">
        <w:t>HRTF</w:t>
      </w:r>
      <w:r w:rsidR="009A7082" w:rsidRPr="00EC2A42">
        <w:tab/>
      </w:r>
      <w:r w:rsidRPr="00B861D9">
        <w:t>Head-Related Transfer Functions</w:t>
      </w:r>
    </w:p>
    <w:p w14:paraId="2A738E08" w14:textId="328ECC26" w:rsidR="009A7082" w:rsidRPr="00EC2A42" w:rsidRDefault="00B861D9" w:rsidP="009A7082">
      <w:r w:rsidRPr="00B861D9">
        <w:t>MR</w:t>
      </w:r>
      <w:r w:rsidR="009A7082" w:rsidRPr="00EC2A42">
        <w:tab/>
      </w:r>
      <w:r w:rsidRPr="00B861D9">
        <w:t>Mixed Reality</w:t>
      </w:r>
    </w:p>
    <w:p w14:paraId="53203686" w14:textId="0DF2C2D8" w:rsidR="009A7082" w:rsidRPr="00EC2A42" w:rsidRDefault="00B861D9" w:rsidP="009A7082">
      <w:r w:rsidRPr="00B861D9">
        <w:t>QIF</w:t>
      </w:r>
      <w:r w:rsidR="009A7082" w:rsidRPr="00EC2A42">
        <w:tab/>
      </w:r>
      <w:r w:rsidRPr="00B861D9">
        <w:t>Quality Influence Factor</w:t>
      </w:r>
    </w:p>
    <w:p w14:paraId="07C9C322" w14:textId="5398EE96" w:rsidR="009A7082" w:rsidRPr="00EC2A42" w:rsidRDefault="00B861D9" w:rsidP="009A7082">
      <w:r w:rsidRPr="00B861D9">
        <w:t>QoE</w:t>
      </w:r>
      <w:r w:rsidR="009A7082" w:rsidRPr="00EC2A42">
        <w:tab/>
      </w:r>
      <w:r w:rsidRPr="00B861D9">
        <w:t>Quality of Experience</w:t>
      </w:r>
    </w:p>
    <w:p w14:paraId="55635D8A" w14:textId="5BB3A250" w:rsidR="009A7082" w:rsidRPr="00EC2A42" w:rsidRDefault="00B861D9" w:rsidP="009A7082">
      <w:r w:rsidRPr="00B861D9">
        <w:t>QoS</w:t>
      </w:r>
      <w:r w:rsidR="009A7082" w:rsidRPr="00EC2A42">
        <w:tab/>
      </w:r>
      <w:r w:rsidRPr="00B861D9">
        <w:t>Quality of Service</w:t>
      </w:r>
    </w:p>
    <w:p w14:paraId="6B91F960" w14:textId="19D46EB3" w:rsidR="009A7082" w:rsidRDefault="00B861D9" w:rsidP="009A7082">
      <w:r w:rsidRPr="00B861D9">
        <w:t>SIF</w:t>
      </w:r>
      <w:r w:rsidR="009A7082" w:rsidRPr="00EC2A42">
        <w:tab/>
      </w:r>
      <w:r w:rsidRPr="00B861D9">
        <w:t>System Influence Factor</w:t>
      </w:r>
    </w:p>
    <w:p w14:paraId="3756CEFB" w14:textId="075F60CE" w:rsidR="00272D7D" w:rsidRPr="00EC2A42" w:rsidRDefault="00204EFA" w:rsidP="009A7082">
      <w:r>
        <w:t>VBAP</w:t>
      </w:r>
      <w:r>
        <w:tab/>
      </w:r>
      <w:r w:rsidRPr="00AF4B62">
        <w:rPr>
          <w:color w:val="4D5156"/>
          <w:shd w:val="clear" w:color="auto" w:fill="FFFFFF"/>
        </w:rPr>
        <w:t>Vector Base Amplitude Panning</w:t>
      </w:r>
    </w:p>
    <w:p w14:paraId="7B7930B2" w14:textId="02E3AF4E" w:rsidR="009A7082" w:rsidRPr="00EC2A42" w:rsidRDefault="00B861D9" w:rsidP="009A7082">
      <w:r w:rsidRPr="00B861D9">
        <w:t>VR</w:t>
      </w:r>
      <w:r w:rsidR="009A7082" w:rsidRPr="00EC2A42">
        <w:tab/>
      </w:r>
      <w:r w:rsidRPr="00B861D9">
        <w:t>Virtual Reality</w:t>
      </w:r>
    </w:p>
    <w:p w14:paraId="2ABD1014" w14:textId="6E601F64" w:rsidR="009A7082" w:rsidRDefault="00B861D9" w:rsidP="009A7082">
      <w:r w:rsidRPr="00B861D9">
        <w:t>WFS</w:t>
      </w:r>
      <w:r w:rsidR="009A7082" w:rsidRPr="00EC2A42">
        <w:tab/>
      </w:r>
      <w:r w:rsidRPr="00B861D9">
        <w:t>Wave Field Synthesis</w:t>
      </w:r>
    </w:p>
    <w:p w14:paraId="60C010F0" w14:textId="6702FFEC" w:rsidR="00B861D9" w:rsidRDefault="00B861D9" w:rsidP="00B861D9">
      <w:r w:rsidRPr="00B861D9">
        <w:t>XR</w:t>
      </w:r>
      <w:r w:rsidRPr="00EC2A42">
        <w:tab/>
      </w:r>
      <w:r w:rsidRPr="00B861D9">
        <w:t>Extended Reality</w:t>
      </w:r>
    </w:p>
    <w:p w14:paraId="7920F086" w14:textId="77777777" w:rsidR="00B861D9" w:rsidRPr="00EC2A42" w:rsidRDefault="00B861D9" w:rsidP="00B861D9"/>
    <w:p w14:paraId="0831AC4B" w14:textId="77777777" w:rsidR="008B6E0D" w:rsidRPr="00EC2A42" w:rsidRDefault="008B6E0D" w:rsidP="008B6E0D">
      <w:pPr>
        <w:pStyle w:val="Heading1"/>
      </w:pPr>
      <w:r w:rsidRPr="00EC2A42">
        <w:t>5</w:t>
      </w:r>
      <w:r w:rsidRPr="00EC2A42">
        <w:tab/>
        <w:t>Conventions</w:t>
      </w:r>
    </w:p>
    <w:p w14:paraId="74AB6E84" w14:textId="3F2EE84D" w:rsidR="008B6E0D" w:rsidRPr="00EC2A42" w:rsidRDefault="008B6E0D" w:rsidP="008B6E0D">
      <w:r>
        <w:t>None.</w:t>
      </w:r>
    </w:p>
    <w:p w14:paraId="6FBBC3C6" w14:textId="77777777" w:rsidR="008B6E0D" w:rsidRPr="00EC2A42" w:rsidRDefault="008B6E0D" w:rsidP="008B6E0D">
      <w:pPr>
        <w:pStyle w:val="Heading1"/>
      </w:pPr>
      <w:r w:rsidRPr="00EC2A42">
        <w:t>6</w:t>
      </w:r>
      <w:r w:rsidRPr="00EC2A42">
        <w:tab/>
      </w:r>
      <w:r w:rsidR="00B60674" w:rsidRPr="00B60674">
        <w:t>Purpose and Use Cases</w:t>
      </w:r>
    </w:p>
    <w:p w14:paraId="04082674" w14:textId="77777777" w:rsidR="00B861D9" w:rsidRDefault="00B861D9" w:rsidP="00B861D9">
      <w:r>
        <w:t>This recommendation builds on a tool to systematically characterize technical and non-technical aspects of telemeetings from a QoE perspective, here referred to as Telemeeting Profile Template. As described in Clause 8 of this Recommendation, this tool can be seen as a kind of checklist that is based on the concept of attribute-value pairs: The attributes refer to the characteristic aspects of the telemeeting; the values represent possible instantiations for each aspect.</w:t>
      </w:r>
    </w:p>
    <w:p w14:paraId="47B7EEDB" w14:textId="2EDA7A4B" w:rsidR="00B861D9" w:rsidRDefault="00B861D9" w:rsidP="00B861D9">
      <w:r>
        <w:lastRenderedPageBreak/>
        <w:t>In that respect, this tool can serve different purposes, depending on the actual application scenario. To illustrate this, three examples are given that address researchers and practitioners who are conducting QoE assessment of telemeeting systems, either during development or when the system is already in operation.</w:t>
      </w:r>
    </w:p>
    <w:p w14:paraId="765322AB" w14:textId="77777777" w:rsidR="00B861D9" w:rsidRPr="000A3D47" w:rsidRDefault="00B861D9" w:rsidP="00B861D9">
      <w:pPr>
        <w:rPr>
          <w:b/>
        </w:rPr>
      </w:pPr>
      <w:r w:rsidRPr="000A3D47">
        <w:rPr>
          <w:b/>
        </w:rPr>
        <w:t>Application Scenario 1) Finding an appropriate QoE assessment method</w:t>
      </w:r>
    </w:p>
    <w:p w14:paraId="6E65F587" w14:textId="77777777" w:rsidR="00B861D9" w:rsidRDefault="00B861D9" w:rsidP="00B861D9">
      <w:r>
        <w:t>First, the Telemeeting Profile Template can help to obtain a more systematic characterization of the telemeeting, which can assist to better specify the assessment scenario and subsequently to find an appropriate QoE assessment method. Second, such a detailed characterization of telemeetings can also help to identify whether an existing assessment method may be used without change, whether an existing method needs to be modified, or whether a new method needs to be developed.</w:t>
      </w:r>
    </w:p>
    <w:p w14:paraId="58891C2D" w14:textId="77777777" w:rsidR="00B861D9" w:rsidRPr="000A3D47" w:rsidRDefault="00B861D9" w:rsidP="00B861D9">
      <w:pPr>
        <w:rPr>
          <w:b/>
        </w:rPr>
      </w:pPr>
      <w:r w:rsidRPr="000A3D47">
        <w:rPr>
          <w:b/>
        </w:rPr>
        <w:t>Application Scenario 2) Communicating about Telemeeting QoE</w:t>
      </w:r>
    </w:p>
    <w:p w14:paraId="1F0AC5FD" w14:textId="77777777" w:rsidR="00B861D9" w:rsidRDefault="00B861D9" w:rsidP="00B861D9">
      <w:r>
        <w:t xml:space="preserve">Since telemeetings can be very different in their character, a precise communication about them can become challenging. For instance, when a researcher or practitioner is reporting about a comparison between different telemeeting systems in terms of QoE, the reporting person needs to be able to correctly interpret results in the context of the respective use case and system instances. Here, the Telemeeting Profile Template can help to clarify the characteristics of the telemeetings that have been addressed in the assessment campaign, which in turn minimizes the risk of misinterpretation and miscommunication. </w:t>
      </w:r>
    </w:p>
    <w:p w14:paraId="7B5A3401" w14:textId="1EC08815" w:rsidR="00B861D9" w:rsidRDefault="00B861D9" w:rsidP="00B861D9">
      <w:r>
        <w:t xml:space="preserve">In order to balance between concise communication and using the extensive list of attributes provided by the Telemeeting Profile Template, see Clause </w:t>
      </w:r>
      <w:r w:rsidR="001A3380">
        <w:t>8</w:t>
      </w:r>
      <w:r>
        <w:t>, it is recommended to separate between an analysis/comparison step and a communication step. This means that the full template is used to identify all relevant commonalities or differences between the evaluated telemeetings, while only a limited set of main aspects - those that have been identified during the QoE assessment to be highly relevant - is used in the communication.</w:t>
      </w:r>
    </w:p>
    <w:p w14:paraId="70F2C2EA" w14:textId="6A173380" w:rsidR="008B6E0D" w:rsidRPr="000A3D47" w:rsidRDefault="00B861D9" w:rsidP="00B861D9">
      <w:pPr>
        <w:rPr>
          <w:b/>
        </w:rPr>
      </w:pPr>
      <w:r w:rsidRPr="000A3D47">
        <w:rPr>
          <w:b/>
        </w:rPr>
        <w:t>Application Scenario 3) Describe a telemeeting use case in terms of needs and identify necessary requirements from a QoE perspective</w:t>
      </w:r>
    </w:p>
    <w:p w14:paraId="6BC241E4" w14:textId="6A5C0662" w:rsidR="009E7E11" w:rsidRDefault="009E7E11" w:rsidP="009E7E11">
      <w:r>
        <w:t>The Telemeeting Profile Template may be used by a system developer to identify a list of qualitative requirements that need to be considered from a QoE perspective. It should be emphasized that it is not the purpose to specify quantitative requirements in terms of values or the like, as this is subject to other standards. Instead, the aspects in the Telemeeting Profile Template are discussed from the perspective of the users and should be seen as qualitative requirements, with the intention to strive for a better understanding of the link between use cases and appropriate technology.</w:t>
      </w:r>
    </w:p>
    <w:p w14:paraId="1666B347" w14:textId="0C984C2D" w:rsidR="009E7E11" w:rsidRDefault="009E7E11" w:rsidP="009E7E11">
      <w:r>
        <w:t xml:space="preserve">Starting point is to describe the social interaction use cases by adopting the Telemeeting Profile Template to identify </w:t>
      </w:r>
      <w:r w:rsidR="00971850">
        <w:t xml:space="preserve">both </w:t>
      </w:r>
      <w:r>
        <w:t>relevant attributes</w:t>
      </w:r>
      <w:r w:rsidR="00971850">
        <w:t xml:space="preserve"> </w:t>
      </w:r>
      <w:r>
        <w:t>in terms of needs</w:t>
      </w:r>
      <w:r w:rsidR="00971850">
        <w:t xml:space="preserve"> that characterize the use case and relevant </w:t>
      </w:r>
      <w:r>
        <w:t xml:space="preserve">attributes for which requirements should be defined depending on the </w:t>
      </w:r>
      <w:r w:rsidR="00971850">
        <w:t>needs</w:t>
      </w:r>
      <w:r>
        <w:t>.</w:t>
      </w:r>
    </w:p>
    <w:p w14:paraId="7CF8708C" w14:textId="087EC03E" w:rsidR="009E7E11" w:rsidRDefault="009E7E11" w:rsidP="009E7E11">
      <w:r>
        <w:t xml:space="preserve">After having obtained this overview of relevant aspects, the next step is to </w:t>
      </w:r>
      <w:r w:rsidR="00971850">
        <w:t>plan the technical work to be done and, if applicable, to identify respective standards on technical requirements</w:t>
      </w:r>
      <w:r>
        <w:t>.</w:t>
      </w:r>
    </w:p>
    <w:p w14:paraId="52A56684" w14:textId="77777777" w:rsidR="009E7E11" w:rsidRDefault="009E7E11" w:rsidP="00B861D9">
      <w:pPr>
        <w:rPr>
          <w:rFonts w:ascii="Arial" w:hAnsi="Arial" w:cs="Arial"/>
          <w:color w:val="00B0F0"/>
          <w:sz w:val="22"/>
          <w:szCs w:val="22"/>
        </w:rPr>
      </w:pPr>
    </w:p>
    <w:p w14:paraId="2C2C8B23" w14:textId="77777777" w:rsidR="008B6E0D" w:rsidRDefault="008B6E0D" w:rsidP="008B6E0D"/>
    <w:p w14:paraId="43E28891" w14:textId="3523099B" w:rsidR="00B60674" w:rsidRPr="000A3D47" w:rsidRDefault="002A1F01" w:rsidP="000A3D47">
      <w:pPr>
        <w:pStyle w:val="Heading1"/>
      </w:pPr>
      <w:r>
        <w:t>7</w:t>
      </w:r>
      <w:r w:rsidR="00B60674" w:rsidRPr="00B60674">
        <w:tab/>
      </w:r>
      <w:r w:rsidR="00434399" w:rsidRPr="00434399">
        <w:t>How to apply the Telemeeting Profile Template</w:t>
      </w:r>
    </w:p>
    <w:p w14:paraId="64804891" w14:textId="77777777" w:rsidR="00434399" w:rsidRDefault="00434399" w:rsidP="00434399">
      <w:r>
        <w:t>While the exact application of the Telemeeting Profile Template depends on the actual application scenario, a generic five-step procedure is recommended as follows:</w:t>
      </w:r>
    </w:p>
    <w:p w14:paraId="286CD22C" w14:textId="0EB62A82" w:rsidR="00434399" w:rsidRDefault="00434399" w:rsidP="00434399">
      <w:r>
        <w:t xml:space="preserve">1.     </w:t>
      </w:r>
      <w:r w:rsidR="001A3380">
        <w:t xml:space="preserve">Examine </w:t>
      </w:r>
      <w:r>
        <w:t>the application scenario in terms of the purpose of the QoE assessment at hand as well as the use cases in terms of the telemeeting scenarios to be investigated</w:t>
      </w:r>
    </w:p>
    <w:p w14:paraId="71C7A03F" w14:textId="29A41876" w:rsidR="00434399" w:rsidRDefault="00434399" w:rsidP="00434399">
      <w:r>
        <w:lastRenderedPageBreak/>
        <w:t xml:space="preserve">2.     Go through the Telemeeting Profile Template, </w:t>
      </w:r>
      <w:r w:rsidR="004C6EA6">
        <w:t>i.e.,</w:t>
      </w:r>
      <w:r>
        <w:t xml:space="preserve"> the list of attributes outlined in Clause 8 of this recommendation</w:t>
      </w:r>
    </w:p>
    <w:p w14:paraId="125B8EEB" w14:textId="621EF4A2" w:rsidR="00434399" w:rsidRDefault="00434399" w:rsidP="00434399">
      <w:r>
        <w:t xml:space="preserve">3.     </w:t>
      </w:r>
      <w:r w:rsidR="001A3380">
        <w:t xml:space="preserve">Determine </w:t>
      </w:r>
      <w:r>
        <w:t>which of those attributes are relevant, typical or characteristic for the telemeeting use cases and, if applicable, also the QoE assessment scenario</w:t>
      </w:r>
    </w:p>
    <w:p w14:paraId="5D8694ED" w14:textId="77777777" w:rsidR="00434399" w:rsidRDefault="00434399" w:rsidP="00434399">
      <w:r>
        <w:t>4.     If necessary or desired: identify, measure or write down descriptors for each considered attribute</w:t>
      </w:r>
    </w:p>
    <w:p w14:paraId="0F0C33D9" w14:textId="145D99EA" w:rsidR="00434399" w:rsidRDefault="00434399" w:rsidP="00434399">
      <w:r>
        <w:t>5.     Use the structured characterization obtained in this way, i.e.</w:t>
      </w:r>
      <w:r w:rsidR="001A3380">
        <w:t>,</w:t>
      </w:r>
      <w:r>
        <w:t xml:space="preserve"> the list of relevant attributes with or without corresponding descriptors, as required by the application scenario at hand</w:t>
      </w:r>
    </w:p>
    <w:p w14:paraId="622DC6F3" w14:textId="77777777" w:rsidR="00434399" w:rsidRDefault="00434399" w:rsidP="00434399">
      <w:r>
        <w:t xml:space="preserve">Notes: </w:t>
      </w:r>
    </w:p>
    <w:p w14:paraId="11363E2F" w14:textId="77777777" w:rsidR="00434399" w:rsidRDefault="00434399" w:rsidP="00434399">
      <w:r>
        <w:t xml:space="preserve">Appendix I gives examples on how Steps 1 – 3 can be performed. </w:t>
      </w:r>
    </w:p>
    <w:p w14:paraId="68FC45BF" w14:textId="77777777" w:rsidR="00434399" w:rsidRDefault="00434399" w:rsidP="00434399">
      <w:r>
        <w:t xml:space="preserve">Appendix II gives examples for descriptors that could be used for Step 4. </w:t>
      </w:r>
    </w:p>
    <w:p w14:paraId="2E6C78D2" w14:textId="2CF7CED1" w:rsidR="001D5F73" w:rsidRPr="00434399" w:rsidRDefault="00434399" w:rsidP="00434399">
      <w:r>
        <w:t>Specific advice for implementing Step 5 is not part of this recommendation. However, the examples in Clause 6 may be used for orientation on how to proceed.</w:t>
      </w:r>
    </w:p>
    <w:p w14:paraId="7E9687D8" w14:textId="2BF97BB0" w:rsidR="00971850" w:rsidRDefault="008C334E" w:rsidP="00B60674">
      <w:r>
        <w:t>This Recommendation includes an electronic attachment containing the Telemeeting Profile Template in spreadsheet format.</w:t>
      </w:r>
    </w:p>
    <w:p w14:paraId="77E507A9" w14:textId="32934987" w:rsidR="00434399" w:rsidRPr="000A3D47" w:rsidRDefault="00434399" w:rsidP="000A3D47">
      <w:pPr>
        <w:pStyle w:val="Heading1"/>
      </w:pPr>
      <w:r>
        <w:t>8</w:t>
      </w:r>
      <w:r w:rsidRPr="00B60674">
        <w:tab/>
      </w:r>
      <w:r w:rsidRPr="00434399">
        <w:t>Description of the Telemeeting Profile Template</w:t>
      </w:r>
    </w:p>
    <w:p w14:paraId="1E0E462E" w14:textId="38CC448A" w:rsidR="00B60674" w:rsidRPr="000A3D47" w:rsidRDefault="00434399" w:rsidP="000A3D47">
      <w:pPr>
        <w:pStyle w:val="Heading2"/>
      </w:pPr>
      <w:r>
        <w:t>8</w:t>
      </w:r>
      <w:r w:rsidR="00B60674" w:rsidRPr="0048778D">
        <w:t>.1</w:t>
      </w:r>
      <w:r w:rsidR="00684DAB" w:rsidRPr="00B60674">
        <w:tab/>
      </w:r>
      <w:r w:rsidR="00B60674" w:rsidRPr="0048778D">
        <w:t>General concept of the Telemeeting Profile Template</w:t>
      </w:r>
    </w:p>
    <w:p w14:paraId="574CF056" w14:textId="05CFC3D6" w:rsidR="00434399" w:rsidRDefault="00434399" w:rsidP="00434399">
      <w:r>
        <w:t xml:space="preserve">The Telemeeting Profile Template can be seen as a kind of checklist that is based on the concept of attribute-value pairs: The attributes refer to the characteristic aspects of the telemeeting; the values represent possible instantiations for each aspect. As an example, one attribute is the communication mode, and possible values are audio, visual, audiovisual, tactile, text type, and graphics. Combinations of values are possible as well, e.g., audiovisual communication with additional text chat and so forth. As the example shows, the values are not per se numerical values. Hence, to avoid confusion, the instantiations of an attribute are </w:t>
      </w:r>
      <w:r w:rsidR="0082773F">
        <w:t>referred</w:t>
      </w:r>
      <w:r>
        <w:t xml:space="preserve"> to as descriptors in the remainder of this recommendation.</w:t>
      </w:r>
    </w:p>
    <w:p w14:paraId="3DACE85C" w14:textId="573D3EDB" w:rsidR="00434399" w:rsidRDefault="00434399" w:rsidP="00434399">
      <w:r>
        <w:t xml:space="preserve">Concerning the list of attributes, this recommendation uses the Quality Influence Factors (QIFs), see [b-Qualinet, b-Reiter, ITU-T Rec. P.1320] and QoE </w:t>
      </w:r>
      <w:r w:rsidR="006E764A">
        <w:t>constituents</w:t>
      </w:r>
      <w:r>
        <w:t>, see ITU-T Rec. P.1320 and [b-Skowronek2022a], as a tool to characterize telemeetings. This list of attributes has been developed over the last few years within the context of writing the aforementioned documents and it should be emphasized that the list is expected to evolve further with the progress of new XR-based telemeeting systems.</w:t>
      </w:r>
    </w:p>
    <w:p w14:paraId="4F7243FC" w14:textId="64CDB59C" w:rsidR="00B60674" w:rsidRDefault="00434399" w:rsidP="00434399">
      <w:r>
        <w:t xml:space="preserve">Concerning the descriptors, a good balance between covering all different possibilities and keeping the Telemeeting Profile Template manageable and comparable is necessary. This, for instance, is the case when an attribute refers to some technology aspect which can </w:t>
      </w:r>
      <w:r w:rsidR="00591E43">
        <w:t>have</w:t>
      </w:r>
      <w:r>
        <w:t xml:space="preserve"> many different implementations and thus many different descriptors. For that reason, a higher-level description is recommended, such as monotic, diotic, stereo, binaural, multichannel as example descriptors for the attribute spatial audio reproduction.</w:t>
      </w:r>
    </w:p>
    <w:p w14:paraId="6DA70CE3" w14:textId="77777777" w:rsidR="0048778D" w:rsidRDefault="0048778D" w:rsidP="00B60674"/>
    <w:p w14:paraId="3CA64159" w14:textId="29AF838E" w:rsidR="00B60674" w:rsidRPr="000A3D47" w:rsidRDefault="00B17CC8" w:rsidP="000A3D47">
      <w:pPr>
        <w:pStyle w:val="Heading2"/>
      </w:pPr>
      <w:r>
        <w:t>8</w:t>
      </w:r>
      <w:r w:rsidR="00B60674" w:rsidRPr="0048778D">
        <w:t>.2</w:t>
      </w:r>
      <w:r w:rsidR="00684DAB" w:rsidRPr="00B60674">
        <w:tab/>
      </w:r>
      <w:r w:rsidRPr="00B17CC8">
        <w:t>List of Quality Influence Factors as attributes for the Telemeeting Profile Template</w:t>
      </w:r>
    </w:p>
    <w:p w14:paraId="70052566" w14:textId="42EA386E" w:rsidR="00A2118D" w:rsidRDefault="00A2118D" w:rsidP="00B17CC8">
      <w:r>
        <w:t xml:space="preserve">Quality Influence Factors (QIFs) have been introduced in [b-Qualinet] as: “Any characteristic of a user, system, service, application, or context whose actual state or setting may have influence on the Quality of Experience for the user.” ITU-T Recommendation P.10 defines QoE influencing factors to “include the type and characteristics of the application or service, context of use, the user's expectations with respect to the application or service and their fulfillment, the user's cultural </w:t>
      </w:r>
      <w:r>
        <w:lastRenderedPageBreak/>
        <w:t xml:space="preserve">background, socio-economic issues, psychological profiles, emotional state of the user, and other factors whose number will likely expand with further research.” </w:t>
      </w:r>
    </w:p>
    <w:p w14:paraId="772BC922" w14:textId="3946B81B" w:rsidR="00B17CC8" w:rsidRDefault="00B17CC8" w:rsidP="00B17CC8">
      <w:r>
        <w:t>The variety of Quality Influence Factors given by these definitions has been structured into three main categories Human Influence Factors (HIFs), System Influence Factors (SIFs) and Context Influence Factors (CIFs), see [b-Qualitet, b-Reiter].</w:t>
      </w:r>
    </w:p>
    <w:p w14:paraId="65D01B87" w14:textId="4CF0AC47" w:rsidR="00B17CC8" w:rsidRDefault="00B17CC8" w:rsidP="00B17CC8">
      <w:r>
        <w:t>Moreover, as these three main categories of QIFs are not always fully separable [b-Reiter], the Telemeeting Profile Template considers in addition Mixed Influence Factors (MIFs), which represent those QIFs that fall between two or even all three categories. In addition, it should be noted that several Quality Influence Factors are strongly linked to or can be considered as Quality of Service (QoS) parameters, especially the System Influence Factors.</w:t>
      </w:r>
    </w:p>
    <w:p w14:paraId="7BBD05BF" w14:textId="27D21CB7" w:rsidR="00B17CC8" w:rsidRDefault="00B17CC8" w:rsidP="00B17CC8">
      <w:r>
        <w:t xml:space="preserve">To further structure the list for the Telemeeting Profile Template, the different categories are divided in </w:t>
      </w:r>
      <w:r w:rsidR="00646EBD">
        <w:t>several</w:t>
      </w:r>
      <w:r>
        <w:t xml:space="preserve"> sub-categories, each consisting of individual QIFs that share some common aspects.</w:t>
      </w:r>
    </w:p>
    <w:p w14:paraId="43597145" w14:textId="56BC3040" w:rsidR="00B17CC8" w:rsidRDefault="00B17CC8" w:rsidP="00B17CC8">
      <w:r>
        <w:t xml:space="preserve">Figure 1 visualizes the categories and sub-categories, while the full list of QIFs is given Figures 2 and 3. Note that the figures were created by merging the lists of QIFs discussed in ITU-T Rec. P.1320 and in [b-Skowronek2022a]. Further background information about the individual QIFs can be found in ITU-T Rec. P.1320, in [b-Skowronek2022a], in the supplementary material of that paper in [b-Skowronek2022b] and </w:t>
      </w:r>
      <w:r w:rsidR="00D803E5">
        <w:t xml:space="preserve">in </w:t>
      </w:r>
      <w:r>
        <w:t>[b-Skowronek2022c].</w:t>
      </w:r>
    </w:p>
    <w:p w14:paraId="2A3DB170" w14:textId="77777777" w:rsidR="00B17CC8" w:rsidRDefault="00B17CC8" w:rsidP="00B17CC8"/>
    <w:p w14:paraId="48114D66" w14:textId="77777777" w:rsidR="00B60674" w:rsidRDefault="002A1F01" w:rsidP="005032BB">
      <w:pPr>
        <w:jc w:val="center"/>
      </w:pPr>
      <w:r>
        <w:rPr>
          <w:noProof/>
          <w:lang w:val="de-DE" w:eastAsia="de-DE"/>
        </w:rPr>
        <w:drawing>
          <wp:inline distT="0" distB="0" distL="0" distR="0" wp14:anchorId="081C0DDA" wp14:editId="374C1D84">
            <wp:extent cx="6076950" cy="401426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5621" cy="4026597"/>
                    </a:xfrm>
                    <a:prstGeom prst="rect">
                      <a:avLst/>
                    </a:prstGeom>
                    <a:noFill/>
                  </pic:spPr>
                </pic:pic>
              </a:graphicData>
            </a:graphic>
          </wp:inline>
        </w:drawing>
      </w:r>
    </w:p>
    <w:p w14:paraId="5AD3173F" w14:textId="77777777" w:rsidR="002A1F01" w:rsidRDefault="002A1F01" w:rsidP="008B6E0D"/>
    <w:p w14:paraId="6F2FB9E1" w14:textId="4650A671" w:rsidR="002A1F01" w:rsidRPr="002A1F01" w:rsidRDefault="002A1F01" w:rsidP="002A1F01">
      <w:pPr>
        <w:jc w:val="both"/>
        <w:rPr>
          <w:i/>
        </w:rPr>
      </w:pPr>
      <w:r w:rsidRPr="002A1F01">
        <w:rPr>
          <w:i/>
        </w:rPr>
        <w:t xml:space="preserve">FIGURE 1. </w:t>
      </w:r>
      <w:r w:rsidR="00B17CC8" w:rsidRPr="00B17CC8">
        <w:rPr>
          <w:i/>
        </w:rPr>
        <w:t xml:space="preserve">Visualization of the different categories and subcategories of Quality Influence Factors (QIFs) used for the Telemeeting Profile Template, previously presented in [b-Skowronek2022a]. The categories are expressed as Human, Context and System Influence Factors and their combinations (Mixed Influence Factors). Each category contains </w:t>
      </w:r>
      <w:r w:rsidR="00D803E5" w:rsidRPr="00B17CC8">
        <w:rPr>
          <w:i/>
        </w:rPr>
        <w:t>several</w:t>
      </w:r>
      <w:r w:rsidR="00B17CC8" w:rsidRPr="00B17CC8">
        <w:rPr>
          <w:i/>
        </w:rPr>
        <w:t xml:space="preserve"> subcategories which in turn consist of individual QIFs.</w:t>
      </w:r>
    </w:p>
    <w:p w14:paraId="48747E67" w14:textId="16C6E116" w:rsidR="00B17CC8" w:rsidRDefault="001428D7" w:rsidP="005032BB">
      <w:pPr>
        <w:jc w:val="center"/>
        <w:rPr>
          <w:rFonts w:ascii="Arial" w:hAnsi="Arial" w:cs="Arial"/>
          <w:i/>
          <w:iCs/>
          <w:color w:val="000000"/>
          <w:sz w:val="22"/>
          <w:szCs w:val="22"/>
        </w:rPr>
      </w:pPr>
      <w:r>
        <w:rPr>
          <w:rFonts w:ascii="Arial" w:hAnsi="Arial" w:cs="Arial"/>
          <w:i/>
          <w:iCs/>
          <w:noProof/>
          <w:color w:val="000000"/>
          <w:sz w:val="22"/>
          <w:szCs w:val="22"/>
        </w:rPr>
        <w:lastRenderedPageBreak/>
        <w:drawing>
          <wp:inline distT="0" distB="0" distL="0" distR="0" wp14:anchorId="24685709" wp14:editId="066CCB7B">
            <wp:extent cx="5943600" cy="89801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8980170"/>
                    </a:xfrm>
                    <a:prstGeom prst="rect">
                      <a:avLst/>
                    </a:prstGeom>
                    <a:noFill/>
                    <a:ln>
                      <a:noFill/>
                    </a:ln>
                  </pic:spPr>
                </pic:pic>
              </a:graphicData>
            </a:graphic>
          </wp:inline>
        </w:drawing>
      </w:r>
    </w:p>
    <w:p w14:paraId="42551435" w14:textId="56C38F4A" w:rsidR="001428D7" w:rsidRDefault="00B17CC8" w:rsidP="005032BB">
      <w:pPr>
        <w:jc w:val="center"/>
        <w:rPr>
          <w:i/>
        </w:rPr>
      </w:pPr>
      <w:r w:rsidRPr="00B17CC8">
        <w:rPr>
          <w:i/>
        </w:rPr>
        <w:t>FIGURE 2. System and Human Influence Factors used for the Telemeeting Profile Template.</w:t>
      </w:r>
    </w:p>
    <w:p w14:paraId="1D5C9D69" w14:textId="5AACCB14" w:rsidR="00B17CC8" w:rsidRDefault="001428D7" w:rsidP="005032BB">
      <w:pPr>
        <w:jc w:val="center"/>
        <w:rPr>
          <w:color w:val="00B0F0"/>
        </w:rPr>
      </w:pPr>
      <w:r>
        <w:rPr>
          <w:noProof/>
          <w:color w:val="00B0F0"/>
        </w:rPr>
        <w:lastRenderedPageBreak/>
        <w:drawing>
          <wp:inline distT="0" distB="0" distL="0" distR="0" wp14:anchorId="3E95FB15" wp14:editId="2E284A07">
            <wp:extent cx="5943600" cy="89801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8980170"/>
                    </a:xfrm>
                    <a:prstGeom prst="rect">
                      <a:avLst/>
                    </a:prstGeom>
                    <a:noFill/>
                    <a:ln>
                      <a:noFill/>
                    </a:ln>
                  </pic:spPr>
                </pic:pic>
              </a:graphicData>
            </a:graphic>
          </wp:inline>
        </w:drawing>
      </w:r>
    </w:p>
    <w:p w14:paraId="331D6B3A" w14:textId="4281A1F9" w:rsidR="00B17CC8" w:rsidRPr="00B17CC8" w:rsidRDefault="00B17CC8" w:rsidP="005032BB">
      <w:pPr>
        <w:jc w:val="center"/>
        <w:rPr>
          <w:i/>
        </w:rPr>
      </w:pPr>
      <w:r w:rsidRPr="00B17CC8">
        <w:rPr>
          <w:i/>
        </w:rPr>
        <w:t>FIGURE 3. Context and Mixed Influence Factors used for the Telemeeting Profile Template.</w:t>
      </w:r>
    </w:p>
    <w:p w14:paraId="6F7FDE85" w14:textId="542EB0BD" w:rsidR="002A1F01" w:rsidRPr="000A3D47" w:rsidRDefault="00B17CC8" w:rsidP="000A3D47">
      <w:pPr>
        <w:pStyle w:val="Heading2"/>
      </w:pPr>
      <w:r w:rsidRPr="000A3D47">
        <w:lastRenderedPageBreak/>
        <w:t>8</w:t>
      </w:r>
      <w:r w:rsidR="000E55F2" w:rsidRPr="000A3D47">
        <w:t>.3</w:t>
      </w:r>
      <w:r w:rsidR="00684DAB" w:rsidRPr="00B60674">
        <w:tab/>
      </w:r>
      <w:r w:rsidRPr="000A3D47">
        <w:t xml:space="preserve">List of QoE </w:t>
      </w:r>
      <w:r w:rsidR="006E764A">
        <w:t>c</w:t>
      </w:r>
      <w:r w:rsidR="006E764A" w:rsidRPr="000A3D47">
        <w:t xml:space="preserve">onstituents </w:t>
      </w:r>
      <w:r w:rsidRPr="000A3D47">
        <w:t>as attributes for the Telemeeting Profile Template</w:t>
      </w:r>
    </w:p>
    <w:p w14:paraId="0E41EB9D" w14:textId="77777777" w:rsidR="00B17CC8" w:rsidRDefault="00B17CC8" w:rsidP="00B17CC8">
      <w:pPr>
        <w:spacing w:before="0" w:after="160" w:line="259" w:lineRule="auto"/>
      </w:pPr>
    </w:p>
    <w:p w14:paraId="3C959C57" w14:textId="6378A8E3" w:rsidR="00B17CC8" w:rsidRDefault="00B17CC8" w:rsidP="00B17CC8">
      <w:pPr>
        <w:spacing w:before="0" w:after="160" w:line="259" w:lineRule="auto"/>
      </w:pPr>
      <w:r>
        <w:t>According to ITU-T Rec. P</w:t>
      </w:r>
      <w:r w:rsidR="00D803E5">
        <w:t>.</w:t>
      </w:r>
      <w:r>
        <w:t>1320, a “QoE constituent is formed during an individual's experience of a service and contributes to its QoE”, which means that QoE constituents cover additional QoE-relevant characteristics of a telemeeting and are therefore included in the Telemeeting Profile Template.</w:t>
      </w:r>
    </w:p>
    <w:p w14:paraId="529B88B3" w14:textId="77777777" w:rsidR="00B17CC8" w:rsidRDefault="00B17CC8" w:rsidP="00B17CC8">
      <w:pPr>
        <w:spacing w:before="0" w:after="160" w:line="259" w:lineRule="auto"/>
      </w:pPr>
      <w:r>
        <w:t xml:space="preserve">Moreover, ITU-T Rec. P.1320 explains that “a QoE constituent can encompass aspects that are linked to the perception of speech, audio or video signals as well as other aspects such as, for instance, simulator sickness, immersion, feeling of presence, feeling of co-presence or usability.” </w:t>
      </w:r>
    </w:p>
    <w:p w14:paraId="33D825BA" w14:textId="052866C3" w:rsidR="00B17CC8" w:rsidRDefault="00B17CC8" w:rsidP="00B17CC8">
      <w:pPr>
        <w:spacing w:before="0" w:after="160" w:line="259" w:lineRule="auto"/>
      </w:pPr>
      <w:r>
        <w:t xml:space="preserve">Furthermore, ITU-T Rec. P.1320 differentiates between QIFs and QoE </w:t>
      </w:r>
      <w:r w:rsidR="006E764A">
        <w:t xml:space="preserve">constituents </w:t>
      </w:r>
      <w:r>
        <w:t>by highlighting that QoE constituents are formed inside the QoE formation process in the experiencing person's mind, while QIFs can either influence this QoE formation process or can influence all signals and contextual information of the telemeeting that form the input to the QoE formation process. For a more detailed discussion on the relation between QIFs and QoE constituents, the reader is referred to ITU-T Rec. P.1320 and [b-</w:t>
      </w:r>
      <w:r w:rsidR="00E0339D">
        <w:t>S</w:t>
      </w:r>
      <w:r>
        <w:t>kowronek2022a].</w:t>
      </w:r>
    </w:p>
    <w:p w14:paraId="68AA80B7" w14:textId="3FAEE89B" w:rsidR="00B17CC8" w:rsidRDefault="00B17CC8" w:rsidP="00B17CC8">
      <w:pPr>
        <w:spacing w:before="0" w:after="160" w:line="259" w:lineRule="auto"/>
        <w:rPr>
          <w:color w:val="00B0F0"/>
        </w:rPr>
      </w:pPr>
      <w:r>
        <w:t xml:space="preserve">Figure 4 lists the QoE </w:t>
      </w:r>
      <w:r w:rsidR="006E764A">
        <w:t xml:space="preserve">constituents </w:t>
      </w:r>
      <w:r>
        <w:t xml:space="preserve">used for the Telemeeting Profile Template, which was created by merging the QoE </w:t>
      </w:r>
      <w:r w:rsidR="006E764A">
        <w:t xml:space="preserve">constituents </w:t>
      </w:r>
      <w:r>
        <w:t>discussed in ITU-T Rec. P.1320 and in [b-</w:t>
      </w:r>
      <w:r w:rsidR="00E0339D">
        <w:t>S</w:t>
      </w:r>
      <w:r>
        <w:t>kowronek2022a].</w:t>
      </w:r>
    </w:p>
    <w:p w14:paraId="5F1EF8C9" w14:textId="479BFE95" w:rsidR="00B17CC8" w:rsidRDefault="00B17CC8">
      <w:pPr>
        <w:spacing w:before="0" w:after="160" w:line="259" w:lineRule="auto"/>
        <w:rPr>
          <w:lang w:val="en-US"/>
        </w:rPr>
      </w:pPr>
    </w:p>
    <w:p w14:paraId="46826D00" w14:textId="56CFE980" w:rsidR="00B17CC8" w:rsidRDefault="005032BB" w:rsidP="005032BB">
      <w:pPr>
        <w:spacing w:before="0" w:after="160" w:line="259" w:lineRule="auto"/>
        <w:jc w:val="center"/>
        <w:rPr>
          <w:lang w:val="en-US"/>
        </w:rPr>
      </w:pPr>
      <w:r>
        <w:rPr>
          <w:noProof/>
          <w:lang w:val="en-US"/>
        </w:rPr>
        <w:drawing>
          <wp:inline distT="0" distB="0" distL="0" distR="0" wp14:anchorId="2B0DD539" wp14:editId="3AF7FDC9">
            <wp:extent cx="2552065" cy="201993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52065" cy="2019935"/>
                    </a:xfrm>
                    <a:prstGeom prst="rect">
                      <a:avLst/>
                    </a:prstGeom>
                    <a:noFill/>
                    <a:ln>
                      <a:noFill/>
                    </a:ln>
                  </pic:spPr>
                </pic:pic>
              </a:graphicData>
            </a:graphic>
          </wp:inline>
        </w:drawing>
      </w:r>
    </w:p>
    <w:p w14:paraId="0417AEFE" w14:textId="76D803F9" w:rsidR="00B17CC8" w:rsidRPr="00B17CC8" w:rsidRDefault="00B17CC8" w:rsidP="005032BB">
      <w:pPr>
        <w:jc w:val="center"/>
        <w:rPr>
          <w:i/>
        </w:rPr>
      </w:pPr>
      <w:r w:rsidRPr="00B17CC8">
        <w:rPr>
          <w:i/>
        </w:rPr>
        <w:t xml:space="preserve">FIGURE 4. QoE </w:t>
      </w:r>
      <w:r w:rsidR="006E764A">
        <w:rPr>
          <w:i/>
        </w:rPr>
        <w:t>c</w:t>
      </w:r>
      <w:r w:rsidR="006E764A" w:rsidRPr="00B17CC8">
        <w:rPr>
          <w:i/>
        </w:rPr>
        <w:t xml:space="preserve">onstituents </w:t>
      </w:r>
      <w:r w:rsidRPr="00B17CC8">
        <w:rPr>
          <w:i/>
        </w:rPr>
        <w:t>used for the Telemeeting Profile Template.</w:t>
      </w:r>
    </w:p>
    <w:p w14:paraId="1BA0E645" w14:textId="77777777" w:rsidR="00B17CC8" w:rsidRPr="00B17CC8" w:rsidRDefault="00B17CC8" w:rsidP="00B17CC8">
      <w:pPr>
        <w:jc w:val="both"/>
        <w:rPr>
          <w:i/>
        </w:rPr>
      </w:pPr>
      <w:r w:rsidRPr="00B17CC8">
        <w:rPr>
          <w:i/>
        </w:rPr>
        <w:br w:type="page"/>
      </w:r>
    </w:p>
    <w:p w14:paraId="02B7A557" w14:textId="77777777" w:rsidR="008B6E0D" w:rsidRPr="00EC2A42" w:rsidRDefault="008B6E0D" w:rsidP="008B6E0D">
      <w:pPr>
        <w:pStyle w:val="AppendixNotitle"/>
      </w:pPr>
      <w:r w:rsidRPr="00EC2A42">
        <w:lastRenderedPageBreak/>
        <w:t>Appendix I</w:t>
      </w:r>
      <w:r w:rsidRPr="00EC2A42">
        <w:br/>
      </w:r>
      <w:r w:rsidRPr="00EC2A42">
        <w:br/>
      </w:r>
      <w:r w:rsidR="006655D9" w:rsidRPr="006655D9">
        <w:t>Using the Telemeetin</w:t>
      </w:r>
      <w:r w:rsidR="006655D9">
        <w:t>g Profile Template to describe</w:t>
      </w:r>
      <w:r w:rsidR="006655D9" w:rsidRPr="006655D9">
        <w:t xml:space="preserve"> use cases</w:t>
      </w:r>
    </w:p>
    <w:p w14:paraId="5A4EBD71" w14:textId="77777777" w:rsidR="008B6E0D" w:rsidRPr="00EC2A42" w:rsidRDefault="008B6E0D" w:rsidP="008B6E0D">
      <w:pPr>
        <w:jc w:val="center"/>
      </w:pPr>
      <w:r w:rsidRPr="00EC2A42">
        <w:t>(This appendix does not form an integral part of this Recommendation.)</w:t>
      </w:r>
      <w:r w:rsidRPr="00EC2A42">
        <w:br/>
      </w:r>
    </w:p>
    <w:p w14:paraId="1E892979" w14:textId="77777777" w:rsidR="00B17CC8" w:rsidRDefault="00B17CC8" w:rsidP="00B17CC8">
      <w:r>
        <w:t>This appendix describes in more detail how the Telemeeting Profile Template may be used to describe three use cases in which immersive sound technologies (also referred to as spatial audio technologies) are applied, and in which a system developer is interested to identify a list of requirements that need to be considered from a QoE perspective. Hence, this appendix refers to the third application scenario outlined in Clause 6 of the main body of this recommendation.</w:t>
      </w:r>
    </w:p>
    <w:p w14:paraId="0F08B724" w14:textId="77777777" w:rsidR="00B17CC8" w:rsidRDefault="00B17CC8" w:rsidP="00B17CC8">
      <w:r>
        <w:t>Focussing on social interaction scenarios, this appendix outlines a way of finding an optimal mapping of the technology and the use case. As a disclaimer, it is not the purpose to specify quantitative requirements in terms of values or the like, as this is subject to other standards. Instead, the aspects in this appendix are discussed from the perspective of the users and should be seen as qualitative requirements, with the intention to strive for a better understanding of the link between use cases of social interaction and appropriate technology for immersive sound.</w:t>
      </w:r>
    </w:p>
    <w:p w14:paraId="5C668BAF" w14:textId="77777777" w:rsidR="00B17CC8" w:rsidRDefault="00B17CC8" w:rsidP="00B17CC8">
      <w:r>
        <w:t>Starting point is to describe the social interaction use cases by adopting the Telemeeting Profile Template to identify a subset of relevant attributes (i.e., QIFs and QoE constituents) and to structure this subset in two parts: The first part contains a list of attributes that characterize the use case in terms of needs; the second part contains a list of attributes for which requirements should be defined depending on the items in the first part.</w:t>
      </w:r>
    </w:p>
    <w:p w14:paraId="1A5C3E3F" w14:textId="6509ADD6" w:rsidR="0058259F" w:rsidRDefault="00B17CC8" w:rsidP="00B17CC8">
      <w:r>
        <w:t>Practically, this can be done by taking the Telemeeting Profile Template and marking the relevant attributes with an N for needs and R for requirements. Doing this for the three use cases described in the subsections below leads to three lists with Ns and Rs. In Figures I.1 to I.5 these lists are combined across the three use cases for illustration purposes. After having obtained this overview of relevant aspects, the next step is to discuss the needs and respective technical requirements, which is exemplarily done in the next paragraphs.</w:t>
      </w:r>
    </w:p>
    <w:p w14:paraId="5FCCA5A4" w14:textId="77777777" w:rsidR="0058259F" w:rsidRDefault="0058259F" w:rsidP="006655D9"/>
    <w:p w14:paraId="11247AA5" w14:textId="77777777" w:rsidR="0058259F" w:rsidRDefault="0058259F">
      <w:pPr>
        <w:spacing w:before="0" w:after="160" w:line="259" w:lineRule="auto"/>
      </w:pPr>
      <w:r>
        <w:br w:type="page"/>
      </w:r>
    </w:p>
    <w:p w14:paraId="3F81CF74" w14:textId="25FF2B7C" w:rsidR="0058259F" w:rsidRDefault="005032BB" w:rsidP="006655D9">
      <w:r>
        <w:rPr>
          <w:noProof/>
        </w:rPr>
        <w:lastRenderedPageBreak/>
        <w:drawing>
          <wp:inline distT="0" distB="0" distL="0" distR="0" wp14:anchorId="659FC202" wp14:editId="4855FE07">
            <wp:extent cx="5943600" cy="76225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7622540"/>
                    </a:xfrm>
                    <a:prstGeom prst="rect">
                      <a:avLst/>
                    </a:prstGeom>
                    <a:noFill/>
                    <a:ln>
                      <a:noFill/>
                    </a:ln>
                  </pic:spPr>
                </pic:pic>
              </a:graphicData>
            </a:graphic>
          </wp:inline>
        </w:drawing>
      </w:r>
    </w:p>
    <w:p w14:paraId="201BC5A4" w14:textId="0276724C" w:rsidR="00960261" w:rsidRDefault="00960261" w:rsidP="005032BB">
      <w:pPr>
        <w:jc w:val="center"/>
      </w:pPr>
      <w:r w:rsidRPr="00B17CC8">
        <w:rPr>
          <w:i/>
        </w:rPr>
        <w:t xml:space="preserve">FIGURE </w:t>
      </w:r>
      <w:r>
        <w:rPr>
          <w:i/>
        </w:rPr>
        <w:t>I.1</w:t>
      </w:r>
      <w:r w:rsidRPr="00B17CC8">
        <w:rPr>
          <w:i/>
        </w:rPr>
        <w:t xml:space="preserve">. </w:t>
      </w:r>
      <w:r>
        <w:rPr>
          <w:i/>
        </w:rPr>
        <w:t xml:space="preserve">Overview </w:t>
      </w:r>
      <w:r w:rsidR="005032BB">
        <w:rPr>
          <w:i/>
        </w:rPr>
        <w:t xml:space="preserve">of relevant </w:t>
      </w:r>
      <w:r>
        <w:rPr>
          <w:i/>
        </w:rPr>
        <w:t>attributes for the three Example Use Cases 1 to 3 – part 1.</w:t>
      </w:r>
    </w:p>
    <w:p w14:paraId="13B75B7E" w14:textId="0B1581D0" w:rsidR="00960261" w:rsidRDefault="00960261">
      <w:pPr>
        <w:spacing w:before="0" w:after="160" w:line="259" w:lineRule="auto"/>
      </w:pPr>
      <w:r>
        <w:br w:type="page"/>
      </w:r>
    </w:p>
    <w:p w14:paraId="30F87E5E" w14:textId="3389833D" w:rsidR="00960261" w:rsidRDefault="005032BB" w:rsidP="00960261">
      <w:r>
        <w:rPr>
          <w:noProof/>
        </w:rPr>
        <w:lastRenderedPageBreak/>
        <w:drawing>
          <wp:inline distT="0" distB="0" distL="0" distR="0" wp14:anchorId="7611E4B0" wp14:editId="07B3718E">
            <wp:extent cx="5943600" cy="889828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912"/>
                    <a:stretch/>
                  </pic:blipFill>
                  <pic:spPr bwMode="auto">
                    <a:xfrm>
                      <a:off x="0" y="0"/>
                      <a:ext cx="5943600" cy="8898283"/>
                    </a:xfrm>
                    <a:prstGeom prst="rect">
                      <a:avLst/>
                    </a:prstGeom>
                    <a:noFill/>
                    <a:ln>
                      <a:noFill/>
                    </a:ln>
                    <a:extLst>
                      <a:ext uri="{53640926-AAD7-44D8-BBD7-CCE9431645EC}">
                        <a14:shadowObscured xmlns:a14="http://schemas.microsoft.com/office/drawing/2010/main"/>
                      </a:ext>
                    </a:extLst>
                  </pic:spPr>
                </pic:pic>
              </a:graphicData>
            </a:graphic>
          </wp:inline>
        </w:drawing>
      </w:r>
    </w:p>
    <w:p w14:paraId="48149E9C" w14:textId="4EBDD506" w:rsidR="00960261" w:rsidRDefault="00960261" w:rsidP="00960261">
      <w:r w:rsidRPr="00B17CC8">
        <w:rPr>
          <w:i/>
        </w:rPr>
        <w:t xml:space="preserve">FIGURE </w:t>
      </w:r>
      <w:r>
        <w:rPr>
          <w:i/>
        </w:rPr>
        <w:t>I.2</w:t>
      </w:r>
      <w:r w:rsidRPr="00B17CC8">
        <w:rPr>
          <w:i/>
        </w:rPr>
        <w:t xml:space="preserve">. </w:t>
      </w:r>
      <w:r w:rsidR="005032BB">
        <w:rPr>
          <w:i/>
        </w:rPr>
        <w:t>Overview of relevant attributes for the three Example Use Cases 1 to 3</w:t>
      </w:r>
      <w:r>
        <w:rPr>
          <w:i/>
        </w:rPr>
        <w:t xml:space="preserve"> – part 2.</w:t>
      </w:r>
    </w:p>
    <w:p w14:paraId="4D98E0C8" w14:textId="6A6BB1E1" w:rsidR="00960261" w:rsidRDefault="005032BB" w:rsidP="00960261">
      <w:r>
        <w:rPr>
          <w:noProof/>
        </w:rPr>
        <w:lastRenderedPageBreak/>
        <w:drawing>
          <wp:inline distT="0" distB="0" distL="0" distR="0" wp14:anchorId="0F436EEF" wp14:editId="5FB97FE1">
            <wp:extent cx="5943600" cy="79019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7901940"/>
                    </a:xfrm>
                    <a:prstGeom prst="rect">
                      <a:avLst/>
                    </a:prstGeom>
                    <a:noFill/>
                    <a:ln>
                      <a:noFill/>
                    </a:ln>
                  </pic:spPr>
                </pic:pic>
              </a:graphicData>
            </a:graphic>
          </wp:inline>
        </w:drawing>
      </w:r>
    </w:p>
    <w:p w14:paraId="7CF438C9" w14:textId="0B981EE8" w:rsidR="00960261" w:rsidRDefault="00960261" w:rsidP="00960261">
      <w:r w:rsidRPr="00B17CC8">
        <w:rPr>
          <w:i/>
        </w:rPr>
        <w:t xml:space="preserve">FIGURE </w:t>
      </w:r>
      <w:r>
        <w:rPr>
          <w:i/>
        </w:rPr>
        <w:t>I.3</w:t>
      </w:r>
      <w:r w:rsidRPr="00B17CC8">
        <w:rPr>
          <w:i/>
        </w:rPr>
        <w:t xml:space="preserve">. </w:t>
      </w:r>
      <w:r w:rsidR="005032BB">
        <w:rPr>
          <w:i/>
        </w:rPr>
        <w:t>Overview of relevant attributes for the three Example Use Cases 1 to 3</w:t>
      </w:r>
      <w:r>
        <w:rPr>
          <w:i/>
        </w:rPr>
        <w:t xml:space="preserve"> – part 3.</w:t>
      </w:r>
    </w:p>
    <w:p w14:paraId="61E70B46" w14:textId="3979FC22" w:rsidR="00960261" w:rsidRDefault="00960261">
      <w:pPr>
        <w:spacing w:before="0" w:after="160" w:line="259" w:lineRule="auto"/>
      </w:pPr>
      <w:r>
        <w:br w:type="page"/>
      </w:r>
    </w:p>
    <w:p w14:paraId="17CA6D56" w14:textId="5A56AB7D" w:rsidR="00960261" w:rsidRDefault="00960261" w:rsidP="006655D9"/>
    <w:p w14:paraId="4A1DCC05" w14:textId="21319BCE" w:rsidR="00960261" w:rsidRDefault="005032BB" w:rsidP="00960261">
      <w:r>
        <w:rPr>
          <w:noProof/>
        </w:rPr>
        <w:drawing>
          <wp:inline distT="0" distB="0" distL="0" distR="0" wp14:anchorId="7ADBAF37" wp14:editId="32AC9089">
            <wp:extent cx="5943600" cy="852995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8529955"/>
                    </a:xfrm>
                    <a:prstGeom prst="rect">
                      <a:avLst/>
                    </a:prstGeom>
                    <a:noFill/>
                    <a:ln>
                      <a:noFill/>
                    </a:ln>
                  </pic:spPr>
                </pic:pic>
              </a:graphicData>
            </a:graphic>
          </wp:inline>
        </w:drawing>
      </w:r>
    </w:p>
    <w:p w14:paraId="7428B38E" w14:textId="1AF0FFA1" w:rsidR="00960261" w:rsidRDefault="00960261" w:rsidP="00960261">
      <w:r w:rsidRPr="00B17CC8">
        <w:rPr>
          <w:i/>
        </w:rPr>
        <w:t xml:space="preserve">FIGURE </w:t>
      </w:r>
      <w:r>
        <w:rPr>
          <w:i/>
        </w:rPr>
        <w:t>I.4</w:t>
      </w:r>
      <w:r w:rsidRPr="00B17CC8">
        <w:rPr>
          <w:i/>
        </w:rPr>
        <w:t xml:space="preserve">. </w:t>
      </w:r>
      <w:r w:rsidR="005032BB">
        <w:rPr>
          <w:i/>
        </w:rPr>
        <w:t>Overview of relevant attributes for the three Example Use Cases 1 to 3</w:t>
      </w:r>
      <w:r>
        <w:rPr>
          <w:i/>
        </w:rPr>
        <w:t xml:space="preserve"> – part 4.</w:t>
      </w:r>
    </w:p>
    <w:p w14:paraId="49FDADBB" w14:textId="2EDAE230" w:rsidR="00960261" w:rsidRDefault="00960261">
      <w:pPr>
        <w:spacing w:before="0" w:after="160" w:line="259" w:lineRule="auto"/>
      </w:pPr>
      <w:r>
        <w:br w:type="page"/>
      </w:r>
    </w:p>
    <w:p w14:paraId="1E241206" w14:textId="1401C9BE" w:rsidR="00960261" w:rsidRDefault="00960261" w:rsidP="006655D9"/>
    <w:p w14:paraId="608768B7" w14:textId="023C5459" w:rsidR="00960261" w:rsidRDefault="005032BB" w:rsidP="00960261">
      <w:r>
        <w:rPr>
          <w:noProof/>
        </w:rPr>
        <w:drawing>
          <wp:inline distT="0" distB="0" distL="0" distR="0" wp14:anchorId="0C454F32" wp14:editId="1C5ACC51">
            <wp:extent cx="5793740" cy="2169795"/>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93740" cy="2169795"/>
                    </a:xfrm>
                    <a:prstGeom prst="rect">
                      <a:avLst/>
                    </a:prstGeom>
                    <a:noFill/>
                    <a:ln>
                      <a:noFill/>
                    </a:ln>
                  </pic:spPr>
                </pic:pic>
              </a:graphicData>
            </a:graphic>
          </wp:inline>
        </w:drawing>
      </w:r>
      <w:r w:rsidR="00960261" w:rsidRPr="00B17CC8">
        <w:rPr>
          <w:i/>
        </w:rPr>
        <w:t xml:space="preserve">FIGURE </w:t>
      </w:r>
      <w:r w:rsidR="00960261">
        <w:rPr>
          <w:i/>
        </w:rPr>
        <w:t>I.5</w:t>
      </w:r>
      <w:r w:rsidR="00960261" w:rsidRPr="00B17CC8">
        <w:rPr>
          <w:i/>
        </w:rPr>
        <w:t xml:space="preserve">. </w:t>
      </w:r>
      <w:r w:rsidR="00971850">
        <w:rPr>
          <w:i/>
        </w:rPr>
        <w:t>Overview of relevant attributes for the three Example Use Cases 1 to 3</w:t>
      </w:r>
      <w:r w:rsidR="00960261">
        <w:rPr>
          <w:i/>
        </w:rPr>
        <w:t xml:space="preserve"> – part 5.</w:t>
      </w:r>
    </w:p>
    <w:p w14:paraId="629C8AE3" w14:textId="0FAD31C8" w:rsidR="001B0548" w:rsidRDefault="001B0548">
      <w:pPr>
        <w:spacing w:before="0" w:after="160" w:line="259" w:lineRule="auto"/>
      </w:pPr>
    </w:p>
    <w:p w14:paraId="025B6C40" w14:textId="77777777" w:rsidR="00EF682F" w:rsidRDefault="00EF682F">
      <w:pPr>
        <w:spacing w:before="0" w:after="160" w:line="259" w:lineRule="auto"/>
      </w:pPr>
    </w:p>
    <w:p w14:paraId="2A891715" w14:textId="03C7E542" w:rsidR="0058259F" w:rsidRPr="00C73699" w:rsidRDefault="00C73699" w:rsidP="0058259F">
      <w:pPr>
        <w:rPr>
          <w:b/>
          <w:lang w:val="en-US"/>
        </w:rPr>
      </w:pPr>
      <w:r>
        <w:rPr>
          <w:b/>
          <w:lang w:val="en-US"/>
        </w:rPr>
        <w:t>I</w:t>
      </w:r>
      <w:r w:rsidR="0058259F" w:rsidRPr="00C73699">
        <w:rPr>
          <w:b/>
          <w:lang w:val="en-US"/>
        </w:rPr>
        <w:t>.1 Example Use Case 1:  Multiparty, one-per-site, audio-only telemeeting in a business context, lasting for two hours</w:t>
      </w:r>
    </w:p>
    <w:p w14:paraId="1A313749" w14:textId="1CD64929" w:rsidR="00960261" w:rsidRDefault="00960261" w:rsidP="00960261">
      <w:r>
        <w:t>According to ITU-T Rec. P.1301, a multiparty one-per-site business telemeeting (</w:t>
      </w:r>
      <w:r w:rsidR="008F01CD">
        <w:t>N-</w:t>
      </w:r>
      <w:r>
        <w:t>Attributes C01 and C02) means that more than two sites are connected (</w:t>
      </w:r>
      <w:r w:rsidR="008F01CD">
        <w:t>N-</w:t>
      </w:r>
      <w:r>
        <w:t>Attribute C04) and at each site only one person is present (</w:t>
      </w:r>
      <w:r w:rsidR="008F01CD">
        <w:t>N-</w:t>
      </w:r>
      <w:r>
        <w:t>Attribute C03). Thus, the technical requirements in terms of sound capture and signal processing are similar to those of setups without immersive sound. Examples to be considered are the type and positioning of the microphone(s) (R-Attribute M19), as well as signal processing algorithms for automatic gain control, environmental noise reduction, echo cancellation, dereverberation and so forth (R-Attribute S14).</w:t>
      </w:r>
    </w:p>
    <w:p w14:paraId="06006AC5" w14:textId="3FCDFC3E" w:rsidR="0058259F" w:rsidRDefault="00960261" w:rsidP="00960261">
      <w:r>
        <w:t>Concerning the sound reproduction, the situation can be analyzed as follows: Being a two hour long multiparty meeting, this example is challenging for participants in terms of experienced cognitive load and fatigue (R-Attribute QC07). To reduce such effects and make it a suitable replacement of a face-to-face meeting (</w:t>
      </w:r>
      <w:r w:rsidR="008F01CD">
        <w:t>R-</w:t>
      </w:r>
      <w:r>
        <w:t>Attribute M01), the system should provide a good spatial separation of the participant voices through adequate spatial representation (R-Attribute S02) and reproduction (R-Attribute S06). For headphone-based systems, for instance, this translates to the performance of the binaural synthesis in terms of the used cues (</w:t>
      </w:r>
      <w:r w:rsidR="00C73699">
        <w:t>i.e.,</w:t>
      </w:r>
      <w:r>
        <w:t xml:space="preserve"> the head-related transfer functions or binaural room impulse responses) and the spatial and temporal precision of tracking the head orientation of the listeners (if any applied). Together with high speech signal quality (R-Attribute S14), reasonable end-to-end delay (R-Attribute S18) and reliable network behavior (R-Attribute S19), spatial separation helps to ensure a good focal assurance (N-Attribute M24).  Furthermore, the system should take individual cognitive processing abilities into account (N-Attribute H05).</w:t>
      </w:r>
    </w:p>
    <w:p w14:paraId="590CB08D" w14:textId="77777777" w:rsidR="0058259F" w:rsidRDefault="0058259F" w:rsidP="0058259F">
      <w:r>
        <w:t xml:space="preserve"> </w:t>
      </w:r>
    </w:p>
    <w:p w14:paraId="56DDF8C6" w14:textId="7DEB7AD6" w:rsidR="0058259F" w:rsidRPr="00C73699" w:rsidRDefault="00C73699" w:rsidP="0058259F">
      <w:pPr>
        <w:rPr>
          <w:b/>
          <w:lang w:val="en-US"/>
        </w:rPr>
      </w:pPr>
      <w:r>
        <w:rPr>
          <w:b/>
          <w:lang w:val="en-US"/>
        </w:rPr>
        <w:t>I</w:t>
      </w:r>
      <w:r w:rsidR="0058259F" w:rsidRPr="00C73699">
        <w:rPr>
          <w:b/>
          <w:lang w:val="en-US"/>
        </w:rPr>
        <w:t>.2 Example Use Case 2:  Two-party meeting in a VR meeting room in a leisure time context, connecting close friends</w:t>
      </w:r>
    </w:p>
    <w:p w14:paraId="55ACD548" w14:textId="4A54E465" w:rsidR="00960261" w:rsidRDefault="00960261" w:rsidP="00960261">
      <w:r>
        <w:t>With the purpose of fulfilling social needs of the participants (N-Attributes C01 and C02), this use case can be characterized by the need to create a feeling of co-presences or even social presence (</w:t>
      </w:r>
      <w:r w:rsidR="008F01CD">
        <w:t>N-</w:t>
      </w:r>
      <w:r>
        <w:t>Attribute CQ03) of two participants (R-Attribute C03) at two sites (R-Attribute C04)</w:t>
      </w:r>
      <w:r w:rsidR="008F01CD">
        <w:t>.</w:t>
      </w:r>
      <w:r>
        <w:t xml:space="preserve"> Thus, the two close friends in this example use case have the need to maintain their degree of mutual friendship (N-Attribute H29) which can be achieved by feeling connected to each other even over the physical distance between them. Moreover, the use case is also an example of a multimodal communication mode (N-Attribute S01) requiring a high degree of realism (N-Attribute S09). These needs translate into a VR environment that sets high requirements for the auditory (</w:t>
      </w:r>
      <w:r w:rsidR="00660B0B">
        <w:t>R</w:t>
      </w:r>
      <w:r>
        <w:t xml:space="preserve">-Attribute S02) and visual </w:t>
      </w:r>
      <w:r>
        <w:lastRenderedPageBreak/>
        <w:t>representation (</w:t>
      </w:r>
      <w:r w:rsidR="00660B0B">
        <w:t>R</w:t>
      </w:r>
      <w:r>
        <w:t>-Attribute S04) of the participants, which in turn can be challenging not only in terms of the technology but also in terms of perceptual effects such as the uncanny valley effect.</w:t>
      </w:r>
    </w:p>
    <w:p w14:paraId="627F0ECF" w14:textId="77777777" w:rsidR="00960261" w:rsidRDefault="00960261" w:rsidP="00960261">
      <w:r>
        <w:t xml:space="preserve">Notice that in such a VR environment, the auditory and visual representation of the environment should be designed such that individual differences of participants’ propensity for immersion (N-Attribute H13) and susceptibility to simulator sickness (N-Attribute H14) is taken into </w:t>
      </w:r>
      <w:r w:rsidRPr="0053048A">
        <w:t>account</w:t>
      </w:r>
      <w:r>
        <w:t>.</w:t>
      </w:r>
    </w:p>
    <w:p w14:paraId="41E4A805" w14:textId="3F680B5E" w:rsidR="0058259F" w:rsidRDefault="00960261" w:rsidP="00960261">
      <w:r>
        <w:t>Moreover, as the meeting is taking place in a leisure time between two friends (R-Attribute C03), the use case can also be characterized by a very low degree of formalism (N-Attribute H18) and moderation (N-Attribute H17) of the conversation. That means, the system should support a natural conversation flow close to a face-to-face situation, which can be achieved by adequately transmitting non-verbal communication signals (R-Attribute M05) and ensuring low end-to-end delay (R-Attribute S18).</w:t>
      </w:r>
    </w:p>
    <w:p w14:paraId="7C0E9B48" w14:textId="77777777" w:rsidR="0058259F" w:rsidRDefault="0058259F" w:rsidP="0058259F">
      <w:r>
        <w:t xml:space="preserve"> </w:t>
      </w:r>
    </w:p>
    <w:p w14:paraId="576826B2" w14:textId="7EE859CB" w:rsidR="0058259F" w:rsidRPr="00C73699" w:rsidRDefault="00C73699" w:rsidP="0058259F">
      <w:pPr>
        <w:rPr>
          <w:b/>
          <w:lang w:val="en-US"/>
        </w:rPr>
      </w:pPr>
      <w:r>
        <w:rPr>
          <w:b/>
          <w:lang w:val="en-US"/>
        </w:rPr>
        <w:t>I</w:t>
      </w:r>
      <w:r w:rsidR="0058259F" w:rsidRPr="00C73699">
        <w:rPr>
          <w:b/>
          <w:lang w:val="en-US"/>
        </w:rPr>
        <w:t xml:space="preserve">.3 Example Use Case 3:  Multiparty collaboration connecting two physical meeting rooms via AR </w:t>
      </w:r>
    </w:p>
    <w:p w14:paraId="02408426" w14:textId="12EDC206" w:rsidR="00960261" w:rsidRDefault="00960261" w:rsidP="00960261">
      <w:r>
        <w:t>This use case means that at least at one out of two sites (</w:t>
      </w:r>
      <w:r w:rsidR="00660B0B">
        <w:t>N</w:t>
      </w:r>
      <w:r>
        <w:t>-Attribute C04) multiple persons are present in the same physical room (</w:t>
      </w:r>
      <w:r w:rsidR="00660B0B">
        <w:t>N</w:t>
      </w:r>
      <w:r>
        <w:t>-Attribute C03), which eventually leads to a mixture of face-to-face and mediated conversation (N-Attribute C05). For contemporary systems without immersive sound (R-Attribute M04), this already translates into requirements for the sound capture and signal processing that are usually more challenging compared to Use Case 1 because multiple persons need to be adequately captured (R-Attribute M19). This in turn puts higher demands on the different signal processing stages (R-Attributes S13 and S14), for instance due to a variety of locations and distances between microphones and the persons. Moreover, if the benefits of spatial audio shall be fully exploited, not only a good signal to noise ratio is necessary but also the capturing of the direction and ideally a good separation of the speech signals from individual speakers in that room. Depending on the room setup, this in turn can translate into smart controls for close-talk table microphones or beam forming and source separation algorithms for microphone arrays.</w:t>
      </w:r>
    </w:p>
    <w:p w14:paraId="001A492D" w14:textId="4B86A1AC" w:rsidR="00960261" w:rsidRDefault="00960261" w:rsidP="00960261">
      <w:r>
        <w:t xml:space="preserve">Concerning the sound reproduction, the requirements for the spatial sound reproduction technology (R-Attributes S02, S04 and S06) are similar to non-interactive use cases. Considering loudspeaker-based systems as the appropriate approach for this use case, example challenges are the provision of sufficiently large </w:t>
      </w:r>
      <w:r w:rsidR="007E7A6A">
        <w:t xml:space="preserve">sweet-spots </w:t>
      </w:r>
      <w:r>
        <w:t>for surround sound or HOA systems (R-Attribute M21), or the reduction of artifacts for focussed sources in WFS systems (R-Attribute S02).</w:t>
      </w:r>
    </w:p>
    <w:p w14:paraId="4F2FC861" w14:textId="4112DD5F" w:rsidR="0058259F" w:rsidRDefault="00960261" w:rsidP="00960261">
      <w:r>
        <w:t xml:space="preserve">Next to these considerations, this use case also concerns collaboration (R-Attribute S08), which results in a need for high degrees of freedom (N-Attribute S10) and involvement (N-Attribute </w:t>
      </w:r>
      <w:r w:rsidR="006552EA">
        <w:t>H</w:t>
      </w:r>
      <w:r>
        <w:t>21). Combining these needs with the fact that multiple persons are present in one room suggests that the required communication mode uses AR. A good collaboration in such an AR experience could further benefit from a mental model of the common communication environment (</w:t>
      </w:r>
      <w:r w:rsidR="006552EA">
        <w:t>R-</w:t>
      </w:r>
      <w:r>
        <w:t xml:space="preserve">Attribute QC06; R-Attributes M23 and M25) that is shared by all participants. These collaboration aspects translate into a </w:t>
      </w:r>
      <w:r w:rsidR="00175E77">
        <w:t xml:space="preserve">set </w:t>
      </w:r>
      <w:r>
        <w:t>of technical requirements concerning the auditory and visual representations of participants and especially the environments (R-Attributes S02–S05). To the best of the authors’ knowledge, the capturing (R-Attribute M04), reproduction (R-Attributes S06 and S07), and creation of the (virtual) communication environment (R-Attribute S08), and for AR in particular the mixture of real and virtual environments (</w:t>
      </w:r>
      <w:r w:rsidR="006552EA">
        <w:t>N</w:t>
      </w:r>
      <w:r>
        <w:t>-Attribute C05), is currently subject for further study. In the auditory domain, ongoing research on plausible (R-Attribute CQ04) representations of real acoustic rooms in virtual environments and on the consideration of neighbouring rooms that are acoustically coupled by open doors etc. could form the basis for respective applications.</w:t>
      </w:r>
    </w:p>
    <w:p w14:paraId="772716B0" w14:textId="77777777" w:rsidR="008B6E0D" w:rsidRPr="00CC31F6" w:rsidRDefault="008B6E0D" w:rsidP="006655D9">
      <w:r w:rsidRPr="00CC31F6">
        <w:br w:type="page"/>
      </w:r>
    </w:p>
    <w:p w14:paraId="319E5BE5" w14:textId="111A40E5" w:rsidR="006655D9" w:rsidRPr="00EC2A42" w:rsidRDefault="006655D9" w:rsidP="006655D9">
      <w:pPr>
        <w:pStyle w:val="AppendixNotitle"/>
      </w:pPr>
      <w:r w:rsidRPr="00EC2A42">
        <w:lastRenderedPageBreak/>
        <w:t>Appendix I</w:t>
      </w:r>
      <w:r>
        <w:t>I</w:t>
      </w:r>
      <w:r w:rsidRPr="00EC2A42">
        <w:br/>
      </w:r>
      <w:r w:rsidRPr="00EC2A42">
        <w:br/>
      </w:r>
      <w:r w:rsidR="009B667E" w:rsidRPr="009B667E">
        <w:t xml:space="preserve">Examples </w:t>
      </w:r>
      <w:r w:rsidR="0077508B">
        <w:t>of</w:t>
      </w:r>
      <w:r w:rsidR="0077508B" w:rsidRPr="009B667E">
        <w:t xml:space="preserve"> </w:t>
      </w:r>
      <w:r w:rsidR="009B667E" w:rsidRPr="009B667E">
        <w:t xml:space="preserve">values </w:t>
      </w:r>
      <w:r w:rsidR="009B667E">
        <w:t xml:space="preserve">and descriptors </w:t>
      </w:r>
      <w:r w:rsidR="009B667E" w:rsidRPr="009B667E">
        <w:t>that may be used in the Telemeeting Profile Template</w:t>
      </w:r>
    </w:p>
    <w:p w14:paraId="233820B5" w14:textId="77777777" w:rsidR="006655D9" w:rsidRPr="00EC2A42" w:rsidRDefault="006655D9" w:rsidP="006655D9">
      <w:pPr>
        <w:jc w:val="center"/>
      </w:pPr>
      <w:r w:rsidRPr="00EC2A42">
        <w:t>(This appendix does not form an integral part of this Recommendation.)</w:t>
      </w:r>
      <w:r w:rsidRPr="00EC2A42">
        <w:br/>
      </w:r>
    </w:p>
    <w:p w14:paraId="5AD2361C" w14:textId="55A13F33" w:rsidR="009B667E" w:rsidRDefault="001B0548" w:rsidP="009B667E">
      <w:r w:rsidRPr="001B0548">
        <w:t xml:space="preserve">The Telemeeting Profile Template can be considered as a set of attribute-value-pairs, whereas this recommendation refers to the values as descriptors, as those descriptors are not necessarily numerical values. As attributes it is recommended to use the Quality Influence Factors and QoE </w:t>
      </w:r>
      <w:r w:rsidR="006E764A">
        <w:t>c</w:t>
      </w:r>
      <w:r w:rsidR="006E764A" w:rsidRPr="001B0548">
        <w:t xml:space="preserve">onstituents </w:t>
      </w:r>
      <w:r w:rsidRPr="001B0548">
        <w:t xml:space="preserve">listed in Clause 8 of this recommendation. With respect to the descriptors, this recommendation does not define a mandatory list of such descriptors. However, the examples of possible descriptors in this appendix </w:t>
      </w:r>
      <w:r>
        <w:t xml:space="preserve">(Figures II.1 to </w:t>
      </w:r>
      <w:r w:rsidRPr="00C73699">
        <w:t>II.</w:t>
      </w:r>
      <w:r w:rsidR="00C73699" w:rsidRPr="00C73699">
        <w:t>10</w:t>
      </w:r>
      <w:r>
        <w:t xml:space="preserve"> </w:t>
      </w:r>
      <w:r w:rsidRPr="001B0548">
        <w:t>may be helpful to the users of this recommendation when filling in the Telemeeting Profile Template for a given set of telemeetings.</w:t>
      </w:r>
    </w:p>
    <w:p w14:paraId="4D72B939" w14:textId="77777777" w:rsidR="003C63EA" w:rsidRDefault="003C63EA" w:rsidP="009B667E"/>
    <w:p w14:paraId="3C33C330" w14:textId="481F26CE" w:rsidR="001B0548" w:rsidRDefault="001B0548">
      <w:pPr>
        <w:spacing w:before="0" w:after="160" w:line="259" w:lineRule="auto"/>
      </w:pPr>
      <w:r>
        <w:br w:type="page"/>
      </w:r>
    </w:p>
    <w:p w14:paraId="6E209715" w14:textId="3D6D0209" w:rsidR="001B0548" w:rsidRDefault="00C73699">
      <w:pPr>
        <w:spacing w:before="0" w:after="160" w:line="259" w:lineRule="auto"/>
      </w:pPr>
      <w:r>
        <w:rPr>
          <w:noProof/>
        </w:rPr>
        <w:lastRenderedPageBreak/>
        <w:drawing>
          <wp:inline distT="0" distB="0" distL="0" distR="0" wp14:anchorId="3CDE80AC" wp14:editId="19223C92">
            <wp:extent cx="5943600" cy="8857397"/>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1367"/>
                    <a:stretch/>
                  </pic:blipFill>
                  <pic:spPr bwMode="auto">
                    <a:xfrm>
                      <a:off x="0" y="0"/>
                      <a:ext cx="5943600" cy="8857397"/>
                    </a:xfrm>
                    <a:prstGeom prst="rect">
                      <a:avLst/>
                    </a:prstGeom>
                    <a:noFill/>
                    <a:ln>
                      <a:noFill/>
                    </a:ln>
                    <a:extLst>
                      <a:ext uri="{53640926-AAD7-44D8-BBD7-CCE9431645EC}">
                        <a14:shadowObscured xmlns:a14="http://schemas.microsoft.com/office/drawing/2010/main"/>
                      </a:ext>
                    </a:extLst>
                  </pic:spPr>
                </pic:pic>
              </a:graphicData>
            </a:graphic>
          </wp:inline>
        </w:drawing>
      </w:r>
    </w:p>
    <w:p w14:paraId="14F98184" w14:textId="7BEA9473" w:rsidR="001B0548" w:rsidRDefault="001B0548">
      <w:pPr>
        <w:spacing w:before="0" w:after="160" w:line="259" w:lineRule="auto"/>
      </w:pPr>
      <w:r w:rsidRPr="00B17CC8">
        <w:rPr>
          <w:i/>
        </w:rPr>
        <w:t xml:space="preserve">FIGURE </w:t>
      </w:r>
      <w:r>
        <w:rPr>
          <w:i/>
        </w:rPr>
        <w:t>II.1</w:t>
      </w:r>
      <w:r w:rsidRPr="00B17CC8">
        <w:rPr>
          <w:i/>
        </w:rPr>
        <w:t xml:space="preserve">. </w:t>
      </w:r>
      <w:r>
        <w:rPr>
          <w:i/>
        </w:rPr>
        <w:t xml:space="preserve">Examples </w:t>
      </w:r>
      <w:r w:rsidR="00684DAB">
        <w:rPr>
          <w:i/>
        </w:rPr>
        <w:t>of</w:t>
      </w:r>
      <w:r>
        <w:rPr>
          <w:i/>
        </w:rPr>
        <w:t xml:space="preserve"> descriptors for the Telemeeting Profile Template – part 1.</w:t>
      </w:r>
    </w:p>
    <w:p w14:paraId="44636207" w14:textId="49F8710E" w:rsidR="00C73699" w:rsidRDefault="005D1462">
      <w:pPr>
        <w:spacing w:before="0" w:after="160" w:line="259" w:lineRule="auto"/>
      </w:pPr>
      <w:r>
        <w:rPr>
          <w:noProof/>
        </w:rPr>
        <w:lastRenderedPageBreak/>
        <w:drawing>
          <wp:inline distT="0" distB="0" distL="0" distR="0" wp14:anchorId="57BA5B18" wp14:editId="2253379F">
            <wp:extent cx="5943581" cy="8864221"/>
            <wp:effectExtent l="0" t="0" r="63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911" b="400"/>
                    <a:stretch/>
                  </pic:blipFill>
                  <pic:spPr bwMode="auto">
                    <a:xfrm>
                      <a:off x="0" y="0"/>
                      <a:ext cx="5943600" cy="8864249"/>
                    </a:xfrm>
                    <a:prstGeom prst="rect">
                      <a:avLst/>
                    </a:prstGeom>
                    <a:noFill/>
                    <a:ln>
                      <a:noFill/>
                    </a:ln>
                    <a:extLst>
                      <a:ext uri="{53640926-AAD7-44D8-BBD7-CCE9431645EC}">
                        <a14:shadowObscured xmlns:a14="http://schemas.microsoft.com/office/drawing/2010/main"/>
                      </a:ext>
                    </a:extLst>
                  </pic:spPr>
                </pic:pic>
              </a:graphicData>
            </a:graphic>
          </wp:inline>
        </w:drawing>
      </w:r>
    </w:p>
    <w:p w14:paraId="7D56031F" w14:textId="0345AC1B" w:rsidR="00C73699" w:rsidRDefault="00C73699" w:rsidP="00C73699">
      <w:pPr>
        <w:spacing w:before="0" w:after="160" w:line="259" w:lineRule="auto"/>
      </w:pPr>
      <w:r w:rsidRPr="00B17CC8">
        <w:rPr>
          <w:i/>
        </w:rPr>
        <w:t xml:space="preserve">FIGURE </w:t>
      </w:r>
      <w:r>
        <w:rPr>
          <w:i/>
        </w:rPr>
        <w:t>II.2</w:t>
      </w:r>
      <w:r w:rsidRPr="00B17CC8">
        <w:rPr>
          <w:i/>
        </w:rPr>
        <w:t xml:space="preserve">. </w:t>
      </w:r>
      <w:r>
        <w:rPr>
          <w:i/>
        </w:rPr>
        <w:t xml:space="preserve">Examples </w:t>
      </w:r>
      <w:r w:rsidR="00684DAB">
        <w:rPr>
          <w:i/>
        </w:rPr>
        <w:t>of</w:t>
      </w:r>
      <w:r>
        <w:rPr>
          <w:i/>
        </w:rPr>
        <w:t xml:space="preserve"> descriptors for the Telemeeting Profile Template – part 2.</w:t>
      </w:r>
    </w:p>
    <w:p w14:paraId="3A93F078" w14:textId="04F34D1E" w:rsidR="00C73699" w:rsidRDefault="00C73699">
      <w:pPr>
        <w:spacing w:before="0" w:after="160" w:line="259" w:lineRule="auto"/>
      </w:pPr>
      <w:r>
        <w:rPr>
          <w:noProof/>
        </w:rPr>
        <w:lastRenderedPageBreak/>
        <w:drawing>
          <wp:inline distT="0" distB="0" distL="0" distR="0" wp14:anchorId="4829B444" wp14:editId="0FC147FC">
            <wp:extent cx="5943600" cy="68649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6864985"/>
                    </a:xfrm>
                    <a:prstGeom prst="rect">
                      <a:avLst/>
                    </a:prstGeom>
                    <a:noFill/>
                    <a:ln>
                      <a:noFill/>
                    </a:ln>
                  </pic:spPr>
                </pic:pic>
              </a:graphicData>
            </a:graphic>
          </wp:inline>
        </w:drawing>
      </w:r>
    </w:p>
    <w:p w14:paraId="23463C93" w14:textId="06D2763F" w:rsidR="00C73699" w:rsidRDefault="00C73699" w:rsidP="00C73699">
      <w:pPr>
        <w:spacing w:before="0" w:after="160" w:line="259" w:lineRule="auto"/>
      </w:pPr>
      <w:r w:rsidRPr="00B17CC8">
        <w:rPr>
          <w:i/>
        </w:rPr>
        <w:t xml:space="preserve">FIGURE </w:t>
      </w:r>
      <w:r>
        <w:rPr>
          <w:i/>
        </w:rPr>
        <w:t>II.3</w:t>
      </w:r>
      <w:r w:rsidRPr="00B17CC8">
        <w:rPr>
          <w:i/>
        </w:rPr>
        <w:t xml:space="preserve">. </w:t>
      </w:r>
      <w:r>
        <w:rPr>
          <w:i/>
        </w:rPr>
        <w:t xml:space="preserve">Examples </w:t>
      </w:r>
      <w:r w:rsidR="00684DAB">
        <w:rPr>
          <w:i/>
        </w:rPr>
        <w:t>of</w:t>
      </w:r>
      <w:r>
        <w:rPr>
          <w:i/>
        </w:rPr>
        <w:t xml:space="preserve"> descriptors for the Telemeeting Profile Template – part 3.</w:t>
      </w:r>
    </w:p>
    <w:p w14:paraId="070122D4" w14:textId="6638CF34" w:rsidR="00C73699" w:rsidRDefault="00C73699">
      <w:pPr>
        <w:spacing w:before="0" w:after="160" w:line="259" w:lineRule="auto"/>
      </w:pPr>
      <w:r>
        <w:br w:type="page"/>
      </w:r>
    </w:p>
    <w:p w14:paraId="2C71EA17" w14:textId="3F79EF5F" w:rsidR="00C73699" w:rsidRDefault="00C73699">
      <w:pPr>
        <w:spacing w:before="0" w:after="160" w:line="259" w:lineRule="auto"/>
      </w:pPr>
      <w:r>
        <w:rPr>
          <w:noProof/>
        </w:rPr>
        <w:lastRenderedPageBreak/>
        <w:drawing>
          <wp:inline distT="0" distB="0" distL="0" distR="0" wp14:anchorId="0AA6DC75" wp14:editId="0FDA28F1">
            <wp:extent cx="5943600" cy="8850573"/>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1443"/>
                    <a:stretch/>
                  </pic:blipFill>
                  <pic:spPr bwMode="auto">
                    <a:xfrm>
                      <a:off x="0" y="0"/>
                      <a:ext cx="5943600" cy="8850573"/>
                    </a:xfrm>
                    <a:prstGeom prst="rect">
                      <a:avLst/>
                    </a:prstGeom>
                    <a:noFill/>
                    <a:ln>
                      <a:noFill/>
                    </a:ln>
                    <a:extLst>
                      <a:ext uri="{53640926-AAD7-44D8-BBD7-CCE9431645EC}">
                        <a14:shadowObscured xmlns:a14="http://schemas.microsoft.com/office/drawing/2010/main"/>
                      </a:ext>
                    </a:extLst>
                  </pic:spPr>
                </pic:pic>
              </a:graphicData>
            </a:graphic>
          </wp:inline>
        </w:drawing>
      </w:r>
    </w:p>
    <w:p w14:paraId="5B77619E" w14:textId="101DD8C2" w:rsidR="00C73699" w:rsidRDefault="00C73699" w:rsidP="00C73699">
      <w:pPr>
        <w:spacing w:before="0" w:after="160" w:line="259" w:lineRule="auto"/>
      </w:pPr>
      <w:r w:rsidRPr="00B17CC8">
        <w:rPr>
          <w:i/>
        </w:rPr>
        <w:t xml:space="preserve">FIGURE </w:t>
      </w:r>
      <w:r>
        <w:rPr>
          <w:i/>
        </w:rPr>
        <w:t>II.4</w:t>
      </w:r>
      <w:r w:rsidRPr="00B17CC8">
        <w:rPr>
          <w:i/>
        </w:rPr>
        <w:t xml:space="preserve">. </w:t>
      </w:r>
      <w:r>
        <w:rPr>
          <w:i/>
        </w:rPr>
        <w:t xml:space="preserve">Examples </w:t>
      </w:r>
      <w:r w:rsidR="00684DAB">
        <w:rPr>
          <w:i/>
        </w:rPr>
        <w:t>of</w:t>
      </w:r>
      <w:r>
        <w:rPr>
          <w:i/>
        </w:rPr>
        <w:t xml:space="preserve"> descriptors for the Telemeeting Profile Template – part 4.</w:t>
      </w:r>
    </w:p>
    <w:p w14:paraId="2F4E6306" w14:textId="5B1FDACA" w:rsidR="00C73699" w:rsidRDefault="00C73699">
      <w:pPr>
        <w:spacing w:before="0" w:after="160" w:line="259" w:lineRule="auto"/>
      </w:pPr>
      <w:r>
        <w:rPr>
          <w:noProof/>
        </w:rPr>
        <w:lastRenderedPageBreak/>
        <w:drawing>
          <wp:inline distT="0" distB="0" distL="0" distR="0" wp14:anchorId="4F7F192B" wp14:editId="6D8D270C">
            <wp:extent cx="5943600" cy="7233285"/>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7233285"/>
                    </a:xfrm>
                    <a:prstGeom prst="rect">
                      <a:avLst/>
                    </a:prstGeom>
                    <a:noFill/>
                    <a:ln>
                      <a:noFill/>
                    </a:ln>
                  </pic:spPr>
                </pic:pic>
              </a:graphicData>
            </a:graphic>
          </wp:inline>
        </w:drawing>
      </w:r>
    </w:p>
    <w:p w14:paraId="47783BC6" w14:textId="169B10A4" w:rsidR="00C73699" w:rsidRDefault="00C73699" w:rsidP="00C73699">
      <w:pPr>
        <w:spacing w:before="0" w:after="160" w:line="259" w:lineRule="auto"/>
      </w:pPr>
      <w:r w:rsidRPr="00B17CC8">
        <w:rPr>
          <w:i/>
        </w:rPr>
        <w:t xml:space="preserve">FIGURE </w:t>
      </w:r>
      <w:r>
        <w:rPr>
          <w:i/>
        </w:rPr>
        <w:t>II.5</w:t>
      </w:r>
      <w:r w:rsidRPr="00B17CC8">
        <w:rPr>
          <w:i/>
        </w:rPr>
        <w:t xml:space="preserve">. </w:t>
      </w:r>
      <w:r>
        <w:rPr>
          <w:i/>
        </w:rPr>
        <w:t xml:space="preserve">Examples </w:t>
      </w:r>
      <w:r w:rsidR="00684DAB">
        <w:rPr>
          <w:i/>
        </w:rPr>
        <w:t>of</w:t>
      </w:r>
      <w:r>
        <w:rPr>
          <w:i/>
        </w:rPr>
        <w:t xml:space="preserve"> descriptors for the Telemeeting Profile Template – part 5.</w:t>
      </w:r>
    </w:p>
    <w:p w14:paraId="3D500EB3" w14:textId="512745A7" w:rsidR="00C73699" w:rsidRDefault="00C73699">
      <w:pPr>
        <w:spacing w:before="0" w:after="160" w:line="259" w:lineRule="auto"/>
      </w:pPr>
      <w:r>
        <w:br w:type="page"/>
      </w:r>
    </w:p>
    <w:p w14:paraId="6AA7EDD5" w14:textId="188FE40F" w:rsidR="00C73699" w:rsidRDefault="00C73699">
      <w:pPr>
        <w:spacing w:before="0" w:after="160" w:line="259" w:lineRule="auto"/>
      </w:pPr>
      <w:r>
        <w:rPr>
          <w:noProof/>
        </w:rPr>
        <w:lastRenderedPageBreak/>
        <w:drawing>
          <wp:inline distT="0" distB="0" distL="0" distR="0" wp14:anchorId="5500838E" wp14:editId="16F6E3DA">
            <wp:extent cx="5943600" cy="84207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8420735"/>
                    </a:xfrm>
                    <a:prstGeom prst="rect">
                      <a:avLst/>
                    </a:prstGeom>
                    <a:noFill/>
                    <a:ln>
                      <a:noFill/>
                    </a:ln>
                  </pic:spPr>
                </pic:pic>
              </a:graphicData>
            </a:graphic>
          </wp:inline>
        </w:drawing>
      </w:r>
    </w:p>
    <w:p w14:paraId="00988AED" w14:textId="2ABDD2B7" w:rsidR="00C73699" w:rsidRDefault="00C73699" w:rsidP="00C73699">
      <w:pPr>
        <w:spacing w:before="0" w:after="160" w:line="259" w:lineRule="auto"/>
      </w:pPr>
      <w:r w:rsidRPr="00B17CC8">
        <w:rPr>
          <w:i/>
        </w:rPr>
        <w:t xml:space="preserve">FIGURE </w:t>
      </w:r>
      <w:r>
        <w:rPr>
          <w:i/>
        </w:rPr>
        <w:t>II.6</w:t>
      </w:r>
      <w:r w:rsidRPr="00B17CC8">
        <w:rPr>
          <w:i/>
        </w:rPr>
        <w:t xml:space="preserve">. </w:t>
      </w:r>
      <w:r>
        <w:rPr>
          <w:i/>
        </w:rPr>
        <w:t xml:space="preserve">Examples </w:t>
      </w:r>
      <w:r w:rsidR="00684DAB">
        <w:rPr>
          <w:i/>
        </w:rPr>
        <w:t>of</w:t>
      </w:r>
      <w:r>
        <w:rPr>
          <w:i/>
        </w:rPr>
        <w:t xml:space="preserve"> descriptors for the Telemeeting Profile Template – part 6.</w:t>
      </w:r>
    </w:p>
    <w:p w14:paraId="34B0A4EB" w14:textId="664CE2E5" w:rsidR="00C73699" w:rsidRDefault="00C73699">
      <w:pPr>
        <w:spacing w:before="0" w:after="160" w:line="259" w:lineRule="auto"/>
      </w:pPr>
      <w:r>
        <w:br w:type="page"/>
      </w:r>
    </w:p>
    <w:p w14:paraId="2EA95118" w14:textId="7A017188" w:rsidR="00C73699" w:rsidRDefault="00C73699">
      <w:pPr>
        <w:spacing w:before="0" w:after="160" w:line="259" w:lineRule="auto"/>
      </w:pPr>
      <w:r>
        <w:rPr>
          <w:noProof/>
        </w:rPr>
        <w:lastRenderedPageBreak/>
        <w:drawing>
          <wp:inline distT="0" distB="0" distL="0" distR="0" wp14:anchorId="24649E03" wp14:editId="0C24C760">
            <wp:extent cx="5943600" cy="818896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8188960"/>
                    </a:xfrm>
                    <a:prstGeom prst="rect">
                      <a:avLst/>
                    </a:prstGeom>
                    <a:noFill/>
                    <a:ln>
                      <a:noFill/>
                    </a:ln>
                  </pic:spPr>
                </pic:pic>
              </a:graphicData>
            </a:graphic>
          </wp:inline>
        </w:drawing>
      </w:r>
    </w:p>
    <w:p w14:paraId="67589D66" w14:textId="0B239102" w:rsidR="00C73699" w:rsidRDefault="00C73699" w:rsidP="00C73699">
      <w:pPr>
        <w:spacing w:before="0" w:after="160" w:line="259" w:lineRule="auto"/>
      </w:pPr>
      <w:r w:rsidRPr="00B17CC8">
        <w:rPr>
          <w:i/>
        </w:rPr>
        <w:t xml:space="preserve">FIGURE </w:t>
      </w:r>
      <w:r>
        <w:rPr>
          <w:i/>
        </w:rPr>
        <w:t>II.7</w:t>
      </w:r>
      <w:r w:rsidRPr="00B17CC8">
        <w:rPr>
          <w:i/>
        </w:rPr>
        <w:t xml:space="preserve">. </w:t>
      </w:r>
      <w:r>
        <w:rPr>
          <w:i/>
        </w:rPr>
        <w:t xml:space="preserve">Examples </w:t>
      </w:r>
      <w:r w:rsidR="00684DAB">
        <w:rPr>
          <w:i/>
        </w:rPr>
        <w:t>of</w:t>
      </w:r>
      <w:r>
        <w:rPr>
          <w:i/>
        </w:rPr>
        <w:t xml:space="preserve"> descriptors for the Telemeeting Profile Template – part 7.</w:t>
      </w:r>
    </w:p>
    <w:p w14:paraId="19321D30" w14:textId="4F14CDBE" w:rsidR="00C73699" w:rsidRDefault="00C73699">
      <w:pPr>
        <w:spacing w:before="0" w:after="160" w:line="259" w:lineRule="auto"/>
      </w:pPr>
      <w:r>
        <w:br w:type="page"/>
      </w:r>
    </w:p>
    <w:p w14:paraId="6C25CF4F" w14:textId="42ED4AB2" w:rsidR="00C73699" w:rsidRDefault="00AC4A9D">
      <w:pPr>
        <w:spacing w:before="0" w:after="160" w:line="259" w:lineRule="auto"/>
      </w:pPr>
      <w:r>
        <w:rPr>
          <w:noProof/>
        </w:rPr>
        <w:lastRenderedPageBreak/>
        <w:drawing>
          <wp:inline distT="0" distB="0" distL="0" distR="0" wp14:anchorId="5D7FB315" wp14:editId="603284FE">
            <wp:extent cx="5943600" cy="7472045"/>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7472045"/>
                    </a:xfrm>
                    <a:prstGeom prst="rect">
                      <a:avLst/>
                    </a:prstGeom>
                    <a:noFill/>
                    <a:ln>
                      <a:noFill/>
                    </a:ln>
                  </pic:spPr>
                </pic:pic>
              </a:graphicData>
            </a:graphic>
          </wp:inline>
        </w:drawing>
      </w:r>
    </w:p>
    <w:p w14:paraId="3AC3B5C4" w14:textId="0A1F6DF1" w:rsidR="00C73699" w:rsidRDefault="00C73699" w:rsidP="00C73699">
      <w:pPr>
        <w:spacing w:before="0" w:after="160" w:line="259" w:lineRule="auto"/>
      </w:pPr>
      <w:r w:rsidRPr="00B17CC8">
        <w:rPr>
          <w:i/>
        </w:rPr>
        <w:t xml:space="preserve">FIGURE </w:t>
      </w:r>
      <w:r>
        <w:rPr>
          <w:i/>
        </w:rPr>
        <w:t>II.8</w:t>
      </w:r>
      <w:r w:rsidRPr="00B17CC8">
        <w:rPr>
          <w:i/>
        </w:rPr>
        <w:t xml:space="preserve">. </w:t>
      </w:r>
      <w:r>
        <w:rPr>
          <w:i/>
        </w:rPr>
        <w:t xml:space="preserve">Examples </w:t>
      </w:r>
      <w:r w:rsidR="00684DAB">
        <w:rPr>
          <w:i/>
        </w:rPr>
        <w:t>of</w:t>
      </w:r>
      <w:r>
        <w:rPr>
          <w:i/>
        </w:rPr>
        <w:t xml:space="preserve"> descriptors for the Telemeeting Profile Template – part 8.</w:t>
      </w:r>
    </w:p>
    <w:p w14:paraId="47CFEEEA" w14:textId="4F9A9384" w:rsidR="00C73699" w:rsidRDefault="00C73699">
      <w:pPr>
        <w:spacing w:before="0" w:after="160" w:line="259" w:lineRule="auto"/>
      </w:pPr>
    </w:p>
    <w:p w14:paraId="781A0DF6" w14:textId="469FB6CD" w:rsidR="00C73699" w:rsidRDefault="00C73699">
      <w:pPr>
        <w:spacing w:before="0" w:after="160" w:line="259" w:lineRule="auto"/>
      </w:pPr>
    </w:p>
    <w:p w14:paraId="3A17BE5E" w14:textId="53717345" w:rsidR="40C9FDA2" w:rsidRDefault="40C9FDA2" w:rsidP="6E24F9E3">
      <w:pPr>
        <w:spacing w:before="0" w:after="160" w:line="259" w:lineRule="auto"/>
      </w:pPr>
      <w:r>
        <w:rPr>
          <w:noProof/>
        </w:rPr>
        <w:lastRenderedPageBreak/>
        <w:drawing>
          <wp:inline distT="0" distB="0" distL="0" distR="0" wp14:anchorId="4AF0EA00" wp14:editId="2642060A">
            <wp:extent cx="5843700" cy="7560580"/>
            <wp:effectExtent l="0" t="0" r="0" b="0"/>
            <wp:docPr id="1872785655" name="Picture 187278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43700" cy="7560580"/>
                    </a:xfrm>
                    <a:prstGeom prst="rect">
                      <a:avLst/>
                    </a:prstGeom>
                  </pic:spPr>
                </pic:pic>
              </a:graphicData>
            </a:graphic>
          </wp:inline>
        </w:drawing>
      </w:r>
    </w:p>
    <w:p w14:paraId="4E1D4E44" w14:textId="4897A406" w:rsidR="00C73699" w:rsidRDefault="00C73699" w:rsidP="00C73699">
      <w:pPr>
        <w:spacing w:before="0" w:after="160" w:line="259" w:lineRule="auto"/>
        <w:rPr>
          <w:i/>
        </w:rPr>
      </w:pPr>
      <w:r w:rsidRPr="00B17CC8">
        <w:rPr>
          <w:i/>
        </w:rPr>
        <w:t xml:space="preserve">FIGURE </w:t>
      </w:r>
      <w:r>
        <w:rPr>
          <w:i/>
        </w:rPr>
        <w:t>II.9</w:t>
      </w:r>
      <w:r w:rsidRPr="00B17CC8">
        <w:rPr>
          <w:i/>
        </w:rPr>
        <w:t xml:space="preserve">. </w:t>
      </w:r>
      <w:r>
        <w:rPr>
          <w:i/>
        </w:rPr>
        <w:t xml:space="preserve">Examples </w:t>
      </w:r>
      <w:r w:rsidR="00684DAB">
        <w:rPr>
          <w:i/>
        </w:rPr>
        <w:t>of</w:t>
      </w:r>
      <w:r>
        <w:rPr>
          <w:i/>
        </w:rPr>
        <w:t xml:space="preserve"> descriptors for the Telemeeting Profile Template – part 9.</w:t>
      </w:r>
    </w:p>
    <w:p w14:paraId="202139A6" w14:textId="670F9A26" w:rsidR="00C73699" w:rsidRDefault="00C73699" w:rsidP="00C73699">
      <w:pPr>
        <w:spacing w:before="0" w:after="160" w:line="259" w:lineRule="auto"/>
        <w:rPr>
          <w:i/>
        </w:rPr>
      </w:pPr>
    </w:p>
    <w:p w14:paraId="5C9999E5" w14:textId="2A52FF3E" w:rsidR="00C73699" w:rsidRDefault="00C73699" w:rsidP="00C73699">
      <w:pPr>
        <w:spacing w:before="0" w:after="160" w:line="259" w:lineRule="auto"/>
        <w:rPr>
          <w:i/>
        </w:rPr>
      </w:pPr>
      <w:r>
        <w:rPr>
          <w:i/>
          <w:noProof/>
        </w:rPr>
        <w:lastRenderedPageBreak/>
        <w:drawing>
          <wp:inline distT="0" distB="0" distL="0" distR="0" wp14:anchorId="34EB5EF1" wp14:editId="1292F1CD">
            <wp:extent cx="5779770" cy="27908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79770" cy="2790825"/>
                    </a:xfrm>
                    <a:prstGeom prst="rect">
                      <a:avLst/>
                    </a:prstGeom>
                    <a:noFill/>
                    <a:ln>
                      <a:noFill/>
                    </a:ln>
                  </pic:spPr>
                </pic:pic>
              </a:graphicData>
            </a:graphic>
          </wp:inline>
        </w:drawing>
      </w:r>
    </w:p>
    <w:p w14:paraId="40471E51" w14:textId="2DE94ECC" w:rsidR="00C73699" w:rsidRDefault="00C73699" w:rsidP="00C73699">
      <w:pPr>
        <w:spacing w:before="0" w:after="160" w:line="259" w:lineRule="auto"/>
      </w:pPr>
      <w:r w:rsidRPr="00B17CC8">
        <w:rPr>
          <w:i/>
        </w:rPr>
        <w:t xml:space="preserve">FIGURE </w:t>
      </w:r>
      <w:r>
        <w:rPr>
          <w:i/>
        </w:rPr>
        <w:t>II.10</w:t>
      </w:r>
      <w:r w:rsidRPr="00B17CC8">
        <w:rPr>
          <w:i/>
        </w:rPr>
        <w:t xml:space="preserve">. </w:t>
      </w:r>
      <w:r>
        <w:rPr>
          <w:i/>
        </w:rPr>
        <w:t xml:space="preserve">Examples </w:t>
      </w:r>
      <w:r w:rsidR="00684DAB">
        <w:rPr>
          <w:i/>
        </w:rPr>
        <w:t>of</w:t>
      </w:r>
      <w:r>
        <w:rPr>
          <w:i/>
        </w:rPr>
        <w:t xml:space="preserve"> descriptors for the Telemeeting Profile Template – part 10.</w:t>
      </w:r>
    </w:p>
    <w:p w14:paraId="7557DA60" w14:textId="77777777" w:rsidR="00C73699" w:rsidRDefault="00C73699" w:rsidP="00C73699">
      <w:pPr>
        <w:spacing w:before="0" w:after="160" w:line="259" w:lineRule="auto"/>
      </w:pPr>
    </w:p>
    <w:p w14:paraId="7B14E392" w14:textId="77777777" w:rsidR="00C73699" w:rsidRDefault="00C73699">
      <w:pPr>
        <w:spacing w:before="0" w:after="160" w:line="259" w:lineRule="auto"/>
      </w:pPr>
    </w:p>
    <w:p w14:paraId="54AACD33" w14:textId="77777777" w:rsidR="00C73699" w:rsidRDefault="00C73699">
      <w:pPr>
        <w:spacing w:before="0" w:after="160" w:line="259" w:lineRule="auto"/>
      </w:pPr>
    </w:p>
    <w:p w14:paraId="234C78B4" w14:textId="2CFB6BCD" w:rsidR="006655D9" w:rsidRDefault="006655D9">
      <w:pPr>
        <w:spacing w:before="0" w:after="160" w:line="259" w:lineRule="auto"/>
        <w:rPr>
          <w:rFonts w:eastAsia="Times New Roman"/>
          <w:b/>
          <w:sz w:val="28"/>
          <w:szCs w:val="20"/>
          <w:lang w:eastAsia="en-US"/>
        </w:rPr>
      </w:pPr>
      <w:r>
        <w:br w:type="page"/>
      </w:r>
    </w:p>
    <w:p w14:paraId="47BF538D" w14:textId="77777777" w:rsidR="008B6E0D" w:rsidRDefault="008B6E0D" w:rsidP="008B6E0D">
      <w:pPr>
        <w:pStyle w:val="AppendixNotitle"/>
      </w:pPr>
      <w:r w:rsidRPr="00EC2A42">
        <w:lastRenderedPageBreak/>
        <w:t>Bibliography</w:t>
      </w:r>
    </w:p>
    <w:p w14:paraId="3D28A4FE" w14:textId="77777777" w:rsidR="009A28B3" w:rsidRPr="002415CB" w:rsidRDefault="009A28B3" w:rsidP="00BF09D3"/>
    <w:p w14:paraId="6A9E5856" w14:textId="5478F16A" w:rsidR="007F2D8F" w:rsidRPr="00F053B4" w:rsidRDefault="00576AB5" w:rsidP="006D339F">
      <w:pPr>
        <w:pStyle w:val="Reftext"/>
        <w:rPr>
          <w:color w:val="000000"/>
          <w:lang w:val="en-US"/>
        </w:rPr>
      </w:pPr>
      <w:r w:rsidRPr="00F053B4">
        <w:rPr>
          <w:color w:val="000000"/>
          <w:lang w:val="en-US"/>
        </w:rPr>
        <w:t xml:space="preserve"> </w:t>
      </w:r>
    </w:p>
    <w:p w14:paraId="440FD264" w14:textId="77777777" w:rsidR="006D339F" w:rsidRDefault="006D339F" w:rsidP="006D339F">
      <w:pPr>
        <w:pStyle w:val="Reftext"/>
      </w:pPr>
      <w:r>
        <w:rPr>
          <w:color w:val="000000"/>
          <w:szCs w:val="24"/>
          <w:lang w:val="en-US" w:eastAsia="de-DE"/>
        </w:rPr>
        <w:t>[b</w:t>
      </w:r>
      <w:r w:rsidRPr="004C4025">
        <w:rPr>
          <w:color w:val="000000"/>
          <w:szCs w:val="24"/>
          <w:lang w:val="en-US" w:eastAsia="de-DE"/>
        </w:rPr>
        <w:t>-</w:t>
      </w:r>
      <w:r w:rsidRPr="00D64879">
        <w:rPr>
          <w:color w:val="000000"/>
        </w:rPr>
        <w:t>Barakovic</w:t>
      </w:r>
      <w:r w:rsidRPr="004C4025">
        <w:rPr>
          <w:color w:val="000000"/>
        </w:rPr>
        <w:t>Husic</w:t>
      </w:r>
      <w:r w:rsidRPr="009C3C07">
        <w:rPr>
          <w:color w:val="000000"/>
          <w:lang w:val="en-US"/>
        </w:rPr>
        <w:t>]</w:t>
      </w:r>
      <w:r>
        <w:rPr>
          <w:color w:val="000000"/>
          <w:szCs w:val="24"/>
          <w:lang w:val="en-US" w:eastAsia="de-DE"/>
        </w:rPr>
        <w:tab/>
      </w:r>
      <w:r>
        <w:t>J. B. Husić, S. Baraković, E. Cero, N. Slamnik, M. Oćuz, A. Dedović, and O. Zupčić, ‘‘Quality of experience for unified communications: A survey,’’ Int. J. Netw. Manage., vol. 30, no. 3, p. e2083, May 2020, doi: 10.1002/nem.2083.</w:t>
      </w:r>
    </w:p>
    <w:p w14:paraId="2E0716CD" w14:textId="77777777" w:rsidR="006D339F" w:rsidRDefault="006D339F" w:rsidP="006D339F">
      <w:pPr>
        <w:pStyle w:val="Reftext"/>
      </w:pPr>
      <w:r>
        <w:rPr>
          <w:color w:val="000000"/>
        </w:rPr>
        <w:t>[b-</w:t>
      </w:r>
      <w:r w:rsidRPr="00021CB4">
        <w:rPr>
          <w:color w:val="000000"/>
        </w:rPr>
        <w:t>Batliner</w:t>
      </w:r>
      <w:r w:rsidRPr="00AB6D1F">
        <w:rPr>
          <w:color w:val="000000"/>
          <w:lang w:val="en-US"/>
        </w:rPr>
        <w:t>]</w:t>
      </w:r>
      <w:r w:rsidRPr="00AB6D1F">
        <w:rPr>
          <w:color w:val="000000"/>
          <w:lang w:val="en-US"/>
        </w:rPr>
        <w:tab/>
      </w:r>
      <w:r>
        <w:t>A. Batliner, B. Schuller, D. Seppi, S. Steidl, L. Devillers, L. Vidrascu, T. Vogt, V. Aharonson, and N. Amir, ‘‘The automatic recognition of emotions in speech,’’ in Emotion-Oriented Systems: The Humaine Handbook, R. Cowie, C. Pelachaud, and P. Petta, Eds. Berlin, Germany: Springer, 2011, pp. 71–99, doi: 10.1007/978-3-642-15184-2_6.</w:t>
      </w:r>
    </w:p>
    <w:p w14:paraId="61029375" w14:textId="59923AFC" w:rsidR="006D339F" w:rsidRPr="0048778D" w:rsidRDefault="006D339F" w:rsidP="006D339F">
      <w:pPr>
        <w:pStyle w:val="Reftext"/>
        <w:rPr>
          <w:szCs w:val="24"/>
          <w:lang w:val="en-US" w:eastAsia="de-DE"/>
        </w:rPr>
      </w:pPr>
      <w:r w:rsidRPr="0048778D">
        <w:rPr>
          <w:color w:val="000000"/>
          <w:szCs w:val="24"/>
          <w:lang w:val="en-US" w:eastAsia="de-DE"/>
        </w:rPr>
        <w:t>[b-Berndtsson]</w:t>
      </w:r>
      <w:r w:rsidRPr="0048778D">
        <w:rPr>
          <w:color w:val="000000"/>
          <w:szCs w:val="24"/>
          <w:lang w:val="en-US" w:eastAsia="de-DE"/>
        </w:rPr>
        <w:tab/>
        <w:t xml:space="preserve">G. Berndtsson, J. Skowronek, </w:t>
      </w:r>
      <w:r>
        <w:t>Immersive sound for social interactions in extended reality (XR) - insights and current challenges</w:t>
      </w:r>
      <w:r>
        <w:rPr>
          <w:color w:val="000000"/>
          <w:szCs w:val="24"/>
          <w:lang w:val="en-US" w:eastAsia="de-DE"/>
        </w:rPr>
        <w:t xml:space="preserve">, </w:t>
      </w:r>
      <w:r w:rsidRPr="0048778D">
        <w:rPr>
          <w:color w:val="000000"/>
          <w:szCs w:val="24"/>
          <w:lang w:val="en-US" w:eastAsia="de-DE"/>
        </w:rPr>
        <w:t xml:space="preserve">paper </w:t>
      </w:r>
      <w:r>
        <w:rPr>
          <w:color w:val="000000"/>
          <w:szCs w:val="24"/>
          <w:lang w:eastAsia="de-DE"/>
        </w:rPr>
        <w:t xml:space="preserve">in the </w:t>
      </w:r>
      <w:r w:rsidR="00D64879">
        <w:t xml:space="preserve">Proceedings </w:t>
      </w:r>
      <w:r>
        <w:t xml:space="preserve">of the 24th International Congress on Acoustics, </w:t>
      </w:r>
      <w:r w:rsidRPr="0048778D">
        <w:rPr>
          <w:color w:val="000000"/>
          <w:szCs w:val="24"/>
          <w:lang w:val="en-US" w:eastAsia="de-DE"/>
        </w:rPr>
        <w:t>ICA 2022, Kore</w:t>
      </w:r>
      <w:r>
        <w:rPr>
          <w:color w:val="000000"/>
          <w:szCs w:val="24"/>
          <w:lang w:val="en-US" w:eastAsia="de-DE"/>
        </w:rPr>
        <w:t>a</w:t>
      </w:r>
      <w:r>
        <w:rPr>
          <w:color w:val="000000"/>
          <w:szCs w:val="24"/>
          <w:lang w:eastAsia="de-DE"/>
        </w:rPr>
        <w:t>.</w:t>
      </w:r>
    </w:p>
    <w:p w14:paraId="3ADFD94E" w14:textId="5F27435F" w:rsidR="006D339F" w:rsidRDefault="006D339F" w:rsidP="006D339F">
      <w:pPr>
        <w:pStyle w:val="Reftext"/>
      </w:pPr>
      <w:r w:rsidRPr="0048778D">
        <w:rPr>
          <w:color w:val="000000"/>
          <w:szCs w:val="24"/>
          <w:lang w:val="en-US" w:eastAsia="de-DE"/>
        </w:rPr>
        <w:t>[</w:t>
      </w:r>
      <w:r w:rsidRPr="00270E56">
        <w:rPr>
          <w:color w:val="000000"/>
          <w:szCs w:val="24"/>
          <w:lang w:eastAsia="de-DE"/>
        </w:rPr>
        <w:t>b-Bruns</w:t>
      </w:r>
      <w:r w:rsidRPr="0048778D">
        <w:rPr>
          <w:color w:val="000000"/>
          <w:szCs w:val="24"/>
          <w:lang w:val="en-US" w:eastAsia="de-DE"/>
        </w:rPr>
        <w:t>]</w:t>
      </w:r>
      <w:r w:rsidRPr="0048778D">
        <w:rPr>
          <w:color w:val="000000"/>
          <w:szCs w:val="24"/>
          <w:lang w:val="en-US" w:eastAsia="de-DE"/>
        </w:rPr>
        <w:tab/>
      </w:r>
      <w:r>
        <w:t>Bruns P, Camargo CJ, Campanella H, Esteve J, Dinse HR, Röder B (2014). Tactile acuity charts: a reliable measure of spatial acuity. PLoS One. 2014 Feb 4;9(2):</w:t>
      </w:r>
      <w:r w:rsidR="00B67CB4">
        <w:t xml:space="preserve"> </w:t>
      </w:r>
      <w:r>
        <w:t>e87384. doi: 10.1371/journal.pone.0087384. PMID: 24504346; PMCID: PMC3913609.</w:t>
      </w:r>
    </w:p>
    <w:p w14:paraId="38A04B18" w14:textId="77777777" w:rsidR="006D339F" w:rsidRDefault="006D339F" w:rsidP="006D339F">
      <w:pPr>
        <w:pStyle w:val="Reftext"/>
        <w:rPr>
          <w:color w:val="000000"/>
          <w:szCs w:val="24"/>
          <w:lang w:val="en-US" w:eastAsia="de-DE"/>
        </w:rPr>
      </w:pPr>
      <w:r w:rsidRPr="0048778D">
        <w:rPr>
          <w:color w:val="000000"/>
          <w:szCs w:val="24"/>
          <w:lang w:val="en-US" w:eastAsia="de-DE"/>
        </w:rPr>
        <w:t>[</w:t>
      </w:r>
      <w:r w:rsidRPr="004D422A">
        <w:rPr>
          <w:color w:val="000000"/>
          <w:szCs w:val="24"/>
          <w:lang w:eastAsia="de-DE"/>
        </w:rPr>
        <w:t>b-Doty</w:t>
      </w:r>
      <w:r w:rsidRPr="0048778D">
        <w:rPr>
          <w:color w:val="000000"/>
          <w:szCs w:val="24"/>
          <w:lang w:val="en-US" w:eastAsia="de-DE"/>
        </w:rPr>
        <w:t>]</w:t>
      </w:r>
      <w:r w:rsidRPr="0048778D">
        <w:rPr>
          <w:color w:val="000000"/>
          <w:szCs w:val="24"/>
          <w:lang w:val="en-US" w:eastAsia="de-DE"/>
        </w:rPr>
        <w:tab/>
      </w:r>
      <w:r w:rsidRPr="004D422A">
        <w:rPr>
          <w:color w:val="000000"/>
          <w:szCs w:val="24"/>
          <w:lang w:val="en-US" w:eastAsia="de-DE"/>
        </w:rPr>
        <w:t>Richard L. Doty, Paul Shaman, Michael Dann</w:t>
      </w:r>
      <w:r>
        <w:rPr>
          <w:color w:val="000000"/>
          <w:szCs w:val="24"/>
          <w:lang w:val="en-US" w:eastAsia="de-DE"/>
        </w:rPr>
        <w:t xml:space="preserve"> (</w:t>
      </w:r>
      <w:r w:rsidRPr="004D422A">
        <w:rPr>
          <w:color w:val="000000"/>
          <w:szCs w:val="24"/>
          <w:lang w:val="en-US" w:eastAsia="de-DE"/>
        </w:rPr>
        <w:t>1984</w:t>
      </w:r>
      <w:r>
        <w:rPr>
          <w:color w:val="000000"/>
          <w:szCs w:val="24"/>
          <w:lang w:val="en-US" w:eastAsia="de-DE"/>
        </w:rPr>
        <w:t xml:space="preserve">). </w:t>
      </w:r>
      <w:r w:rsidRPr="004D422A">
        <w:rPr>
          <w:color w:val="000000"/>
          <w:szCs w:val="24"/>
          <w:lang w:val="en-US" w:eastAsia="de-DE"/>
        </w:rPr>
        <w:t>Development of the university of Pennsylvania smell identification test: A standardized microencapsulated test of olfactory function</w:t>
      </w:r>
      <w:r>
        <w:rPr>
          <w:color w:val="000000"/>
          <w:szCs w:val="24"/>
          <w:lang w:val="en-US" w:eastAsia="de-DE"/>
        </w:rPr>
        <w:t xml:space="preserve">. </w:t>
      </w:r>
      <w:r w:rsidRPr="004D422A">
        <w:rPr>
          <w:color w:val="000000"/>
          <w:szCs w:val="24"/>
          <w:lang w:val="en-US" w:eastAsia="de-DE"/>
        </w:rPr>
        <w:t>Physiology &amp; Behavior,</w:t>
      </w:r>
      <w:r>
        <w:rPr>
          <w:color w:val="000000"/>
          <w:szCs w:val="24"/>
          <w:lang w:val="en-US" w:eastAsia="de-DE"/>
        </w:rPr>
        <w:t xml:space="preserve"> </w:t>
      </w:r>
      <w:r w:rsidRPr="004D422A">
        <w:rPr>
          <w:color w:val="000000"/>
          <w:szCs w:val="24"/>
          <w:lang w:val="en-US" w:eastAsia="de-DE"/>
        </w:rPr>
        <w:t>Volume 32, Issue 3,</w:t>
      </w:r>
      <w:r>
        <w:rPr>
          <w:color w:val="000000"/>
          <w:szCs w:val="24"/>
          <w:lang w:val="en-US" w:eastAsia="de-DE"/>
        </w:rPr>
        <w:t xml:space="preserve"> </w:t>
      </w:r>
      <w:r w:rsidRPr="004D422A">
        <w:rPr>
          <w:color w:val="000000"/>
          <w:szCs w:val="24"/>
          <w:lang w:val="en-US" w:eastAsia="de-DE"/>
        </w:rPr>
        <w:t>Pages 489-502</w:t>
      </w:r>
      <w:r>
        <w:rPr>
          <w:color w:val="000000"/>
          <w:szCs w:val="24"/>
          <w:lang w:val="en-US" w:eastAsia="de-DE"/>
        </w:rPr>
        <w:t xml:space="preserve">. </w:t>
      </w:r>
      <w:r>
        <w:t xml:space="preserve">doi: </w:t>
      </w:r>
      <w:r w:rsidRPr="004D422A">
        <w:rPr>
          <w:color w:val="000000"/>
          <w:szCs w:val="24"/>
          <w:lang w:val="en-US" w:eastAsia="de-DE"/>
        </w:rPr>
        <w:t>https://doi.org/10.1016/0031-9384(84)90269-5.</w:t>
      </w:r>
    </w:p>
    <w:p w14:paraId="786DB5AD" w14:textId="77777777" w:rsidR="006D339F" w:rsidRPr="00866D4D" w:rsidRDefault="006D339F" w:rsidP="006D339F">
      <w:pPr>
        <w:pStyle w:val="Reftext"/>
        <w:rPr>
          <w:color w:val="000000"/>
          <w:lang w:val="en-US"/>
        </w:rPr>
      </w:pPr>
      <w:r>
        <w:rPr>
          <w:color w:val="000000"/>
        </w:rPr>
        <w:t>[b-</w:t>
      </w:r>
      <w:r w:rsidRPr="00021CB4">
        <w:rPr>
          <w:color w:val="000000"/>
        </w:rPr>
        <w:t>Hassenzahl</w:t>
      </w:r>
      <w:r w:rsidRPr="00961A4A">
        <w:rPr>
          <w:color w:val="000000"/>
          <w:lang w:val="en-US"/>
        </w:rPr>
        <w:t>]</w:t>
      </w:r>
      <w:r>
        <w:tab/>
        <w:t>M. Hassenzahl, ‘‘User experience (UX): Towards an experiential perspective on product quality,’’ in Proc. 20th Int. Conf. Assoc. Francophone d’Interaction Homme-Mach. (IHM), 2008, pp. 11–15.</w:t>
      </w:r>
    </w:p>
    <w:p w14:paraId="23DFA583" w14:textId="77777777" w:rsidR="006D339F" w:rsidRPr="00143ECF" w:rsidRDefault="006D339F" w:rsidP="006D339F">
      <w:pPr>
        <w:pStyle w:val="Reftext"/>
        <w:rPr>
          <w:color w:val="000000"/>
          <w:szCs w:val="24"/>
          <w:lang w:val="en-US" w:eastAsia="de-DE"/>
        </w:rPr>
      </w:pPr>
      <w:r>
        <w:rPr>
          <w:color w:val="000000"/>
        </w:rPr>
        <w:t>[b-</w:t>
      </w:r>
      <w:r w:rsidRPr="00021CB4">
        <w:rPr>
          <w:color w:val="000000"/>
        </w:rPr>
        <w:t>He</w:t>
      </w:r>
      <w:r w:rsidRPr="00143ECF">
        <w:rPr>
          <w:color w:val="000000"/>
          <w:lang w:val="en-US"/>
        </w:rPr>
        <w:t>]</w:t>
      </w:r>
      <w:r w:rsidRPr="00143ECF">
        <w:rPr>
          <w:color w:val="000000"/>
          <w:lang w:val="en-US"/>
        </w:rPr>
        <w:tab/>
      </w:r>
      <w:r>
        <w:t>L. He, M. Lech, N. C. Maddage, and N. B. Allen, ‘‘Study of empirical mode decomposition and spectral analysis for stress and emotion classification in natural speech,’’ Biomed. Signal Process. Control, vol. 6, no. 2, pp. 139–146, Apr. 2011, doi: 10.1016/j.bspc.2010.11.001.</w:t>
      </w:r>
    </w:p>
    <w:p w14:paraId="55DD4936" w14:textId="77777777" w:rsidR="006D339F" w:rsidRDefault="006D339F" w:rsidP="006D339F">
      <w:pPr>
        <w:pStyle w:val="Reftext"/>
        <w:rPr>
          <w:rStyle w:val="Hyperlink"/>
          <w:szCs w:val="24"/>
          <w:lang w:val="en-US" w:eastAsia="de-DE"/>
        </w:rPr>
      </w:pPr>
      <w:r w:rsidRPr="0048778D">
        <w:rPr>
          <w:color w:val="000000"/>
          <w:szCs w:val="24"/>
          <w:lang w:val="en-US" w:eastAsia="de-DE"/>
        </w:rPr>
        <w:t>[b-</w:t>
      </w:r>
      <w:r>
        <w:rPr>
          <w:color w:val="000000"/>
          <w:szCs w:val="24"/>
          <w:lang w:val="en-US" w:eastAsia="de-DE"/>
        </w:rPr>
        <w:t>ICD11</w:t>
      </w:r>
      <w:r w:rsidRPr="0048778D">
        <w:rPr>
          <w:color w:val="000000"/>
          <w:szCs w:val="24"/>
          <w:lang w:val="en-US" w:eastAsia="de-DE"/>
        </w:rPr>
        <w:t>]</w:t>
      </w:r>
      <w:r w:rsidRPr="0048778D">
        <w:rPr>
          <w:color w:val="000000"/>
          <w:szCs w:val="24"/>
          <w:lang w:val="en-US" w:eastAsia="de-DE"/>
        </w:rPr>
        <w:tab/>
      </w:r>
      <w:r>
        <w:rPr>
          <w:color w:val="000000"/>
          <w:szCs w:val="24"/>
          <w:lang w:val="en-US" w:eastAsia="de-DE"/>
        </w:rPr>
        <w:t xml:space="preserve">World Health Organization (2023). International Classification of Diseases 11th Revision. [Online]. Available: </w:t>
      </w:r>
      <w:hyperlink r:id="rId30" w:history="1">
        <w:r w:rsidRPr="00684DAB">
          <w:rPr>
            <w:color w:val="000000"/>
          </w:rPr>
          <w:t>https://icd.who.int/en</w:t>
        </w:r>
      </w:hyperlink>
    </w:p>
    <w:p w14:paraId="3E7F5D70" w14:textId="77777777" w:rsidR="00FD40CC" w:rsidRPr="001A2010" w:rsidRDefault="00FD40CC" w:rsidP="00FD40CC">
      <w:pPr>
        <w:pStyle w:val="Reftext"/>
        <w:rPr>
          <w:color w:val="000000"/>
          <w:szCs w:val="24"/>
          <w:lang w:val="en-US" w:eastAsia="de-DE"/>
        </w:rPr>
      </w:pPr>
      <w:r>
        <w:rPr>
          <w:color w:val="000000"/>
        </w:rPr>
        <w:t>[b-</w:t>
      </w:r>
      <w:r w:rsidRPr="00021CB4">
        <w:rPr>
          <w:color w:val="000000"/>
        </w:rPr>
        <w:t>IEEE-1858</w:t>
      </w:r>
      <w:r w:rsidRPr="001A2010">
        <w:rPr>
          <w:color w:val="000000"/>
          <w:lang w:val="en-US"/>
        </w:rPr>
        <w:t>]</w:t>
      </w:r>
      <w:r>
        <w:rPr>
          <w:color w:val="000000"/>
          <w:lang w:val="en-US"/>
        </w:rPr>
        <w:tab/>
      </w:r>
      <w:r>
        <w:t>IEEE Standard for Camera Phone Image Quality, IEEE Standard 1858-2016 (Incorporating IEEE Std 1858-2016/Cor 1-2017, IEEE Standards Association Board of Governors, 2017, pp. 1–146, doi: 10.1109/IEEESTD.2017.7921676.</w:t>
      </w:r>
      <w:r>
        <w:rPr>
          <w:color w:val="000000"/>
          <w:lang w:val="en-US"/>
        </w:rPr>
        <w:t xml:space="preserve">                          </w:t>
      </w:r>
    </w:p>
    <w:p w14:paraId="595B04EE" w14:textId="77777777" w:rsidR="00FD40CC" w:rsidRDefault="00FD40CC" w:rsidP="00A30E71">
      <w:pPr>
        <w:pStyle w:val="Reftext"/>
        <w:ind w:left="0" w:firstLine="0"/>
        <w:rPr>
          <w:color w:val="000000"/>
          <w:szCs w:val="24"/>
          <w:lang w:val="en-US" w:eastAsia="de-DE"/>
        </w:rPr>
      </w:pPr>
    </w:p>
    <w:p w14:paraId="254E866B" w14:textId="7653328C" w:rsidR="006D339F" w:rsidRPr="00BA1A23" w:rsidRDefault="006D339F" w:rsidP="006D339F">
      <w:pPr>
        <w:pStyle w:val="Reftext"/>
        <w:rPr>
          <w:color w:val="000000"/>
          <w:szCs w:val="24"/>
          <w:lang w:val="en-US" w:eastAsia="de-DE"/>
        </w:rPr>
      </w:pPr>
      <w:r w:rsidRPr="0048778D">
        <w:rPr>
          <w:color w:val="000000"/>
          <w:szCs w:val="24"/>
          <w:lang w:val="en-US" w:eastAsia="de-DE"/>
        </w:rPr>
        <w:t>[</w:t>
      </w:r>
      <w:r w:rsidRPr="004D422A">
        <w:rPr>
          <w:color w:val="000000"/>
          <w:szCs w:val="24"/>
          <w:lang w:eastAsia="de-DE"/>
        </w:rPr>
        <w:t>b-ISO8253</w:t>
      </w:r>
      <w:r w:rsidRPr="0048778D">
        <w:rPr>
          <w:color w:val="000000"/>
          <w:szCs w:val="24"/>
          <w:lang w:val="en-US" w:eastAsia="de-DE"/>
        </w:rPr>
        <w:t>]</w:t>
      </w:r>
      <w:r w:rsidRPr="0048778D">
        <w:rPr>
          <w:color w:val="000000"/>
          <w:szCs w:val="24"/>
          <w:lang w:val="en-US" w:eastAsia="de-DE"/>
        </w:rPr>
        <w:tab/>
      </w:r>
      <w:r>
        <w:rPr>
          <w:color w:val="000000"/>
          <w:szCs w:val="24"/>
          <w:lang w:val="en-US" w:eastAsia="de-DE"/>
        </w:rPr>
        <w:t xml:space="preserve">International Standardization Organization (2010). </w:t>
      </w:r>
      <w:r w:rsidRPr="004D422A">
        <w:rPr>
          <w:color w:val="000000"/>
          <w:szCs w:val="24"/>
          <w:lang w:val="en-US" w:eastAsia="de-DE"/>
        </w:rPr>
        <w:t>ISO 8253</w:t>
      </w:r>
      <w:r>
        <w:rPr>
          <w:color w:val="000000"/>
          <w:szCs w:val="24"/>
          <w:lang w:val="en-US" w:eastAsia="de-DE"/>
        </w:rPr>
        <w:t xml:space="preserve"> </w:t>
      </w:r>
      <w:r w:rsidRPr="004D422A">
        <w:rPr>
          <w:color w:val="000000"/>
          <w:szCs w:val="24"/>
          <w:lang w:val="en-US" w:eastAsia="de-DE"/>
        </w:rPr>
        <w:t>Acoustics — Audiometric test methods</w:t>
      </w:r>
      <w:r w:rsidR="00FA5105">
        <w:rPr>
          <w:color w:val="000000"/>
          <w:szCs w:val="24"/>
          <w:lang w:val="en-US" w:eastAsia="de-DE"/>
        </w:rPr>
        <w:t>.</w:t>
      </w:r>
      <w:r w:rsidRPr="004D422A">
        <w:rPr>
          <w:color w:val="000000"/>
          <w:szCs w:val="24"/>
          <w:lang w:val="en-US" w:eastAsia="de-DE"/>
        </w:rPr>
        <w:t xml:space="preserve"> </w:t>
      </w:r>
    </w:p>
    <w:p w14:paraId="50877CA1" w14:textId="77777777" w:rsidR="006D339F" w:rsidRDefault="006D339F" w:rsidP="006D339F">
      <w:pPr>
        <w:pStyle w:val="Reftext"/>
        <w:rPr>
          <w:color w:val="000000"/>
          <w:szCs w:val="24"/>
          <w:lang w:val="en-US" w:eastAsia="de-DE"/>
        </w:rPr>
      </w:pPr>
      <w:r w:rsidRPr="0048778D">
        <w:rPr>
          <w:color w:val="000000"/>
          <w:szCs w:val="24"/>
          <w:lang w:val="en-US" w:eastAsia="de-DE"/>
        </w:rPr>
        <w:t>[b-</w:t>
      </w:r>
      <w:r w:rsidRPr="004D422A">
        <w:rPr>
          <w:color w:val="000000"/>
          <w:szCs w:val="24"/>
          <w:lang w:eastAsia="de-DE"/>
        </w:rPr>
        <w:t>ISO8596</w:t>
      </w:r>
      <w:r w:rsidRPr="0048778D">
        <w:rPr>
          <w:color w:val="000000"/>
          <w:szCs w:val="24"/>
          <w:lang w:val="en-US" w:eastAsia="de-DE"/>
        </w:rPr>
        <w:t>]</w:t>
      </w:r>
      <w:r w:rsidRPr="0048778D">
        <w:rPr>
          <w:color w:val="000000"/>
          <w:szCs w:val="24"/>
          <w:lang w:val="en-US" w:eastAsia="de-DE"/>
        </w:rPr>
        <w:tab/>
      </w:r>
      <w:r>
        <w:rPr>
          <w:color w:val="000000"/>
          <w:szCs w:val="24"/>
          <w:lang w:val="en-US" w:eastAsia="de-DE"/>
        </w:rPr>
        <w:t xml:space="preserve">International Standardization Organization (2017). </w:t>
      </w:r>
      <w:r w:rsidRPr="004D422A">
        <w:rPr>
          <w:color w:val="000000"/>
          <w:szCs w:val="24"/>
          <w:lang w:val="en-US" w:eastAsia="de-DE"/>
        </w:rPr>
        <w:t>ISO 8596:2017</w:t>
      </w:r>
      <w:r>
        <w:rPr>
          <w:color w:val="000000"/>
          <w:szCs w:val="24"/>
          <w:lang w:val="en-US" w:eastAsia="de-DE"/>
        </w:rPr>
        <w:t xml:space="preserve"> </w:t>
      </w:r>
      <w:r w:rsidRPr="004D422A">
        <w:rPr>
          <w:color w:val="000000"/>
          <w:szCs w:val="24"/>
          <w:lang w:val="en-US" w:eastAsia="de-DE"/>
        </w:rPr>
        <w:t>Ophthalmic optics — Visual acuity testing — Standard and clinical optotypes and their presentation</w:t>
      </w:r>
      <w:r>
        <w:rPr>
          <w:color w:val="000000"/>
          <w:szCs w:val="24"/>
          <w:lang w:val="en-US" w:eastAsia="de-DE"/>
        </w:rPr>
        <w:t>.</w:t>
      </w:r>
    </w:p>
    <w:p w14:paraId="5D0B7D82" w14:textId="75D6BE87" w:rsidR="008F2C54" w:rsidRDefault="00D6520D" w:rsidP="00524F83">
      <w:pPr>
        <w:pStyle w:val="Reftext"/>
        <w:rPr>
          <w:color w:val="000000"/>
          <w:szCs w:val="24"/>
          <w:lang w:val="en-US" w:eastAsia="de-DE"/>
        </w:rPr>
      </w:pPr>
      <w:r>
        <w:rPr>
          <w:color w:val="000000"/>
        </w:rPr>
        <w:t>[b-</w:t>
      </w:r>
      <w:r w:rsidRPr="00021CB4">
        <w:rPr>
          <w:color w:val="000000"/>
        </w:rPr>
        <w:t>ITU-R BS.1116.3</w:t>
      </w:r>
      <w:r w:rsidRPr="00027F2C">
        <w:rPr>
          <w:color w:val="000000"/>
          <w:lang w:val="en-US"/>
        </w:rPr>
        <w:t>]</w:t>
      </w:r>
      <w:r w:rsidRPr="00027F2C">
        <w:rPr>
          <w:color w:val="000000"/>
          <w:lang w:val="en-US"/>
        </w:rPr>
        <w:tab/>
      </w:r>
      <w:r w:rsidR="00524F83" w:rsidRPr="00B55B8E">
        <w:rPr>
          <w:lang w:val="en-US"/>
        </w:rPr>
        <w:t>Recommendation ITU-R BS.1116-</w:t>
      </w:r>
      <w:r w:rsidR="007E1E2B">
        <w:rPr>
          <w:lang w:val="en-US"/>
        </w:rPr>
        <w:t>3</w:t>
      </w:r>
      <w:r w:rsidR="00524F83" w:rsidRPr="00B55B8E">
        <w:rPr>
          <w:lang w:val="en-US"/>
        </w:rPr>
        <w:t xml:space="preserve"> (</w:t>
      </w:r>
      <w:r w:rsidR="0017647F">
        <w:rPr>
          <w:lang w:val="en-US"/>
        </w:rPr>
        <w:t>02</w:t>
      </w:r>
      <w:r w:rsidR="00524F83" w:rsidRPr="00B55B8E">
        <w:rPr>
          <w:lang w:val="en-US"/>
        </w:rPr>
        <w:t>/</w:t>
      </w:r>
      <w:r w:rsidR="0017647F">
        <w:rPr>
          <w:lang w:val="en-US"/>
        </w:rPr>
        <w:t>2015</w:t>
      </w:r>
      <w:r w:rsidR="00524F83" w:rsidRPr="00B55B8E">
        <w:rPr>
          <w:lang w:val="en-US"/>
        </w:rPr>
        <w:t xml:space="preserve">), </w:t>
      </w:r>
      <w:r w:rsidR="00524F83" w:rsidRPr="00B55B8E">
        <w:rPr>
          <w:i/>
          <w:lang w:val="en-US"/>
        </w:rPr>
        <w:t>Methods for the subjective assessment of small impairments in audio systems</w:t>
      </w:r>
    </w:p>
    <w:p w14:paraId="00D27ED4" w14:textId="72CA1523" w:rsidR="008F2C54" w:rsidRPr="00027F2C" w:rsidRDefault="008F2C54" w:rsidP="008F2C54">
      <w:pPr>
        <w:pStyle w:val="Reftext"/>
        <w:rPr>
          <w:color w:val="000000"/>
          <w:lang w:val="en-US" w:eastAsia="de-DE"/>
        </w:rPr>
      </w:pPr>
      <w:r w:rsidRPr="6E24F9E3">
        <w:rPr>
          <w:color w:val="000000" w:themeColor="text1"/>
        </w:rPr>
        <w:lastRenderedPageBreak/>
        <w:t>[b-ITU-R BT.2246]</w:t>
      </w:r>
      <w:r>
        <w:tab/>
      </w:r>
      <w:r w:rsidR="48F52FAA" w:rsidRPr="6E24F9E3">
        <w:rPr>
          <w:color w:val="000000" w:themeColor="text1"/>
          <w:lang w:val="en-US"/>
        </w:rPr>
        <w:t xml:space="preserve">International Standardization Report ITU-R Rep. BT.2246-7 (2020), </w:t>
      </w:r>
      <w:r w:rsidR="48F52FAA" w:rsidRPr="00283E7F">
        <w:rPr>
          <w:i/>
          <w:iCs/>
          <w:color w:val="000000" w:themeColor="text1"/>
          <w:lang w:val="en-US"/>
        </w:rPr>
        <w:t>The Present State of Ultra-High Defnition Television</w:t>
      </w:r>
      <w:r w:rsidR="48F52FAA" w:rsidRPr="6E24F9E3">
        <w:rPr>
          <w:color w:val="000000" w:themeColor="text1"/>
          <w:lang w:val="en-US"/>
        </w:rPr>
        <w:t>, International Telecommunication Union, Geneva, Switzerland.</w:t>
      </w:r>
    </w:p>
    <w:p w14:paraId="2658326E" w14:textId="2AB965BC" w:rsidR="008F2C54" w:rsidRPr="00D64879" w:rsidRDefault="008F2C54" w:rsidP="008F2C54">
      <w:pPr>
        <w:pStyle w:val="Reftext"/>
        <w:rPr>
          <w:color w:val="000000"/>
        </w:rPr>
      </w:pPr>
      <w:r w:rsidRPr="00D64879">
        <w:rPr>
          <w:color w:val="000000"/>
        </w:rPr>
        <w:t>[b-</w:t>
      </w:r>
      <w:r w:rsidRPr="00021CB4">
        <w:rPr>
          <w:color w:val="000000"/>
        </w:rPr>
        <w:t>ITU-T G.114</w:t>
      </w:r>
      <w:r w:rsidRPr="00D64879">
        <w:rPr>
          <w:color w:val="000000"/>
        </w:rPr>
        <w:t>]</w:t>
      </w:r>
      <w:r w:rsidR="0055354A">
        <w:rPr>
          <w:color w:val="000000"/>
        </w:rPr>
        <w:tab/>
      </w:r>
      <w:r w:rsidR="0055354A" w:rsidRPr="00591437">
        <w:rPr>
          <w:lang w:val="en-US"/>
        </w:rPr>
        <w:t xml:space="preserve">Recommendation ITU-T G.114 (05/2003), </w:t>
      </w:r>
      <w:r w:rsidR="0055354A" w:rsidRPr="00591437">
        <w:rPr>
          <w:i/>
          <w:lang w:val="en-US"/>
        </w:rPr>
        <w:t>One-way transmission</w:t>
      </w:r>
      <w:r w:rsidR="0055354A">
        <w:rPr>
          <w:i/>
          <w:lang w:val="en-US"/>
        </w:rPr>
        <w:t xml:space="preserve"> </w:t>
      </w:r>
      <w:r w:rsidR="0055354A" w:rsidRPr="00591437">
        <w:rPr>
          <w:i/>
          <w:lang w:val="en-US"/>
        </w:rPr>
        <w:t>time</w:t>
      </w:r>
      <w:r w:rsidR="0055354A">
        <w:rPr>
          <w:i/>
          <w:lang w:val="en-US"/>
        </w:rPr>
        <w:t>.</w:t>
      </w:r>
    </w:p>
    <w:p w14:paraId="20936E45" w14:textId="689C6786" w:rsidR="008F2C54" w:rsidRPr="00D64879" w:rsidRDefault="008F2C54" w:rsidP="008F2C54">
      <w:pPr>
        <w:pStyle w:val="Reftext"/>
        <w:rPr>
          <w:color w:val="000000"/>
        </w:rPr>
      </w:pPr>
      <w:r w:rsidRPr="00D64879">
        <w:rPr>
          <w:color w:val="000000"/>
        </w:rPr>
        <w:t>[b-</w:t>
      </w:r>
      <w:r w:rsidRPr="00021CB4">
        <w:rPr>
          <w:color w:val="000000"/>
        </w:rPr>
        <w:t>ITU-T</w:t>
      </w:r>
      <w:r w:rsidRPr="00D64879">
        <w:rPr>
          <w:color w:val="000000"/>
        </w:rPr>
        <w:t xml:space="preserve"> </w:t>
      </w:r>
      <w:r w:rsidRPr="00021CB4">
        <w:rPr>
          <w:color w:val="000000"/>
        </w:rPr>
        <w:t>P</w:t>
      </w:r>
      <w:r w:rsidRPr="00D64879">
        <w:rPr>
          <w:color w:val="000000"/>
        </w:rPr>
        <w:t>.</w:t>
      </w:r>
      <w:r w:rsidRPr="00021CB4">
        <w:rPr>
          <w:color w:val="000000"/>
        </w:rPr>
        <w:t>340</w:t>
      </w:r>
      <w:r w:rsidRPr="00D64879">
        <w:rPr>
          <w:color w:val="000000"/>
        </w:rPr>
        <w:t>]</w:t>
      </w:r>
      <w:r w:rsidR="00C80322">
        <w:rPr>
          <w:color w:val="000000"/>
        </w:rPr>
        <w:tab/>
      </w:r>
      <w:r w:rsidR="00C80322" w:rsidRPr="00B55B8E">
        <w:rPr>
          <w:lang w:val="en-US"/>
        </w:rPr>
        <w:t>Recommendation ITU-T P.</w:t>
      </w:r>
      <w:r w:rsidR="00C80322">
        <w:rPr>
          <w:lang w:val="en-US"/>
        </w:rPr>
        <w:t>340</w:t>
      </w:r>
      <w:r w:rsidR="00C80322" w:rsidRPr="00B55B8E">
        <w:rPr>
          <w:lang w:val="en-US"/>
        </w:rPr>
        <w:t xml:space="preserve"> (0</w:t>
      </w:r>
      <w:r w:rsidR="00C80322">
        <w:rPr>
          <w:lang w:val="en-US"/>
        </w:rPr>
        <w:t>5</w:t>
      </w:r>
      <w:r w:rsidR="00C80322" w:rsidRPr="00B55B8E">
        <w:rPr>
          <w:lang w:val="en-US"/>
        </w:rPr>
        <w:t>/</w:t>
      </w:r>
      <w:r w:rsidR="00C80322">
        <w:rPr>
          <w:lang w:val="en-US"/>
        </w:rPr>
        <w:t>2000</w:t>
      </w:r>
      <w:r w:rsidR="00C80322" w:rsidRPr="00B55B8E">
        <w:rPr>
          <w:lang w:val="en-US"/>
        </w:rPr>
        <w:t xml:space="preserve">), </w:t>
      </w:r>
      <w:r w:rsidR="00C80322" w:rsidRPr="00A74433">
        <w:rPr>
          <w:i/>
          <w:color w:val="444444"/>
          <w:szCs w:val="24"/>
          <w:shd w:val="clear" w:color="auto" w:fill="FFFFFF"/>
        </w:rPr>
        <w:t>Transmission characteristics and speech quality parameters of hands-free terminals</w:t>
      </w:r>
    </w:p>
    <w:p w14:paraId="52FA16E8" w14:textId="6431E953" w:rsidR="008F2C54" w:rsidRDefault="008F2C54" w:rsidP="008F2C54">
      <w:pPr>
        <w:pStyle w:val="Reftext"/>
        <w:rPr>
          <w:i/>
          <w:lang w:val="en-US"/>
        </w:rPr>
      </w:pPr>
      <w:r w:rsidRPr="00D64879">
        <w:rPr>
          <w:color w:val="000000"/>
        </w:rPr>
        <w:t>[b-</w:t>
      </w:r>
      <w:r w:rsidRPr="00021CB4">
        <w:rPr>
          <w:color w:val="000000"/>
        </w:rPr>
        <w:t>ITU-T P.800</w:t>
      </w:r>
      <w:r w:rsidRPr="00D64879">
        <w:rPr>
          <w:color w:val="000000"/>
          <w:lang w:val="en-US"/>
        </w:rPr>
        <w:t>]</w:t>
      </w:r>
      <w:r>
        <w:rPr>
          <w:color w:val="000000"/>
          <w:lang w:val="en-US"/>
        </w:rPr>
        <w:tab/>
      </w:r>
      <w:r w:rsidRPr="00B55B8E">
        <w:rPr>
          <w:lang w:val="en-US"/>
        </w:rPr>
        <w:t xml:space="preserve">Recommendation ITU-T P.800 (08/1996), </w:t>
      </w:r>
      <w:r w:rsidRPr="00B55B8E">
        <w:rPr>
          <w:i/>
          <w:lang w:val="en-US"/>
        </w:rPr>
        <w:t>Methods for subjective determination of transmission qualit</w:t>
      </w:r>
      <w:r w:rsidR="00B41268">
        <w:rPr>
          <w:i/>
          <w:lang w:val="en-US"/>
        </w:rPr>
        <w:t>y</w:t>
      </w:r>
    </w:p>
    <w:p w14:paraId="0768E32E" w14:textId="2693D745" w:rsidR="00971FD0" w:rsidRPr="00E00DEC" w:rsidRDefault="00971FD0" w:rsidP="00971FD0">
      <w:pPr>
        <w:pStyle w:val="Reftext"/>
        <w:rPr>
          <w:szCs w:val="24"/>
        </w:rPr>
      </w:pPr>
      <w:r>
        <w:rPr>
          <w:color w:val="000000"/>
        </w:rPr>
        <w:t>[b-</w:t>
      </w:r>
      <w:r w:rsidRPr="00021CB4">
        <w:rPr>
          <w:color w:val="000000"/>
        </w:rPr>
        <w:t>ITU-T</w:t>
      </w:r>
      <w:r w:rsidRPr="00247ADA">
        <w:rPr>
          <w:color w:val="000000"/>
          <w:lang w:val="en-US"/>
        </w:rPr>
        <w:t xml:space="preserve"> </w:t>
      </w:r>
      <w:r w:rsidRPr="00021CB4">
        <w:rPr>
          <w:color w:val="000000"/>
        </w:rPr>
        <w:t>P</w:t>
      </w:r>
      <w:r w:rsidRPr="00D92656">
        <w:rPr>
          <w:color w:val="000000"/>
          <w:lang w:val="en-US"/>
        </w:rPr>
        <w:t>.</w:t>
      </w:r>
      <w:r w:rsidRPr="00021CB4">
        <w:rPr>
          <w:color w:val="000000"/>
        </w:rPr>
        <w:t>85</w:t>
      </w:r>
      <w:r w:rsidRPr="00D92656">
        <w:rPr>
          <w:color w:val="000000"/>
          <w:lang w:val="en-US"/>
        </w:rPr>
        <w:t>1]</w:t>
      </w:r>
      <w:r w:rsidRPr="00027F2C">
        <w:rPr>
          <w:lang w:val="en-US"/>
        </w:rPr>
        <w:tab/>
        <w:t>Recommendation ITU-T P.</w:t>
      </w:r>
      <w:r w:rsidRPr="00E00DEC">
        <w:rPr>
          <w:lang w:val="en-US"/>
        </w:rPr>
        <w:t xml:space="preserve">851 (11/2003), </w:t>
      </w:r>
      <w:hyperlink r:id="rId31" w:tooltip="Subjective quality evaluation of telephone services based on spoken dialogue systems" w:history="1">
        <w:r w:rsidRPr="00E00DEC">
          <w:rPr>
            <w:rStyle w:val="Hyperlink"/>
            <w:i/>
            <w:iCs/>
            <w:color w:val="auto"/>
            <w:szCs w:val="24"/>
            <w:u w:val="none"/>
            <w:bdr w:val="none" w:sz="0" w:space="0" w:color="auto" w:frame="1"/>
            <w:shd w:val="clear" w:color="auto" w:fill="FFFFFF"/>
          </w:rPr>
          <w:t>Subjective quality evaluation of telephone services based on spoken dialogue systems</w:t>
        </w:r>
      </w:hyperlink>
    </w:p>
    <w:p w14:paraId="2860850E" w14:textId="46244B04" w:rsidR="00F850B6" w:rsidRPr="00E00DEC" w:rsidRDefault="00F850B6" w:rsidP="00971FD0">
      <w:pPr>
        <w:pStyle w:val="Reftext"/>
        <w:rPr>
          <w:i/>
          <w:lang w:val="en-US"/>
        </w:rPr>
      </w:pPr>
      <w:r w:rsidRPr="00E00DEC">
        <w:t>[b-ITU-T P.910</w:t>
      </w:r>
      <w:r w:rsidRPr="00E00DEC">
        <w:rPr>
          <w:lang w:val="en-US"/>
        </w:rPr>
        <w:t>]</w:t>
      </w:r>
      <w:r w:rsidRPr="00E00DEC">
        <w:tab/>
        <w:t>R</w:t>
      </w:r>
      <w:r w:rsidRPr="00E00DEC">
        <w:rPr>
          <w:lang w:val="en-US"/>
        </w:rPr>
        <w:t xml:space="preserve">ecommendation ITU-T P.910 (04/2008), </w:t>
      </w:r>
      <w:r w:rsidRPr="00E00DEC">
        <w:rPr>
          <w:i/>
          <w:lang w:val="en-US"/>
        </w:rPr>
        <w:t>Subjective video quality assessment methods for multimedia applications</w:t>
      </w:r>
    </w:p>
    <w:p w14:paraId="4F40CA33" w14:textId="77777777" w:rsidR="00E00DEC" w:rsidRDefault="00F850B6" w:rsidP="006D339F">
      <w:pPr>
        <w:pStyle w:val="Reftext"/>
        <w:rPr>
          <w:szCs w:val="24"/>
        </w:rPr>
      </w:pPr>
      <w:r w:rsidRPr="00E00DEC">
        <w:t>[b-ITU-T P.1204</w:t>
      </w:r>
      <w:r w:rsidRPr="00E00DEC">
        <w:rPr>
          <w:lang w:val="en-US"/>
        </w:rPr>
        <w:t>]</w:t>
      </w:r>
      <w:r w:rsidRPr="00E00DEC">
        <w:rPr>
          <w:lang w:val="en-US"/>
        </w:rPr>
        <w:tab/>
        <w:t>Recommendation ITU-T P.1204 (01/2020)</w:t>
      </w:r>
      <w:r w:rsidRPr="00E00DEC">
        <w:rPr>
          <w:szCs w:val="24"/>
          <w:lang w:val="en-US"/>
        </w:rPr>
        <w:t xml:space="preserve">, </w:t>
      </w:r>
      <w:hyperlink r:id="rId32" w:tooltip="Video quality assessment of streaming services over reliable transport for resolutions up to 4K" w:history="1">
        <w:r w:rsidRPr="00E00DEC">
          <w:rPr>
            <w:rStyle w:val="Hyperlink"/>
            <w:i/>
            <w:iCs/>
            <w:color w:val="auto"/>
            <w:szCs w:val="24"/>
            <w:u w:val="none"/>
            <w:bdr w:val="none" w:sz="0" w:space="0" w:color="auto" w:frame="1"/>
            <w:shd w:val="clear" w:color="auto" w:fill="FFFFFF"/>
          </w:rPr>
          <w:t>Video quality assessment of streaming services over reliable transport for resolutions up to 4K</w:t>
        </w:r>
      </w:hyperlink>
    </w:p>
    <w:p w14:paraId="78C50A72" w14:textId="540B441C" w:rsidR="006D339F" w:rsidRDefault="006D339F" w:rsidP="006D339F">
      <w:pPr>
        <w:pStyle w:val="Reftext"/>
        <w:rPr>
          <w:color w:val="000000"/>
        </w:rPr>
      </w:pPr>
      <w:r w:rsidRPr="00027F2C">
        <w:t>[b-</w:t>
      </w:r>
      <w:r w:rsidRPr="00027F2C">
        <w:rPr>
          <w:bCs/>
        </w:rPr>
        <w:t>Kennedy]</w:t>
      </w:r>
      <w:r w:rsidRPr="00027F2C">
        <w:rPr>
          <w:bCs/>
        </w:rPr>
        <w:tab/>
        <w:t>Kennedy, R.S., Lane, N.</w:t>
      </w:r>
      <w:r>
        <w:rPr>
          <w:bCs/>
        </w:rPr>
        <w:t>E.,</w:t>
      </w:r>
      <w:r w:rsidRPr="008D464C">
        <w:rPr>
          <w:bCs/>
        </w:rPr>
        <w:t xml:space="preserve"> Berbaum,</w:t>
      </w:r>
      <w:r>
        <w:rPr>
          <w:bCs/>
        </w:rPr>
        <w:t xml:space="preserve"> K.S.,</w:t>
      </w:r>
      <w:r w:rsidRPr="008D464C">
        <w:rPr>
          <w:bCs/>
        </w:rPr>
        <w:t xml:space="preserve"> </w:t>
      </w:r>
      <w:r>
        <w:rPr>
          <w:bCs/>
        </w:rPr>
        <w:t>and</w:t>
      </w:r>
      <w:r w:rsidRPr="008D464C">
        <w:rPr>
          <w:bCs/>
        </w:rPr>
        <w:t xml:space="preserve"> Lilienthal</w:t>
      </w:r>
      <w:r>
        <w:rPr>
          <w:bCs/>
        </w:rPr>
        <w:t>, M.G.</w:t>
      </w:r>
      <w:r w:rsidRPr="008D464C">
        <w:rPr>
          <w:bCs/>
        </w:rPr>
        <w:t xml:space="preserve"> (1993</w:t>
      </w:r>
      <w:r>
        <w:rPr>
          <w:bCs/>
        </w:rPr>
        <w:t>),</w:t>
      </w:r>
      <w:r w:rsidRPr="008D464C">
        <w:rPr>
          <w:bCs/>
        </w:rPr>
        <w:t xml:space="preserve"> </w:t>
      </w:r>
      <w:r w:rsidRPr="008D464C">
        <w:rPr>
          <w:bCs/>
          <w:i/>
          <w:iCs/>
        </w:rPr>
        <w:t>Simulator sickness questionnaire: An enhanced method for quantifying simulator sickness</w:t>
      </w:r>
      <w:r>
        <w:rPr>
          <w:bCs/>
        </w:rPr>
        <w:t>,</w:t>
      </w:r>
      <w:r w:rsidRPr="008D464C">
        <w:rPr>
          <w:bCs/>
        </w:rPr>
        <w:t xml:space="preserve"> The International Journal of Aviation Psychology, </w:t>
      </w:r>
      <w:r>
        <w:rPr>
          <w:bCs/>
        </w:rPr>
        <w:t xml:space="preserve">Vol. </w:t>
      </w:r>
      <w:r w:rsidRPr="008D464C">
        <w:rPr>
          <w:bCs/>
        </w:rPr>
        <w:t>3</w:t>
      </w:r>
      <w:r>
        <w:rPr>
          <w:bCs/>
        </w:rPr>
        <w:t xml:space="preserve">, No. </w:t>
      </w:r>
      <w:r w:rsidRPr="008D464C">
        <w:rPr>
          <w:bCs/>
        </w:rPr>
        <w:t xml:space="preserve">3, </w:t>
      </w:r>
      <w:r>
        <w:rPr>
          <w:bCs/>
        </w:rPr>
        <w:t xml:space="preserve">pp. </w:t>
      </w:r>
      <w:r w:rsidRPr="008D464C">
        <w:rPr>
          <w:bCs/>
        </w:rPr>
        <w:t xml:space="preserve">203–220. </w:t>
      </w:r>
      <w:hyperlink r:id="rId33">
        <w:r w:rsidRPr="00684DAB">
          <w:rPr>
            <w:bCs/>
          </w:rPr>
          <w:t>https://doi.org/10.1207/s15327108ijap0303_3</w:t>
        </w:r>
      </w:hyperlink>
    </w:p>
    <w:p w14:paraId="3A2EAF13" w14:textId="77777777" w:rsidR="006D339F" w:rsidRPr="00BA1A23" w:rsidRDefault="006D339F" w:rsidP="006D339F">
      <w:pPr>
        <w:pStyle w:val="Reftext"/>
        <w:rPr>
          <w:szCs w:val="24"/>
          <w:lang w:val="en-US" w:eastAsia="de-DE"/>
        </w:rPr>
      </w:pPr>
      <w:r w:rsidRPr="0048778D">
        <w:rPr>
          <w:color w:val="000000"/>
          <w:szCs w:val="24"/>
          <w:lang w:val="en-US" w:eastAsia="de-DE"/>
        </w:rPr>
        <w:t>[</w:t>
      </w:r>
      <w:r w:rsidRPr="00270E56">
        <w:rPr>
          <w:color w:val="000000"/>
          <w:szCs w:val="24"/>
          <w:lang w:eastAsia="de-DE"/>
        </w:rPr>
        <w:t>b-Loetsch</w:t>
      </w:r>
      <w:r w:rsidRPr="0048778D">
        <w:rPr>
          <w:color w:val="000000"/>
          <w:szCs w:val="24"/>
          <w:lang w:val="en-US" w:eastAsia="de-DE"/>
        </w:rPr>
        <w:t>]</w:t>
      </w:r>
      <w:r w:rsidRPr="0048778D">
        <w:rPr>
          <w:color w:val="000000"/>
          <w:szCs w:val="24"/>
          <w:lang w:val="en-US" w:eastAsia="de-DE"/>
        </w:rPr>
        <w:tab/>
      </w:r>
      <w:r w:rsidRPr="00270E56">
        <w:rPr>
          <w:color w:val="000000"/>
          <w:szCs w:val="24"/>
          <w:lang w:val="en-US" w:eastAsia="de-DE"/>
        </w:rPr>
        <w:t>Lötsch</w:t>
      </w:r>
      <w:r>
        <w:rPr>
          <w:color w:val="000000"/>
          <w:szCs w:val="24"/>
          <w:lang w:val="en-US" w:eastAsia="de-DE"/>
        </w:rPr>
        <w:t xml:space="preserve"> J</w:t>
      </w:r>
      <w:r w:rsidRPr="00270E56">
        <w:rPr>
          <w:color w:val="000000"/>
          <w:szCs w:val="24"/>
          <w:lang w:val="en-US" w:eastAsia="de-DE"/>
        </w:rPr>
        <w:t>, Hintschich</w:t>
      </w:r>
      <w:r>
        <w:rPr>
          <w:color w:val="000000"/>
          <w:szCs w:val="24"/>
          <w:lang w:val="en-US" w:eastAsia="de-DE"/>
        </w:rPr>
        <w:t xml:space="preserve"> CA</w:t>
      </w:r>
      <w:r w:rsidRPr="00270E56">
        <w:rPr>
          <w:color w:val="000000"/>
          <w:szCs w:val="24"/>
          <w:lang w:val="en-US" w:eastAsia="de-DE"/>
        </w:rPr>
        <w:t>, Petridis</w:t>
      </w:r>
      <w:r>
        <w:rPr>
          <w:color w:val="000000"/>
          <w:szCs w:val="24"/>
          <w:lang w:val="en-US" w:eastAsia="de-DE"/>
        </w:rPr>
        <w:t xml:space="preserve"> P</w:t>
      </w:r>
      <w:r w:rsidRPr="00270E56">
        <w:rPr>
          <w:color w:val="000000"/>
          <w:szCs w:val="24"/>
          <w:lang w:val="en-US" w:eastAsia="de-DE"/>
        </w:rPr>
        <w:t>, Pade</w:t>
      </w:r>
      <w:r>
        <w:rPr>
          <w:color w:val="000000"/>
          <w:szCs w:val="24"/>
          <w:lang w:val="en-US" w:eastAsia="de-DE"/>
        </w:rPr>
        <w:t xml:space="preserve"> J</w:t>
      </w:r>
      <w:r w:rsidRPr="00270E56">
        <w:rPr>
          <w:color w:val="000000"/>
          <w:szCs w:val="24"/>
          <w:lang w:val="en-US" w:eastAsia="de-DE"/>
        </w:rPr>
        <w:t>, Hummel</w:t>
      </w:r>
      <w:r>
        <w:rPr>
          <w:color w:val="000000"/>
          <w:szCs w:val="24"/>
          <w:lang w:val="en-US" w:eastAsia="de-DE"/>
        </w:rPr>
        <w:t xml:space="preserve"> T (2021). </w:t>
      </w:r>
      <w:r w:rsidRPr="00270E56">
        <w:rPr>
          <w:color w:val="000000"/>
          <w:szCs w:val="24"/>
          <w:lang w:val="en-US" w:eastAsia="de-DE"/>
        </w:rPr>
        <w:t>Self-ratings of olfactory function and their relation to olfactory test scores. A data science-based analysis in patients with nasal polyposis</w:t>
      </w:r>
      <w:r>
        <w:rPr>
          <w:color w:val="000000"/>
          <w:szCs w:val="24"/>
          <w:lang w:val="en-US" w:eastAsia="de-DE"/>
        </w:rPr>
        <w:t xml:space="preserve">. </w:t>
      </w:r>
      <w:r w:rsidRPr="00270E56">
        <w:rPr>
          <w:color w:val="000000"/>
          <w:szCs w:val="24"/>
          <w:lang w:val="en-US" w:eastAsia="de-DE"/>
        </w:rPr>
        <w:t>Applied Sciences</w:t>
      </w:r>
      <w:r>
        <w:rPr>
          <w:color w:val="000000"/>
          <w:szCs w:val="24"/>
          <w:lang w:val="en-US" w:eastAsia="de-DE"/>
        </w:rPr>
        <w:t xml:space="preserve">, Volume 11, Number </w:t>
      </w:r>
      <w:r w:rsidRPr="00270E56">
        <w:rPr>
          <w:color w:val="000000"/>
          <w:szCs w:val="24"/>
          <w:lang w:val="en-US" w:eastAsia="de-DE"/>
        </w:rPr>
        <w:t>16, art. 7279</w:t>
      </w:r>
      <w:r>
        <w:rPr>
          <w:color w:val="000000"/>
          <w:szCs w:val="24"/>
          <w:lang w:val="en-US" w:eastAsia="de-DE"/>
        </w:rPr>
        <w:t xml:space="preserve">. Pages 1-16. Doi: </w:t>
      </w:r>
      <w:r w:rsidRPr="00270E56">
        <w:rPr>
          <w:color w:val="000000"/>
          <w:szCs w:val="24"/>
          <w:lang w:val="en-US" w:eastAsia="de-DE"/>
        </w:rPr>
        <w:t>10.3390/app11167279</w:t>
      </w:r>
    </w:p>
    <w:p w14:paraId="2BFF48E4" w14:textId="77777777" w:rsidR="006D339F" w:rsidRDefault="006D339F" w:rsidP="006D339F">
      <w:pPr>
        <w:pStyle w:val="Reftext"/>
        <w:rPr>
          <w:bCs/>
        </w:rPr>
      </w:pPr>
      <w:r>
        <w:rPr>
          <w:color w:val="000000"/>
        </w:rPr>
        <w:t>[b-</w:t>
      </w:r>
      <w:r w:rsidRPr="008D464C">
        <w:rPr>
          <w:bCs/>
        </w:rPr>
        <w:t>McGrath</w:t>
      </w:r>
      <w:r>
        <w:rPr>
          <w:bCs/>
        </w:rPr>
        <w:t>]</w:t>
      </w:r>
      <w:r>
        <w:rPr>
          <w:bCs/>
        </w:rPr>
        <w:tab/>
      </w:r>
      <w:r w:rsidRPr="008D464C">
        <w:rPr>
          <w:bCs/>
        </w:rPr>
        <w:t>McGrath, J.E. (1984</w:t>
      </w:r>
      <w:r>
        <w:rPr>
          <w:bCs/>
        </w:rPr>
        <w:t>),</w:t>
      </w:r>
      <w:r w:rsidRPr="008D464C">
        <w:rPr>
          <w:bCs/>
        </w:rPr>
        <w:t xml:space="preserve"> </w:t>
      </w:r>
      <w:r w:rsidRPr="008D464C">
        <w:rPr>
          <w:bCs/>
          <w:i/>
          <w:iCs/>
        </w:rPr>
        <w:t>Groups: Interaction and performance</w:t>
      </w:r>
      <w:r w:rsidRPr="008D464C">
        <w:rPr>
          <w:bCs/>
        </w:rPr>
        <w:t>. Englewood Cliffs, NJ</w:t>
      </w:r>
      <w:r>
        <w:rPr>
          <w:bCs/>
        </w:rPr>
        <w:t>,</w:t>
      </w:r>
      <w:r w:rsidRPr="008D464C">
        <w:rPr>
          <w:bCs/>
        </w:rPr>
        <w:t xml:space="preserve"> Prentice-Hall.</w:t>
      </w:r>
    </w:p>
    <w:p w14:paraId="7B9C1643" w14:textId="77777777" w:rsidR="006D339F" w:rsidRDefault="006D339F" w:rsidP="006D339F">
      <w:pPr>
        <w:pStyle w:val="Reftext"/>
        <w:rPr>
          <w:bCs/>
        </w:rPr>
      </w:pPr>
      <w:r>
        <w:rPr>
          <w:bCs/>
        </w:rPr>
        <w:t>[b-</w:t>
      </w:r>
      <w:r w:rsidRPr="008D464C">
        <w:rPr>
          <w:bCs/>
        </w:rPr>
        <w:t>Mengis</w:t>
      </w:r>
      <w:r>
        <w:rPr>
          <w:bCs/>
        </w:rPr>
        <w:t>]</w:t>
      </w:r>
      <w:r>
        <w:rPr>
          <w:bCs/>
        </w:rPr>
        <w:tab/>
      </w:r>
      <w:r w:rsidRPr="008D464C">
        <w:rPr>
          <w:bCs/>
        </w:rPr>
        <w:t>Mengis, J. and Eppler, M.J</w:t>
      </w:r>
      <w:r>
        <w:rPr>
          <w:bCs/>
        </w:rPr>
        <w:t xml:space="preserve">., </w:t>
      </w:r>
      <w:r w:rsidRPr="008D464C">
        <w:rPr>
          <w:bCs/>
        </w:rPr>
        <w:t>(2008)</w:t>
      </w:r>
      <w:r>
        <w:rPr>
          <w:bCs/>
        </w:rPr>
        <w:t>,</w:t>
      </w:r>
      <w:r w:rsidRPr="008D464C">
        <w:rPr>
          <w:bCs/>
        </w:rPr>
        <w:t xml:space="preserve"> </w:t>
      </w:r>
      <w:r w:rsidRPr="008D464C">
        <w:rPr>
          <w:bCs/>
          <w:i/>
          <w:iCs/>
        </w:rPr>
        <w:t xml:space="preserve">Understanding and </w:t>
      </w:r>
      <w:r>
        <w:rPr>
          <w:bCs/>
          <w:i/>
          <w:iCs/>
        </w:rPr>
        <w:t>m</w:t>
      </w:r>
      <w:r w:rsidRPr="008D464C">
        <w:rPr>
          <w:bCs/>
          <w:i/>
          <w:iCs/>
        </w:rPr>
        <w:t xml:space="preserve">anaging </w:t>
      </w:r>
      <w:r>
        <w:rPr>
          <w:bCs/>
          <w:i/>
          <w:iCs/>
        </w:rPr>
        <w:t>c</w:t>
      </w:r>
      <w:r w:rsidRPr="008D464C">
        <w:rPr>
          <w:bCs/>
          <w:i/>
          <w:iCs/>
        </w:rPr>
        <w:t xml:space="preserve">onversations from a </w:t>
      </w:r>
      <w:r>
        <w:rPr>
          <w:bCs/>
          <w:i/>
          <w:iCs/>
        </w:rPr>
        <w:t>k</w:t>
      </w:r>
      <w:r w:rsidRPr="008D464C">
        <w:rPr>
          <w:bCs/>
          <w:i/>
          <w:iCs/>
        </w:rPr>
        <w:t xml:space="preserve">nowledge </w:t>
      </w:r>
      <w:r>
        <w:rPr>
          <w:bCs/>
          <w:i/>
          <w:iCs/>
        </w:rPr>
        <w:t>p</w:t>
      </w:r>
      <w:r w:rsidRPr="008D464C">
        <w:rPr>
          <w:bCs/>
          <w:i/>
          <w:iCs/>
        </w:rPr>
        <w:t xml:space="preserve">erspective: An </w:t>
      </w:r>
      <w:r>
        <w:rPr>
          <w:bCs/>
          <w:i/>
          <w:iCs/>
        </w:rPr>
        <w:t>a</w:t>
      </w:r>
      <w:r w:rsidRPr="008D464C">
        <w:rPr>
          <w:bCs/>
          <w:i/>
          <w:iCs/>
        </w:rPr>
        <w:t xml:space="preserve">nalysis of the </w:t>
      </w:r>
      <w:r>
        <w:rPr>
          <w:bCs/>
          <w:i/>
          <w:iCs/>
        </w:rPr>
        <w:t>r</w:t>
      </w:r>
      <w:r w:rsidRPr="008D464C">
        <w:rPr>
          <w:bCs/>
          <w:i/>
          <w:iCs/>
        </w:rPr>
        <w:t xml:space="preserve">oles and </w:t>
      </w:r>
      <w:r>
        <w:rPr>
          <w:bCs/>
          <w:i/>
          <w:iCs/>
        </w:rPr>
        <w:t>r</w:t>
      </w:r>
      <w:r w:rsidRPr="008D464C">
        <w:rPr>
          <w:bCs/>
          <w:i/>
          <w:iCs/>
        </w:rPr>
        <w:t xml:space="preserve">ules of </w:t>
      </w:r>
      <w:r>
        <w:rPr>
          <w:bCs/>
          <w:i/>
          <w:iCs/>
        </w:rPr>
        <w:t>f</w:t>
      </w:r>
      <w:r w:rsidRPr="008D464C">
        <w:rPr>
          <w:bCs/>
          <w:i/>
          <w:iCs/>
        </w:rPr>
        <w:t>ace-to</w:t>
      </w:r>
      <w:r>
        <w:rPr>
          <w:bCs/>
          <w:i/>
          <w:iCs/>
        </w:rPr>
        <w:t>-</w:t>
      </w:r>
      <w:r w:rsidRPr="008D464C">
        <w:rPr>
          <w:bCs/>
          <w:i/>
          <w:iCs/>
        </w:rPr>
        <w:t xml:space="preserve">face </w:t>
      </w:r>
      <w:r>
        <w:rPr>
          <w:bCs/>
          <w:i/>
          <w:iCs/>
        </w:rPr>
        <w:t>c</w:t>
      </w:r>
      <w:r w:rsidRPr="008D464C">
        <w:rPr>
          <w:bCs/>
          <w:i/>
          <w:iCs/>
        </w:rPr>
        <w:t xml:space="preserve">onversations in </w:t>
      </w:r>
      <w:r>
        <w:rPr>
          <w:bCs/>
          <w:i/>
          <w:iCs/>
        </w:rPr>
        <w:t>o</w:t>
      </w:r>
      <w:r w:rsidRPr="008D464C">
        <w:rPr>
          <w:bCs/>
          <w:i/>
          <w:iCs/>
        </w:rPr>
        <w:t>rganizations</w:t>
      </w:r>
      <w:r>
        <w:rPr>
          <w:bCs/>
        </w:rPr>
        <w:t>,</w:t>
      </w:r>
      <w:r w:rsidRPr="008D464C">
        <w:rPr>
          <w:bCs/>
        </w:rPr>
        <w:t xml:space="preserve"> Organization Studies </w:t>
      </w:r>
      <w:r>
        <w:rPr>
          <w:bCs/>
        </w:rPr>
        <w:t xml:space="preserve">Vol. </w:t>
      </w:r>
      <w:r w:rsidRPr="008D464C">
        <w:rPr>
          <w:bCs/>
        </w:rPr>
        <w:t>29</w:t>
      </w:r>
      <w:r>
        <w:rPr>
          <w:bCs/>
        </w:rPr>
        <w:t xml:space="preserve">, No. </w:t>
      </w:r>
      <w:r w:rsidRPr="008D464C">
        <w:rPr>
          <w:bCs/>
        </w:rPr>
        <w:t xml:space="preserve">10, pp. 1287–1313. </w:t>
      </w:r>
      <w:r>
        <w:rPr>
          <w:bCs/>
        </w:rPr>
        <w:t>doi</w:t>
      </w:r>
      <w:r w:rsidRPr="008D464C">
        <w:rPr>
          <w:bCs/>
        </w:rPr>
        <w:t>: 10.1177/0170840607086553</w:t>
      </w:r>
    </w:p>
    <w:p w14:paraId="2E0EF476" w14:textId="77777777" w:rsidR="006D339F" w:rsidRPr="008A70B5" w:rsidRDefault="006D339F" w:rsidP="006D339F">
      <w:pPr>
        <w:pStyle w:val="Reftext"/>
        <w:rPr>
          <w:bCs/>
          <w:lang w:val="en-US"/>
        </w:rPr>
      </w:pPr>
      <w:r>
        <w:rPr>
          <w:bCs/>
        </w:rPr>
        <w:t>[b-</w:t>
      </w:r>
      <w:r w:rsidRPr="00021CB4">
        <w:rPr>
          <w:color w:val="000000"/>
        </w:rPr>
        <w:t>Nowak</w:t>
      </w:r>
      <w:r w:rsidRPr="008A70B5">
        <w:rPr>
          <w:color w:val="000000"/>
          <w:lang w:val="en-US"/>
        </w:rPr>
        <w:t>]</w:t>
      </w:r>
      <w:r>
        <w:rPr>
          <w:color w:val="000000"/>
          <w:lang w:val="en-US"/>
        </w:rPr>
        <w:tab/>
      </w:r>
      <w:r>
        <w:t>K. Nowak, ‘‘Defining and differentiating copresence, social presence and presence as transportation,’’ in Proc. Presence Conf., Philadelphia, PA, USA, 2001, pp. 1–23.</w:t>
      </w:r>
    </w:p>
    <w:p w14:paraId="0EC530E8" w14:textId="77777777" w:rsidR="006D339F" w:rsidRPr="00B67CB4" w:rsidRDefault="006D339F" w:rsidP="006D339F">
      <w:pPr>
        <w:pStyle w:val="Reftext"/>
        <w:rPr>
          <w:szCs w:val="24"/>
          <w:lang w:val="en-US" w:eastAsia="de-DE"/>
        </w:rPr>
      </w:pPr>
      <w:r w:rsidRPr="0048778D">
        <w:rPr>
          <w:color w:val="000000"/>
          <w:szCs w:val="24"/>
          <w:lang w:val="en-US" w:eastAsia="de-DE"/>
        </w:rPr>
        <w:t>[</w:t>
      </w:r>
      <w:r w:rsidRPr="004D422A">
        <w:rPr>
          <w:color w:val="000000"/>
          <w:szCs w:val="24"/>
          <w:lang w:eastAsia="de-DE"/>
        </w:rPr>
        <w:t>b-Olusanya</w:t>
      </w:r>
      <w:r w:rsidRPr="0048778D">
        <w:rPr>
          <w:color w:val="000000"/>
          <w:szCs w:val="24"/>
          <w:lang w:val="en-US" w:eastAsia="de-DE"/>
        </w:rPr>
        <w:t>]</w:t>
      </w:r>
      <w:r w:rsidRPr="0048778D">
        <w:rPr>
          <w:color w:val="000000"/>
          <w:szCs w:val="24"/>
          <w:lang w:val="en-US" w:eastAsia="de-DE"/>
        </w:rPr>
        <w:tab/>
      </w:r>
      <w:r>
        <w:t>Olusanya BO, Davis AC, Hoffman HJ</w:t>
      </w:r>
      <w:r>
        <w:rPr>
          <w:color w:val="000000"/>
          <w:szCs w:val="24"/>
          <w:lang w:val="en-US" w:eastAsia="de-DE"/>
        </w:rPr>
        <w:t xml:space="preserve"> (2019).</w:t>
      </w:r>
      <w:r>
        <w:t xml:space="preserve"> </w:t>
      </w:r>
      <w:r w:rsidRPr="00684DAB">
        <w:rPr>
          <w:i/>
          <w:iCs/>
        </w:rPr>
        <w:t xml:space="preserve">Hearing loss grades and the </w:t>
      </w:r>
      <w:r>
        <w:rPr>
          <w:i/>
          <w:iCs/>
        </w:rPr>
        <w:t>International classification of functioning, disability and health</w:t>
      </w:r>
      <w:r w:rsidRPr="00684DAB">
        <w:rPr>
          <w:i/>
          <w:iCs/>
        </w:rPr>
        <w:t>.</w:t>
      </w:r>
      <w:r>
        <w:t xml:space="preserve"> Bull World </w:t>
      </w:r>
      <w:r w:rsidRPr="00B67CB4">
        <w:t>Health Organ. 2019 Oct 1;97(10):725-728. doi: 10.2471/BLT.19.230367. Epub 2019 Sep 3. PMID: 31656340; PMCID: PMC6796665.</w:t>
      </w:r>
    </w:p>
    <w:p w14:paraId="3DF1E62F" w14:textId="57E059F0" w:rsidR="006D339F" w:rsidRPr="00B67CB4" w:rsidRDefault="006D339F" w:rsidP="006D339F">
      <w:pPr>
        <w:pStyle w:val="Reftext"/>
        <w:rPr>
          <w:szCs w:val="24"/>
          <w:lang w:val="en-US" w:eastAsia="de-DE"/>
        </w:rPr>
      </w:pPr>
      <w:r w:rsidRPr="00FA5105">
        <w:rPr>
          <w:szCs w:val="24"/>
          <w:lang w:val="en-US" w:eastAsia="de-DE"/>
        </w:rPr>
        <w:t>[b-Qualinet]</w:t>
      </w:r>
      <w:r w:rsidRPr="00FA5105">
        <w:rPr>
          <w:szCs w:val="24"/>
          <w:lang w:val="en-US" w:eastAsia="de-DE"/>
        </w:rPr>
        <w:tab/>
      </w:r>
      <w:r w:rsidRPr="00FA5105">
        <w:rPr>
          <w:szCs w:val="24"/>
        </w:rPr>
        <w:t>Qualinet White Paper on Definitions of Quality of Experience (2012). European Network on Quality of Experience in Multimedia Systems and </w:t>
      </w:r>
      <w:r w:rsidRPr="00FA5105">
        <w:rPr>
          <w:szCs w:val="24"/>
        </w:rPr>
        <w:br/>
        <w:t>Services (COST Action IC 1003), Patrick Le Callet, Sebastian Möller and Andrew Perkis, eds., Lausanne, Switzerland, Version 1.2, March 2013</w:t>
      </w:r>
      <w:r w:rsidR="00B67CB4">
        <w:rPr>
          <w:szCs w:val="24"/>
        </w:rPr>
        <w:t>.</w:t>
      </w:r>
    </w:p>
    <w:p w14:paraId="041871DE" w14:textId="30B384B0" w:rsidR="006D339F" w:rsidRPr="0048778D" w:rsidRDefault="006D339F" w:rsidP="006D339F">
      <w:pPr>
        <w:pStyle w:val="Reftext"/>
        <w:rPr>
          <w:szCs w:val="24"/>
          <w:lang w:val="en-US" w:eastAsia="de-DE"/>
        </w:rPr>
      </w:pPr>
      <w:r w:rsidRPr="00FA5105">
        <w:rPr>
          <w:szCs w:val="24"/>
          <w:lang w:val="sv-SE" w:eastAsia="de-DE"/>
        </w:rPr>
        <w:t>[</w:t>
      </w:r>
      <w:r w:rsidRPr="00237340">
        <w:rPr>
          <w:color w:val="000000"/>
          <w:szCs w:val="24"/>
          <w:lang w:val="sv-SE" w:eastAsia="de-DE"/>
        </w:rPr>
        <w:t>b-Reiter]</w:t>
      </w:r>
      <w:r w:rsidRPr="00237340">
        <w:rPr>
          <w:color w:val="000000"/>
          <w:szCs w:val="24"/>
          <w:lang w:val="sv-SE" w:eastAsia="de-DE"/>
        </w:rPr>
        <w:tab/>
      </w:r>
      <w:r w:rsidRPr="00237340">
        <w:rPr>
          <w:szCs w:val="24"/>
          <w:lang w:val="sv-SE"/>
        </w:rPr>
        <w:t>Reiter</w:t>
      </w:r>
      <w:r>
        <w:rPr>
          <w:color w:val="000000"/>
          <w:szCs w:val="24"/>
          <w:lang w:val="sv-SE" w:eastAsia="de-DE"/>
        </w:rPr>
        <w:t>,</w:t>
      </w:r>
      <w:r w:rsidRPr="00237340">
        <w:rPr>
          <w:color w:val="000000"/>
          <w:szCs w:val="24"/>
          <w:lang w:val="sv-SE" w:eastAsia="de-DE"/>
        </w:rPr>
        <w:t xml:space="preserve"> </w:t>
      </w:r>
      <w:r w:rsidRPr="00247ADA">
        <w:rPr>
          <w:bCs/>
          <w:lang w:val="sv-SE"/>
        </w:rPr>
        <w:t xml:space="preserve">U., Brunnström, K., de Moor, K., et al. </w:t>
      </w:r>
      <w:r>
        <w:rPr>
          <w:bCs/>
        </w:rPr>
        <w:t>(2014)</w:t>
      </w:r>
      <w:r w:rsidRPr="008D464C">
        <w:rPr>
          <w:bCs/>
        </w:rPr>
        <w:t xml:space="preserve">, </w:t>
      </w:r>
      <w:r w:rsidRPr="008D464C">
        <w:rPr>
          <w:bCs/>
          <w:i/>
          <w:iCs/>
        </w:rPr>
        <w:t>Factors Influencing Quality of Experience</w:t>
      </w:r>
      <w:r>
        <w:rPr>
          <w:bCs/>
        </w:rPr>
        <w:t>,</w:t>
      </w:r>
      <w:r w:rsidRPr="008D464C">
        <w:rPr>
          <w:bCs/>
        </w:rPr>
        <w:t xml:space="preserve"> Quality of Experience - Advanced Concepts, Applications, Methods. Ed</w:t>
      </w:r>
      <w:r>
        <w:rPr>
          <w:bCs/>
        </w:rPr>
        <w:t>s</w:t>
      </w:r>
      <w:r w:rsidRPr="008D464C">
        <w:rPr>
          <w:bCs/>
        </w:rPr>
        <w:t xml:space="preserve"> S. Möller and A. Raake</w:t>
      </w:r>
      <w:r>
        <w:rPr>
          <w:bCs/>
        </w:rPr>
        <w:t xml:space="preserve">, New York, </w:t>
      </w:r>
      <w:r w:rsidRPr="008D464C">
        <w:rPr>
          <w:bCs/>
        </w:rPr>
        <w:t>Springer, pp. 55–72</w:t>
      </w:r>
      <w:r w:rsidR="00120FCC">
        <w:rPr>
          <w:bCs/>
        </w:rPr>
        <w:t>.</w:t>
      </w:r>
    </w:p>
    <w:p w14:paraId="38D50E7E" w14:textId="77777777" w:rsidR="006D339F" w:rsidRPr="00E65699" w:rsidRDefault="006D339F" w:rsidP="006D339F">
      <w:pPr>
        <w:pStyle w:val="Reftext"/>
        <w:rPr>
          <w:bCs/>
          <w:lang w:val="en-US"/>
        </w:rPr>
      </w:pPr>
      <w:r>
        <w:rPr>
          <w:bCs/>
        </w:rPr>
        <w:lastRenderedPageBreak/>
        <w:t>[b-</w:t>
      </w:r>
      <w:r w:rsidRPr="00021CB4">
        <w:rPr>
          <w:color w:val="000000"/>
        </w:rPr>
        <w:t>Remington</w:t>
      </w:r>
      <w:r w:rsidRPr="00E65699">
        <w:rPr>
          <w:color w:val="000000"/>
          <w:lang w:val="en-US"/>
        </w:rPr>
        <w:t>]</w:t>
      </w:r>
      <w:r w:rsidRPr="00E65699">
        <w:rPr>
          <w:color w:val="000000"/>
          <w:lang w:val="en-US"/>
        </w:rPr>
        <w:tab/>
      </w:r>
      <w:r>
        <w:t>N. A. Remington, L. R. Fabrigar, and P. S. Visser, ‘‘Reexamining the circumplex model of affect,’’ J. Personality Social Psychol., vol. 79, no. 2, p. 286, 2000.</w:t>
      </w:r>
    </w:p>
    <w:p w14:paraId="6099BE21" w14:textId="77777777" w:rsidR="006D339F" w:rsidRPr="0085409E" w:rsidRDefault="006D339F" w:rsidP="006D339F">
      <w:pPr>
        <w:pStyle w:val="Reftext"/>
        <w:rPr>
          <w:bCs/>
          <w:lang w:val="en-US"/>
        </w:rPr>
      </w:pPr>
      <w:r>
        <w:rPr>
          <w:bCs/>
        </w:rPr>
        <w:t>[b-</w:t>
      </w:r>
      <w:r w:rsidRPr="00021CB4">
        <w:rPr>
          <w:color w:val="000000"/>
        </w:rPr>
        <w:t>Russell</w:t>
      </w:r>
      <w:r w:rsidRPr="0085409E">
        <w:rPr>
          <w:color w:val="000000"/>
          <w:lang w:val="en-US"/>
        </w:rPr>
        <w:t>]</w:t>
      </w:r>
      <w:r>
        <w:rPr>
          <w:color w:val="000000"/>
          <w:lang w:val="en-US"/>
        </w:rPr>
        <w:tab/>
      </w:r>
      <w:r>
        <w:t>J. A. Russell, ‘‘A circumplex model of affect,’’ J. Personality Social Psychol., vol. 39, no. 6, pp. 1161–1178, Dec. 1980.</w:t>
      </w:r>
    </w:p>
    <w:p w14:paraId="051FE756" w14:textId="77777777" w:rsidR="006D339F" w:rsidRPr="0085409E" w:rsidRDefault="006D339F" w:rsidP="006D339F">
      <w:pPr>
        <w:pStyle w:val="Reftext"/>
        <w:rPr>
          <w:bCs/>
          <w:lang w:val="en-US"/>
        </w:rPr>
      </w:pPr>
      <w:r>
        <w:rPr>
          <w:bCs/>
        </w:rPr>
        <w:t>[b-</w:t>
      </w:r>
      <w:r w:rsidRPr="00021CB4">
        <w:rPr>
          <w:color w:val="000000"/>
        </w:rPr>
        <w:t>Schiefele</w:t>
      </w:r>
      <w:r w:rsidRPr="0085409E">
        <w:rPr>
          <w:color w:val="000000"/>
          <w:lang w:val="en-US"/>
        </w:rPr>
        <w:t>]</w:t>
      </w:r>
      <w:r>
        <w:rPr>
          <w:color w:val="000000"/>
          <w:lang w:val="en-US"/>
        </w:rPr>
        <w:tab/>
      </w:r>
      <w:r>
        <w:t>U. Schiefele, ‘‘Topic interest, text representation, and quality of experience,’’ Contemp. Educ. Psychol., vol. 21, no. 1, pp. 3–18, Jan. 1996, doi: 10.1006/ceps.1996.0002.</w:t>
      </w:r>
    </w:p>
    <w:p w14:paraId="33FA7E92" w14:textId="77777777" w:rsidR="006D339F" w:rsidRPr="00FB2C2E" w:rsidRDefault="006D339F" w:rsidP="006D339F">
      <w:pPr>
        <w:pStyle w:val="Reftext"/>
        <w:rPr>
          <w:bCs/>
          <w:lang w:val="en-US"/>
        </w:rPr>
      </w:pPr>
      <w:r>
        <w:rPr>
          <w:bCs/>
        </w:rPr>
        <w:t>[b-</w:t>
      </w:r>
      <w:r w:rsidRPr="00021CB4">
        <w:rPr>
          <w:color w:val="000000"/>
        </w:rPr>
        <w:t>Schoenenberg</w:t>
      </w:r>
      <w:r w:rsidRPr="00FB2C2E">
        <w:rPr>
          <w:color w:val="000000"/>
          <w:lang w:val="en-US"/>
        </w:rPr>
        <w:t>]</w:t>
      </w:r>
      <w:r>
        <w:rPr>
          <w:color w:val="000000"/>
          <w:lang w:val="en-US"/>
        </w:rPr>
        <w:tab/>
      </w:r>
      <w:r>
        <w:t>K. Schoenenberg, A. Raake, and J. Skowronek, ‘‘A conversation analytic approach to the prediction of leadership in two to six-party audio conferences,’’ in Proc. 3rd Int. Workshop Quality Multimedia Exper., Sep. 2011, pp. 119–124.</w:t>
      </w:r>
    </w:p>
    <w:p w14:paraId="2BD686F3" w14:textId="77777777" w:rsidR="006D339F" w:rsidRPr="0048778D" w:rsidRDefault="006D339F" w:rsidP="006D339F">
      <w:pPr>
        <w:pStyle w:val="Reftext"/>
        <w:rPr>
          <w:szCs w:val="24"/>
          <w:lang w:val="en-US" w:eastAsia="de-DE"/>
        </w:rPr>
      </w:pPr>
      <w:r w:rsidRPr="0048778D">
        <w:rPr>
          <w:color w:val="000000"/>
          <w:szCs w:val="24"/>
          <w:lang w:val="en-US" w:eastAsia="de-DE"/>
        </w:rPr>
        <w:t>[b-Skowronek2022a]</w:t>
      </w:r>
      <w:r w:rsidRPr="0048778D">
        <w:rPr>
          <w:color w:val="000000"/>
          <w:szCs w:val="24"/>
          <w:lang w:val="en-US" w:eastAsia="de-DE"/>
        </w:rPr>
        <w:tab/>
        <w:t xml:space="preserve">J. Skowronek, A. Raake, G. Berndtsson, O. Rummukainen, P. Usai, S. N. Gunkel, M. Johanson, E. A. Habets, L. Malfait, D. Lindero and A. Toet, "Quality of Experience in Telemeetings and Videoconferencing: A Comprehensive Survey," in </w:t>
      </w:r>
      <w:r w:rsidRPr="0048778D">
        <w:rPr>
          <w:i/>
          <w:iCs/>
          <w:color w:val="000000"/>
          <w:szCs w:val="24"/>
          <w:lang w:val="en-US" w:eastAsia="de-DE"/>
        </w:rPr>
        <w:t>IEEE Access</w:t>
      </w:r>
      <w:r w:rsidRPr="0048778D">
        <w:rPr>
          <w:color w:val="000000"/>
          <w:szCs w:val="24"/>
          <w:lang w:val="en-US" w:eastAsia="de-DE"/>
        </w:rPr>
        <w:t>, doi: 10.1109/ACCESS.2022.3176369</w:t>
      </w:r>
    </w:p>
    <w:p w14:paraId="6003DEEF" w14:textId="77777777" w:rsidR="006D339F" w:rsidRPr="0048778D" w:rsidRDefault="006D339F" w:rsidP="006D339F">
      <w:pPr>
        <w:pStyle w:val="Reftext"/>
        <w:rPr>
          <w:szCs w:val="24"/>
          <w:lang w:val="en-US" w:eastAsia="de-DE"/>
        </w:rPr>
      </w:pPr>
      <w:r w:rsidRPr="0048778D">
        <w:rPr>
          <w:color w:val="000000"/>
          <w:szCs w:val="24"/>
          <w:lang w:val="en-US" w:eastAsia="de-DE"/>
        </w:rPr>
        <w:t>[b-Skowronek2022b]</w:t>
      </w:r>
      <w:r w:rsidRPr="0048778D">
        <w:rPr>
          <w:color w:val="000000"/>
          <w:szCs w:val="24"/>
          <w:lang w:val="en-US" w:eastAsia="de-DE"/>
        </w:rPr>
        <w:tab/>
        <w:t>J. Skowronek, A. Raake, G. Berndtsson, O. Rummukainen, P. Usai, S. N. Gunkel, M. Johanson, E. A. Habets, L. Malfait, D. Lindero and A. Toet. (2022). Telemeeting Profile Template [Data set]. Zenodo. https://doi.org/10.5281/zenodo.6553448</w:t>
      </w:r>
    </w:p>
    <w:p w14:paraId="0F8C5BAE" w14:textId="77777777" w:rsidR="006D339F" w:rsidRDefault="006D339F" w:rsidP="006D339F">
      <w:pPr>
        <w:pStyle w:val="Reftext"/>
        <w:rPr>
          <w:color w:val="000000"/>
          <w:szCs w:val="24"/>
          <w:lang w:val="en-US" w:eastAsia="de-DE"/>
        </w:rPr>
      </w:pPr>
      <w:r w:rsidRPr="0048778D">
        <w:rPr>
          <w:color w:val="000000"/>
          <w:szCs w:val="24"/>
          <w:lang w:val="en-US" w:eastAsia="de-DE"/>
        </w:rPr>
        <w:t>[b-Skowronek2022c]</w:t>
      </w:r>
      <w:r w:rsidRPr="0048778D">
        <w:rPr>
          <w:color w:val="000000"/>
          <w:szCs w:val="24"/>
          <w:lang w:val="en-US" w:eastAsia="de-DE"/>
        </w:rPr>
        <w:tab/>
        <w:t xml:space="preserve">J. Skowronek, A. Raake, G. Berndtsson, O. Rummukainen, P. Usai, S. N. Gunkel, M. Johanson, E. A. Habets, L. Malfait, D. Lindero and A. Toet. (2021). Telemeeting Profile Template – Development Version. Hochschule für Technik - University of Applied Sciences, Stuttgart. Accessed: May 16, 2022. [Online]. Available: </w:t>
      </w:r>
      <w:hyperlink r:id="rId34" w:history="1">
        <w:r w:rsidRPr="00684DAB">
          <w:rPr>
            <w:color w:val="000000"/>
          </w:rPr>
          <w:t>https://docs.google.com/spreadsheets/d/1uvr2ZRqEuW_xWBOi8UI8cUtRxb0qMJJChnHn5dDvYGU</w:t>
        </w:r>
      </w:hyperlink>
    </w:p>
    <w:p w14:paraId="6BBF4CCC" w14:textId="26C2D710" w:rsidR="006D339F" w:rsidRDefault="006D339F" w:rsidP="006D339F">
      <w:pPr>
        <w:pStyle w:val="Reftext"/>
        <w:rPr>
          <w:color w:val="000000"/>
          <w:szCs w:val="24"/>
          <w:lang w:val="en-US" w:eastAsia="de-DE"/>
        </w:rPr>
      </w:pPr>
      <w:r w:rsidRPr="0048778D">
        <w:rPr>
          <w:color w:val="000000"/>
          <w:szCs w:val="24"/>
          <w:lang w:val="en-US" w:eastAsia="de-DE"/>
        </w:rPr>
        <w:t>[</w:t>
      </w:r>
      <w:r w:rsidRPr="004D422A">
        <w:rPr>
          <w:color w:val="000000"/>
          <w:szCs w:val="24"/>
          <w:lang w:eastAsia="de-DE"/>
        </w:rPr>
        <w:t>b-WHO1991</w:t>
      </w:r>
      <w:r w:rsidRPr="0048778D">
        <w:rPr>
          <w:color w:val="000000"/>
          <w:szCs w:val="24"/>
          <w:lang w:val="en-US" w:eastAsia="de-DE"/>
        </w:rPr>
        <w:t>]</w:t>
      </w:r>
      <w:r w:rsidRPr="0048778D">
        <w:rPr>
          <w:color w:val="000000"/>
          <w:szCs w:val="24"/>
          <w:lang w:val="en-US" w:eastAsia="de-DE"/>
        </w:rPr>
        <w:tab/>
      </w:r>
      <w:r>
        <w:rPr>
          <w:color w:val="000000"/>
          <w:szCs w:val="24"/>
          <w:lang w:val="en-US" w:eastAsia="de-DE"/>
        </w:rPr>
        <w:t xml:space="preserve">World Health Organization (2023). </w:t>
      </w:r>
      <w:r w:rsidRPr="004D422A">
        <w:rPr>
          <w:color w:val="000000"/>
          <w:szCs w:val="24"/>
          <w:lang w:val="en-US" w:eastAsia="de-DE"/>
        </w:rPr>
        <w:t>Report of the Informal Working Group on Prevention of Deafness and Hearing Impairment Programme Planning, Geneva, 18-21 June 1991</w:t>
      </w:r>
      <w:r>
        <w:rPr>
          <w:color w:val="000000"/>
          <w:szCs w:val="24"/>
          <w:lang w:val="en-US" w:eastAsia="de-DE"/>
        </w:rPr>
        <w:t xml:space="preserve">. Available: </w:t>
      </w:r>
      <w:r w:rsidRPr="004D422A">
        <w:rPr>
          <w:color w:val="000000"/>
          <w:szCs w:val="24"/>
          <w:lang w:val="en-US" w:eastAsia="de-DE"/>
        </w:rPr>
        <w:t>https://apps.who.int/iris/handle/10665/58839</w:t>
      </w:r>
    </w:p>
    <w:p w14:paraId="3B66B58E" w14:textId="77777777" w:rsidR="00151DBE" w:rsidRDefault="00151DBE" w:rsidP="00394DBF">
      <w:pPr>
        <w:jc w:val="center"/>
      </w:pPr>
      <w:r>
        <w:t>_______________________</w:t>
      </w:r>
    </w:p>
    <w:p w14:paraId="6E4FE1D3" w14:textId="77777777" w:rsidR="00151DBE" w:rsidRDefault="00151DBE" w:rsidP="0089088E"/>
    <w:sectPr w:rsidR="00151DBE" w:rsidSect="00E370CD">
      <w:headerReference w:type="default" r:id="rId35"/>
      <w:pgSz w:w="11907" w:h="16840" w:code="9"/>
      <w:pgMar w:top="1134" w:right="1134" w:bottom="1134" w:left="1134" w:header="425"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AFB833" w14:textId="77777777" w:rsidR="00266D44" w:rsidRDefault="00266D44" w:rsidP="00C42125">
      <w:pPr>
        <w:spacing w:before="0"/>
      </w:pPr>
      <w:r>
        <w:separator/>
      </w:r>
    </w:p>
  </w:endnote>
  <w:endnote w:type="continuationSeparator" w:id="0">
    <w:p w14:paraId="13870595" w14:textId="77777777" w:rsidR="00266D44" w:rsidRDefault="00266D44" w:rsidP="00C42125">
      <w:pPr>
        <w:spacing w:before="0"/>
      </w:pPr>
      <w:r>
        <w:continuationSeparator/>
      </w:r>
    </w:p>
  </w:endnote>
  <w:endnote w:type="continuationNotice" w:id="1">
    <w:p w14:paraId="684DE778" w14:textId="77777777" w:rsidR="00266D44" w:rsidRDefault="00266D4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altName w:val="Yu Gothic UI"/>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altName w:val="Sylfaen"/>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D39DAC" w14:textId="77777777" w:rsidR="00266D44" w:rsidRDefault="00266D44" w:rsidP="00C42125">
      <w:pPr>
        <w:spacing w:before="0"/>
      </w:pPr>
      <w:r>
        <w:separator/>
      </w:r>
    </w:p>
  </w:footnote>
  <w:footnote w:type="continuationSeparator" w:id="0">
    <w:p w14:paraId="7C9AC1B8" w14:textId="77777777" w:rsidR="00266D44" w:rsidRDefault="00266D44" w:rsidP="00C42125">
      <w:pPr>
        <w:spacing w:before="0"/>
      </w:pPr>
      <w:r>
        <w:continuationSeparator/>
      </w:r>
    </w:p>
  </w:footnote>
  <w:footnote w:type="continuationNotice" w:id="1">
    <w:p w14:paraId="15853820" w14:textId="77777777" w:rsidR="00266D44" w:rsidRDefault="00266D4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7224C5" w14:textId="77777777" w:rsidR="003C63EA" w:rsidRPr="00C42125" w:rsidRDefault="003C63EA"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1D5F73">
      <w:rPr>
        <w:noProof/>
      </w:rPr>
      <w:t>22</w:t>
    </w:r>
    <w:r w:rsidRPr="00C42125">
      <w:fldChar w:fldCharType="end"/>
    </w:r>
    <w:r w:rsidRPr="00C42125">
      <w:t xml:space="preserve"> -</w:t>
    </w:r>
  </w:p>
  <w:p w14:paraId="56F960AC" w14:textId="5030F4C3" w:rsidR="003C63EA" w:rsidRPr="00C42125" w:rsidRDefault="003C63EA" w:rsidP="007E53E4">
    <w:pPr>
      <w:pStyle w:val="Header"/>
    </w:pPr>
    <w:r>
      <w:fldChar w:fldCharType="begin"/>
    </w:r>
    <w:r>
      <w:instrText xml:space="preserve"> STYLEREF  Docnumber  </w:instrText>
    </w:r>
    <w:r>
      <w:fldChar w:fldCharType="separate"/>
    </w:r>
    <w:r w:rsidR="0024110F">
      <w:rPr>
        <w:noProof/>
      </w:rPr>
      <w:t>SG12-TD450R2</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1">
    <w:nsid w:val="FFFFFF7C"/>
    <w:multiLevelType w:val="singleLevel"/>
    <w:tmpl w:val="DEFE3B40"/>
    <w:lvl w:ilvl="0">
      <w:start w:val="1"/>
      <w:numFmt w:val="decimal"/>
      <w:pStyle w:val="ListNumber5"/>
      <w:lvlText w:val="%1."/>
      <w:lvlJc w:val="left"/>
      <w:pPr>
        <w:tabs>
          <w:tab w:val="num" w:pos="1492"/>
        </w:tabs>
        <w:ind w:left="1492" w:hanging="360"/>
      </w:pPr>
    </w:lvl>
  </w:abstractNum>
  <w:abstractNum w:abstractNumId="1" w15:restartNumberingAfterBreak="1">
    <w:nsid w:val="FFFFFF7D"/>
    <w:multiLevelType w:val="singleLevel"/>
    <w:tmpl w:val="03D0A420"/>
    <w:lvl w:ilvl="0">
      <w:start w:val="1"/>
      <w:numFmt w:val="decimal"/>
      <w:pStyle w:val="ListNumber4"/>
      <w:lvlText w:val="%1."/>
      <w:lvlJc w:val="left"/>
      <w:pPr>
        <w:tabs>
          <w:tab w:val="num" w:pos="1209"/>
        </w:tabs>
        <w:ind w:left="1209" w:hanging="360"/>
      </w:pPr>
    </w:lvl>
  </w:abstractNum>
  <w:abstractNum w:abstractNumId="2" w15:restartNumberingAfterBreak="1">
    <w:nsid w:val="FFFFFF7E"/>
    <w:multiLevelType w:val="singleLevel"/>
    <w:tmpl w:val="064000FC"/>
    <w:lvl w:ilvl="0">
      <w:start w:val="1"/>
      <w:numFmt w:val="decimal"/>
      <w:pStyle w:val="ListNumber3"/>
      <w:lvlText w:val="%1."/>
      <w:lvlJc w:val="left"/>
      <w:pPr>
        <w:tabs>
          <w:tab w:val="num" w:pos="926"/>
        </w:tabs>
        <w:ind w:left="926" w:hanging="360"/>
      </w:pPr>
    </w:lvl>
  </w:abstractNum>
  <w:abstractNum w:abstractNumId="3" w15:restartNumberingAfterBreak="1">
    <w:nsid w:val="FFFFFF7F"/>
    <w:multiLevelType w:val="singleLevel"/>
    <w:tmpl w:val="8D5695D8"/>
    <w:lvl w:ilvl="0">
      <w:start w:val="1"/>
      <w:numFmt w:val="decimal"/>
      <w:pStyle w:val="ListNumber2"/>
      <w:lvlText w:val="%1."/>
      <w:lvlJc w:val="left"/>
      <w:pPr>
        <w:tabs>
          <w:tab w:val="num" w:pos="643"/>
        </w:tabs>
        <w:ind w:left="643" w:hanging="360"/>
      </w:pPr>
    </w:lvl>
  </w:abstractNum>
  <w:abstractNum w:abstractNumId="4" w15:restartNumberingAfterBreak="1">
    <w:nsid w:val="FFFFFF80"/>
    <w:multiLevelType w:val="singleLevel"/>
    <w:tmpl w:val="E0B400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1">
    <w:nsid w:val="FFFFFF81"/>
    <w:multiLevelType w:val="singleLevel"/>
    <w:tmpl w:val="B57CD12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1">
    <w:nsid w:val="FFFFFF82"/>
    <w:multiLevelType w:val="singleLevel"/>
    <w:tmpl w:val="F7480A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1">
    <w:nsid w:val="FFFFFF83"/>
    <w:multiLevelType w:val="singleLevel"/>
    <w:tmpl w:val="5098522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1">
    <w:nsid w:val="FFFFFF88"/>
    <w:multiLevelType w:val="singleLevel"/>
    <w:tmpl w:val="36D2859E"/>
    <w:lvl w:ilvl="0">
      <w:start w:val="1"/>
      <w:numFmt w:val="decimal"/>
      <w:pStyle w:val="ListNumber"/>
      <w:lvlText w:val="%1."/>
      <w:lvlJc w:val="left"/>
      <w:pPr>
        <w:tabs>
          <w:tab w:val="num" w:pos="360"/>
        </w:tabs>
        <w:ind w:left="360" w:hanging="360"/>
      </w:pPr>
    </w:lvl>
  </w:abstractNum>
  <w:abstractNum w:abstractNumId="9" w15:restartNumberingAfterBreak="1">
    <w:nsid w:val="FFFFFF89"/>
    <w:multiLevelType w:val="singleLevel"/>
    <w:tmpl w:val="C8E6D7C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573C36"/>
    <w:multiLevelType w:val="hybridMultilevel"/>
    <w:tmpl w:val="8AAEA0A4"/>
    <w:lvl w:ilvl="0" w:tplc="355EDB32">
      <w:start w:val="1"/>
      <w:numFmt w:val="decimal"/>
      <w:lvlText w:val="%1."/>
      <w:lvlJc w:val="left"/>
      <w:pPr>
        <w:ind w:left="720" w:hanging="360"/>
      </w:pPr>
      <w:rPr>
        <w:rFonts w:ascii="Times New Roman" w:eastAsiaTheme="minorEastAsia" w:hAnsi="Times New Roman" w:cs="Times New Roman"/>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1C04DF6"/>
    <w:multiLevelType w:val="multilevel"/>
    <w:tmpl w:val="14765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72C8C"/>
    <w:multiLevelType w:val="multilevel"/>
    <w:tmpl w:val="5A2A8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80D09ED"/>
    <w:multiLevelType w:val="multilevel"/>
    <w:tmpl w:val="E0547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9DA312E"/>
    <w:multiLevelType w:val="multilevel"/>
    <w:tmpl w:val="E102B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BD51BC9"/>
    <w:multiLevelType w:val="multilevel"/>
    <w:tmpl w:val="390C0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D4F3C3A"/>
    <w:multiLevelType w:val="multilevel"/>
    <w:tmpl w:val="5846C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EFF6D00"/>
    <w:multiLevelType w:val="multilevel"/>
    <w:tmpl w:val="ED324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F986261"/>
    <w:multiLevelType w:val="multilevel"/>
    <w:tmpl w:val="FA08A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0E13241"/>
    <w:multiLevelType w:val="multilevel"/>
    <w:tmpl w:val="39F6E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2E34266"/>
    <w:multiLevelType w:val="multilevel"/>
    <w:tmpl w:val="EE04D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78861DB"/>
    <w:multiLevelType w:val="multilevel"/>
    <w:tmpl w:val="C986B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8EA0B70"/>
    <w:multiLevelType w:val="multilevel"/>
    <w:tmpl w:val="EE4EC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AB66265"/>
    <w:multiLevelType w:val="multilevel"/>
    <w:tmpl w:val="EEF85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AEF05AE"/>
    <w:multiLevelType w:val="multilevel"/>
    <w:tmpl w:val="40127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B043041"/>
    <w:multiLevelType w:val="multilevel"/>
    <w:tmpl w:val="E9F4F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C354361"/>
    <w:multiLevelType w:val="multilevel"/>
    <w:tmpl w:val="4CEA0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D586FF3"/>
    <w:multiLevelType w:val="multilevel"/>
    <w:tmpl w:val="049AD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D783DD8"/>
    <w:multiLevelType w:val="multilevel"/>
    <w:tmpl w:val="9FF28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D9E606B"/>
    <w:multiLevelType w:val="multilevel"/>
    <w:tmpl w:val="88742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21942DF"/>
    <w:multiLevelType w:val="multilevel"/>
    <w:tmpl w:val="39106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22D5660"/>
    <w:multiLevelType w:val="multilevel"/>
    <w:tmpl w:val="CF126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3052FB4"/>
    <w:multiLevelType w:val="multilevel"/>
    <w:tmpl w:val="9592A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7732F84"/>
    <w:multiLevelType w:val="multilevel"/>
    <w:tmpl w:val="46FA4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8156713"/>
    <w:multiLevelType w:val="multilevel"/>
    <w:tmpl w:val="059EC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9446044"/>
    <w:multiLevelType w:val="multilevel"/>
    <w:tmpl w:val="B1E67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E3F7533"/>
    <w:multiLevelType w:val="multilevel"/>
    <w:tmpl w:val="DD00F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41D02A9"/>
    <w:multiLevelType w:val="multilevel"/>
    <w:tmpl w:val="813AF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6B612E9"/>
    <w:multiLevelType w:val="multilevel"/>
    <w:tmpl w:val="3F947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9A242A2"/>
    <w:multiLevelType w:val="multilevel"/>
    <w:tmpl w:val="254C2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B270C6C"/>
    <w:multiLevelType w:val="multilevel"/>
    <w:tmpl w:val="7EBEC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00B1A2D"/>
    <w:multiLevelType w:val="multilevel"/>
    <w:tmpl w:val="C464B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06A63D0"/>
    <w:multiLevelType w:val="multilevel"/>
    <w:tmpl w:val="CD16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1F7747E"/>
    <w:multiLevelType w:val="multilevel"/>
    <w:tmpl w:val="9A068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25B66FD"/>
    <w:multiLevelType w:val="multilevel"/>
    <w:tmpl w:val="75524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31D6FFC"/>
    <w:multiLevelType w:val="multilevel"/>
    <w:tmpl w:val="B0648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49428CE"/>
    <w:multiLevelType w:val="multilevel"/>
    <w:tmpl w:val="57A6E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6527E6F"/>
    <w:multiLevelType w:val="multilevel"/>
    <w:tmpl w:val="72A0B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8F92D98"/>
    <w:multiLevelType w:val="multilevel"/>
    <w:tmpl w:val="BF5E2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BE73229"/>
    <w:multiLevelType w:val="multilevel"/>
    <w:tmpl w:val="39443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E8453B0"/>
    <w:multiLevelType w:val="multilevel"/>
    <w:tmpl w:val="8618E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EB53F99"/>
    <w:multiLevelType w:val="multilevel"/>
    <w:tmpl w:val="1CD0B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0C01780"/>
    <w:multiLevelType w:val="multilevel"/>
    <w:tmpl w:val="77A69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1D758E3"/>
    <w:multiLevelType w:val="multilevel"/>
    <w:tmpl w:val="9ED00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1D940D9"/>
    <w:multiLevelType w:val="multilevel"/>
    <w:tmpl w:val="0B5C1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4EB0351"/>
    <w:multiLevelType w:val="multilevel"/>
    <w:tmpl w:val="C7CC7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B384A5F"/>
    <w:multiLevelType w:val="multilevel"/>
    <w:tmpl w:val="C720A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D92652A"/>
    <w:multiLevelType w:val="multilevel"/>
    <w:tmpl w:val="6EC04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F017268"/>
    <w:multiLevelType w:val="multilevel"/>
    <w:tmpl w:val="B76AF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2703372"/>
    <w:multiLevelType w:val="multilevel"/>
    <w:tmpl w:val="99107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B5A1D6B"/>
    <w:multiLevelType w:val="multilevel"/>
    <w:tmpl w:val="9C0CD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E0343AB"/>
    <w:multiLevelType w:val="multilevel"/>
    <w:tmpl w:val="59742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E8A06A1"/>
    <w:multiLevelType w:val="multilevel"/>
    <w:tmpl w:val="03809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F707C3A"/>
    <w:multiLevelType w:val="multilevel"/>
    <w:tmpl w:val="2D708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5D71854"/>
    <w:multiLevelType w:val="multilevel"/>
    <w:tmpl w:val="FBF0B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82A2A7A"/>
    <w:multiLevelType w:val="multilevel"/>
    <w:tmpl w:val="77244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90985238">
    <w:abstractNumId w:val="9"/>
  </w:num>
  <w:num w:numId="2" w16cid:durableId="775826413">
    <w:abstractNumId w:val="7"/>
  </w:num>
  <w:num w:numId="3" w16cid:durableId="218325745">
    <w:abstractNumId w:val="6"/>
  </w:num>
  <w:num w:numId="4" w16cid:durableId="1902515695">
    <w:abstractNumId w:val="5"/>
  </w:num>
  <w:num w:numId="5" w16cid:durableId="529222301">
    <w:abstractNumId w:val="4"/>
  </w:num>
  <w:num w:numId="6" w16cid:durableId="1501964808">
    <w:abstractNumId w:val="8"/>
  </w:num>
  <w:num w:numId="7" w16cid:durableId="522519038">
    <w:abstractNumId w:val="3"/>
  </w:num>
  <w:num w:numId="8" w16cid:durableId="580256909">
    <w:abstractNumId w:val="2"/>
  </w:num>
  <w:num w:numId="9" w16cid:durableId="1730768366">
    <w:abstractNumId w:val="1"/>
  </w:num>
  <w:num w:numId="10" w16cid:durableId="7489054">
    <w:abstractNumId w:val="0"/>
  </w:num>
  <w:num w:numId="11" w16cid:durableId="1083188172">
    <w:abstractNumId w:val="10"/>
  </w:num>
  <w:num w:numId="12" w16cid:durableId="669409675">
    <w:abstractNumId w:val="43"/>
  </w:num>
  <w:num w:numId="13" w16cid:durableId="1481574479">
    <w:abstractNumId w:val="19"/>
  </w:num>
  <w:num w:numId="14" w16cid:durableId="377516732">
    <w:abstractNumId w:val="58"/>
  </w:num>
  <w:num w:numId="15" w16cid:durableId="372116854">
    <w:abstractNumId w:val="22"/>
  </w:num>
  <w:num w:numId="16" w16cid:durableId="1922641108">
    <w:abstractNumId w:val="46"/>
  </w:num>
  <w:num w:numId="17" w16cid:durableId="1633707413">
    <w:abstractNumId w:val="44"/>
  </w:num>
  <w:num w:numId="18" w16cid:durableId="977876217">
    <w:abstractNumId w:val="55"/>
  </w:num>
  <w:num w:numId="19" w16cid:durableId="1597516224">
    <w:abstractNumId w:val="60"/>
  </w:num>
  <w:num w:numId="20" w16cid:durableId="505098491">
    <w:abstractNumId w:val="34"/>
  </w:num>
  <w:num w:numId="21" w16cid:durableId="847334433">
    <w:abstractNumId w:val="35"/>
  </w:num>
  <w:num w:numId="22" w16cid:durableId="217399875">
    <w:abstractNumId w:val="29"/>
  </w:num>
  <w:num w:numId="23" w16cid:durableId="200216142">
    <w:abstractNumId w:val="47"/>
  </w:num>
  <w:num w:numId="24" w16cid:durableId="325868510">
    <w:abstractNumId w:val="37"/>
  </w:num>
  <w:num w:numId="25" w16cid:durableId="502859253">
    <w:abstractNumId w:val="30"/>
  </w:num>
  <w:num w:numId="26" w16cid:durableId="666251912">
    <w:abstractNumId w:val="52"/>
  </w:num>
  <w:num w:numId="27" w16cid:durableId="479923386">
    <w:abstractNumId w:val="54"/>
  </w:num>
  <w:num w:numId="28" w16cid:durableId="1711344629">
    <w:abstractNumId w:val="48"/>
  </w:num>
  <w:num w:numId="29" w16cid:durableId="1379430266">
    <w:abstractNumId w:val="61"/>
  </w:num>
  <w:num w:numId="30" w16cid:durableId="544411854">
    <w:abstractNumId w:val="45"/>
  </w:num>
  <w:num w:numId="31" w16cid:durableId="643193648">
    <w:abstractNumId w:val="27"/>
  </w:num>
  <w:num w:numId="32" w16cid:durableId="670137009">
    <w:abstractNumId w:val="51"/>
  </w:num>
  <w:num w:numId="33" w16cid:durableId="1411580071">
    <w:abstractNumId w:val="24"/>
  </w:num>
  <w:num w:numId="34" w16cid:durableId="1103308041">
    <w:abstractNumId w:val="62"/>
  </w:num>
  <w:num w:numId="35" w16cid:durableId="1276979486">
    <w:abstractNumId w:val="41"/>
  </w:num>
  <w:num w:numId="36" w16cid:durableId="263613884">
    <w:abstractNumId w:val="33"/>
  </w:num>
  <w:num w:numId="37" w16cid:durableId="710376192">
    <w:abstractNumId w:val="16"/>
  </w:num>
  <w:num w:numId="38" w16cid:durableId="7029149">
    <w:abstractNumId w:val="25"/>
  </w:num>
  <w:num w:numId="39" w16cid:durableId="830491246">
    <w:abstractNumId w:val="59"/>
  </w:num>
  <w:num w:numId="40" w16cid:durableId="1532456332">
    <w:abstractNumId w:val="56"/>
  </w:num>
  <w:num w:numId="41" w16cid:durableId="307785941">
    <w:abstractNumId w:val="53"/>
  </w:num>
  <w:num w:numId="42" w16cid:durableId="1700399232">
    <w:abstractNumId w:val="65"/>
  </w:num>
  <w:num w:numId="43" w16cid:durableId="343559950">
    <w:abstractNumId w:val="38"/>
  </w:num>
  <w:num w:numId="44" w16cid:durableId="1586914319">
    <w:abstractNumId w:val="17"/>
  </w:num>
  <w:num w:numId="45" w16cid:durableId="603416913">
    <w:abstractNumId w:val="18"/>
  </w:num>
  <w:num w:numId="46" w16cid:durableId="973608757">
    <w:abstractNumId w:val="32"/>
  </w:num>
  <w:num w:numId="47" w16cid:durableId="1541017093">
    <w:abstractNumId w:val="28"/>
  </w:num>
  <w:num w:numId="48" w16cid:durableId="1150943555">
    <w:abstractNumId w:val="11"/>
  </w:num>
  <w:num w:numId="49" w16cid:durableId="1425177800">
    <w:abstractNumId w:val="12"/>
  </w:num>
  <w:num w:numId="50" w16cid:durableId="2053728350">
    <w:abstractNumId w:val="31"/>
  </w:num>
  <w:num w:numId="51" w16cid:durableId="2063554309">
    <w:abstractNumId w:val="13"/>
  </w:num>
  <w:num w:numId="52" w16cid:durableId="1805389076">
    <w:abstractNumId w:val="57"/>
  </w:num>
  <w:num w:numId="53" w16cid:durableId="748306499">
    <w:abstractNumId w:val="23"/>
  </w:num>
  <w:num w:numId="54" w16cid:durableId="1420247096">
    <w:abstractNumId w:val="50"/>
  </w:num>
  <w:num w:numId="55" w16cid:durableId="19669312">
    <w:abstractNumId w:val="21"/>
  </w:num>
  <w:num w:numId="56" w16cid:durableId="560676575">
    <w:abstractNumId w:val="64"/>
  </w:num>
  <w:num w:numId="57" w16cid:durableId="110973951">
    <w:abstractNumId w:val="49"/>
  </w:num>
  <w:num w:numId="58" w16cid:durableId="1371878405">
    <w:abstractNumId w:val="14"/>
  </w:num>
  <w:num w:numId="59" w16cid:durableId="1142311944">
    <w:abstractNumId w:val="26"/>
  </w:num>
  <w:num w:numId="60" w16cid:durableId="915045424">
    <w:abstractNumId w:val="63"/>
  </w:num>
  <w:num w:numId="61" w16cid:durableId="804662591">
    <w:abstractNumId w:val="36"/>
  </w:num>
  <w:num w:numId="62" w16cid:durableId="1732269272">
    <w:abstractNumId w:val="20"/>
  </w:num>
  <w:num w:numId="63" w16cid:durableId="149257312">
    <w:abstractNumId w:val="42"/>
  </w:num>
  <w:num w:numId="64" w16cid:durableId="726606275">
    <w:abstractNumId w:val="40"/>
  </w:num>
  <w:num w:numId="65" w16cid:durableId="1058431286">
    <w:abstractNumId w:val="39"/>
  </w:num>
  <w:num w:numId="66" w16cid:durableId="76483187">
    <w:abstractNumId w:val="15"/>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300"/>
    <w:rsid w:val="00013196"/>
    <w:rsid w:val="000171DB"/>
    <w:rsid w:val="0002118D"/>
    <w:rsid w:val="00023D9A"/>
    <w:rsid w:val="0002490E"/>
    <w:rsid w:val="00027F2C"/>
    <w:rsid w:val="00037538"/>
    <w:rsid w:val="00042221"/>
    <w:rsid w:val="00043D75"/>
    <w:rsid w:val="00054813"/>
    <w:rsid w:val="00057000"/>
    <w:rsid w:val="0006172F"/>
    <w:rsid w:val="000619A7"/>
    <w:rsid w:val="000640E0"/>
    <w:rsid w:val="00064226"/>
    <w:rsid w:val="000A3D47"/>
    <w:rsid w:val="000A5CA2"/>
    <w:rsid w:val="000B25B1"/>
    <w:rsid w:val="000B4523"/>
    <w:rsid w:val="000C2DF3"/>
    <w:rsid w:val="000C3DDD"/>
    <w:rsid w:val="000D7816"/>
    <w:rsid w:val="000E19E5"/>
    <w:rsid w:val="000E4D07"/>
    <w:rsid w:val="000E55F2"/>
    <w:rsid w:val="001069CA"/>
    <w:rsid w:val="001121FB"/>
    <w:rsid w:val="00120FCC"/>
    <w:rsid w:val="00124E44"/>
    <w:rsid w:val="001251DA"/>
    <w:rsid w:val="00125432"/>
    <w:rsid w:val="00137F40"/>
    <w:rsid w:val="001428D7"/>
    <w:rsid w:val="00151DBE"/>
    <w:rsid w:val="00154321"/>
    <w:rsid w:val="00165942"/>
    <w:rsid w:val="0017240B"/>
    <w:rsid w:val="00175E77"/>
    <w:rsid w:val="0017647F"/>
    <w:rsid w:val="0018425A"/>
    <w:rsid w:val="001859C1"/>
    <w:rsid w:val="001871EC"/>
    <w:rsid w:val="001A2E82"/>
    <w:rsid w:val="001A3380"/>
    <w:rsid w:val="001A670F"/>
    <w:rsid w:val="001B0548"/>
    <w:rsid w:val="001B5F09"/>
    <w:rsid w:val="001B736F"/>
    <w:rsid w:val="001C3FE2"/>
    <w:rsid w:val="001C62B8"/>
    <w:rsid w:val="001D282B"/>
    <w:rsid w:val="001D5F73"/>
    <w:rsid w:val="001E0437"/>
    <w:rsid w:val="001E706D"/>
    <w:rsid w:val="001E7B0E"/>
    <w:rsid w:val="001F141D"/>
    <w:rsid w:val="001F48B9"/>
    <w:rsid w:val="001F4DC6"/>
    <w:rsid w:val="00200A06"/>
    <w:rsid w:val="00204EFA"/>
    <w:rsid w:val="0021211B"/>
    <w:rsid w:val="00225175"/>
    <w:rsid w:val="00227E0E"/>
    <w:rsid w:val="00231DC5"/>
    <w:rsid w:val="00237340"/>
    <w:rsid w:val="0024110F"/>
    <w:rsid w:val="002415CB"/>
    <w:rsid w:val="00241832"/>
    <w:rsid w:val="00242C27"/>
    <w:rsid w:val="002534C9"/>
    <w:rsid w:val="00253DBE"/>
    <w:rsid w:val="00260EFB"/>
    <w:rsid w:val="002622FA"/>
    <w:rsid w:val="00263518"/>
    <w:rsid w:val="00263EE5"/>
    <w:rsid w:val="00266D44"/>
    <w:rsid w:val="00270E56"/>
    <w:rsid w:val="00271336"/>
    <w:rsid w:val="00272D7D"/>
    <w:rsid w:val="00274BEC"/>
    <w:rsid w:val="002759E7"/>
    <w:rsid w:val="00275ED1"/>
    <w:rsid w:val="00277326"/>
    <w:rsid w:val="00283E7F"/>
    <w:rsid w:val="002A1F01"/>
    <w:rsid w:val="002A2FEF"/>
    <w:rsid w:val="002A49E0"/>
    <w:rsid w:val="002C015C"/>
    <w:rsid w:val="002C26C0"/>
    <w:rsid w:val="002C2BC5"/>
    <w:rsid w:val="002C3A0E"/>
    <w:rsid w:val="002D6227"/>
    <w:rsid w:val="002E2053"/>
    <w:rsid w:val="002E79CB"/>
    <w:rsid w:val="002F1CFE"/>
    <w:rsid w:val="002F7F55"/>
    <w:rsid w:val="0030745F"/>
    <w:rsid w:val="00314630"/>
    <w:rsid w:val="00317EDB"/>
    <w:rsid w:val="0032090A"/>
    <w:rsid w:val="00321CDE"/>
    <w:rsid w:val="00323CA8"/>
    <w:rsid w:val="00333E15"/>
    <w:rsid w:val="00336046"/>
    <w:rsid w:val="00345FDC"/>
    <w:rsid w:val="00347653"/>
    <w:rsid w:val="00350492"/>
    <w:rsid w:val="0035343D"/>
    <w:rsid w:val="00357F3D"/>
    <w:rsid w:val="0036615D"/>
    <w:rsid w:val="0037422B"/>
    <w:rsid w:val="00381CD9"/>
    <w:rsid w:val="0038715D"/>
    <w:rsid w:val="00394DBF"/>
    <w:rsid w:val="003957A6"/>
    <w:rsid w:val="00395C05"/>
    <w:rsid w:val="0039627B"/>
    <w:rsid w:val="003A43EF"/>
    <w:rsid w:val="003A5982"/>
    <w:rsid w:val="003B5DEE"/>
    <w:rsid w:val="003C26BA"/>
    <w:rsid w:val="003C5EC1"/>
    <w:rsid w:val="003C63EA"/>
    <w:rsid w:val="003C7445"/>
    <w:rsid w:val="003D2CC8"/>
    <w:rsid w:val="003D7EE4"/>
    <w:rsid w:val="003E74CA"/>
    <w:rsid w:val="003F2BED"/>
    <w:rsid w:val="00404998"/>
    <w:rsid w:val="0041639A"/>
    <w:rsid w:val="004164D3"/>
    <w:rsid w:val="00430133"/>
    <w:rsid w:val="00430310"/>
    <w:rsid w:val="00434399"/>
    <w:rsid w:val="00443878"/>
    <w:rsid w:val="0044609F"/>
    <w:rsid w:val="004539A8"/>
    <w:rsid w:val="00464B1B"/>
    <w:rsid w:val="004712CA"/>
    <w:rsid w:val="0047422E"/>
    <w:rsid w:val="00477741"/>
    <w:rsid w:val="0048778D"/>
    <w:rsid w:val="004962A2"/>
    <w:rsid w:val="0049674B"/>
    <w:rsid w:val="004C0673"/>
    <w:rsid w:val="004C4025"/>
    <w:rsid w:val="004C44FB"/>
    <w:rsid w:val="004C4E4E"/>
    <w:rsid w:val="004C6EA6"/>
    <w:rsid w:val="004D422A"/>
    <w:rsid w:val="004F3816"/>
    <w:rsid w:val="004F6151"/>
    <w:rsid w:val="004F77C7"/>
    <w:rsid w:val="005029F5"/>
    <w:rsid w:val="005032BB"/>
    <w:rsid w:val="005155ED"/>
    <w:rsid w:val="00524F83"/>
    <w:rsid w:val="0053048A"/>
    <w:rsid w:val="005307FC"/>
    <w:rsid w:val="0053371B"/>
    <w:rsid w:val="005350AD"/>
    <w:rsid w:val="00541573"/>
    <w:rsid w:val="00543D41"/>
    <w:rsid w:val="0054424C"/>
    <w:rsid w:val="005466EC"/>
    <w:rsid w:val="00547334"/>
    <w:rsid w:val="00552142"/>
    <w:rsid w:val="0055354A"/>
    <w:rsid w:val="0055782F"/>
    <w:rsid w:val="00566EDA"/>
    <w:rsid w:val="00567F52"/>
    <w:rsid w:val="005713F4"/>
    <w:rsid w:val="00572654"/>
    <w:rsid w:val="005736B2"/>
    <w:rsid w:val="00576AB5"/>
    <w:rsid w:val="00577559"/>
    <w:rsid w:val="0058259F"/>
    <w:rsid w:val="00583CED"/>
    <w:rsid w:val="00591E43"/>
    <w:rsid w:val="005A0854"/>
    <w:rsid w:val="005B3023"/>
    <w:rsid w:val="005B39F2"/>
    <w:rsid w:val="005B5629"/>
    <w:rsid w:val="005C0300"/>
    <w:rsid w:val="005C4F27"/>
    <w:rsid w:val="005D0EBF"/>
    <w:rsid w:val="005D1462"/>
    <w:rsid w:val="005D4805"/>
    <w:rsid w:val="005E1BA8"/>
    <w:rsid w:val="005F4B6A"/>
    <w:rsid w:val="006010F3"/>
    <w:rsid w:val="00603E6A"/>
    <w:rsid w:val="00604127"/>
    <w:rsid w:val="00615A0A"/>
    <w:rsid w:val="00617DB3"/>
    <w:rsid w:val="006234F8"/>
    <w:rsid w:val="006243D6"/>
    <w:rsid w:val="006333D4"/>
    <w:rsid w:val="006338EC"/>
    <w:rsid w:val="006369B2"/>
    <w:rsid w:val="006418B1"/>
    <w:rsid w:val="00642D16"/>
    <w:rsid w:val="00645A72"/>
    <w:rsid w:val="00646EBD"/>
    <w:rsid w:val="00647525"/>
    <w:rsid w:val="00647A28"/>
    <w:rsid w:val="006552EA"/>
    <w:rsid w:val="006570B0"/>
    <w:rsid w:val="00660B0B"/>
    <w:rsid w:val="006655D9"/>
    <w:rsid w:val="00671D17"/>
    <w:rsid w:val="00684DAB"/>
    <w:rsid w:val="0069180E"/>
    <w:rsid w:val="00691C94"/>
    <w:rsid w:val="0069210B"/>
    <w:rsid w:val="00696D30"/>
    <w:rsid w:val="006A0B37"/>
    <w:rsid w:val="006A4055"/>
    <w:rsid w:val="006A7457"/>
    <w:rsid w:val="006C3452"/>
    <w:rsid w:val="006C34D2"/>
    <w:rsid w:val="006C5641"/>
    <w:rsid w:val="006C59BE"/>
    <w:rsid w:val="006D1089"/>
    <w:rsid w:val="006D1B86"/>
    <w:rsid w:val="006D339F"/>
    <w:rsid w:val="006D7355"/>
    <w:rsid w:val="006E3AED"/>
    <w:rsid w:val="006E764A"/>
    <w:rsid w:val="006F2ACE"/>
    <w:rsid w:val="006F4361"/>
    <w:rsid w:val="007036A3"/>
    <w:rsid w:val="00715B22"/>
    <w:rsid w:val="00715CA6"/>
    <w:rsid w:val="0073032C"/>
    <w:rsid w:val="00730A2A"/>
    <w:rsid w:val="00731135"/>
    <w:rsid w:val="007324AF"/>
    <w:rsid w:val="007409B4"/>
    <w:rsid w:val="00741974"/>
    <w:rsid w:val="00742164"/>
    <w:rsid w:val="0075525E"/>
    <w:rsid w:val="00756D3D"/>
    <w:rsid w:val="007745D0"/>
    <w:rsid w:val="0077508B"/>
    <w:rsid w:val="007806C2"/>
    <w:rsid w:val="007818B3"/>
    <w:rsid w:val="00781BEA"/>
    <w:rsid w:val="007823AD"/>
    <w:rsid w:val="007903F8"/>
    <w:rsid w:val="00794F4F"/>
    <w:rsid w:val="007974BE"/>
    <w:rsid w:val="00797C97"/>
    <w:rsid w:val="007A0916"/>
    <w:rsid w:val="007A0DFD"/>
    <w:rsid w:val="007A59C4"/>
    <w:rsid w:val="007A6474"/>
    <w:rsid w:val="007B3477"/>
    <w:rsid w:val="007C6602"/>
    <w:rsid w:val="007C7122"/>
    <w:rsid w:val="007D3F11"/>
    <w:rsid w:val="007D6BA3"/>
    <w:rsid w:val="007E1E2B"/>
    <w:rsid w:val="007E2E28"/>
    <w:rsid w:val="007E53E4"/>
    <w:rsid w:val="007E656A"/>
    <w:rsid w:val="007E7A6A"/>
    <w:rsid w:val="007F2D8F"/>
    <w:rsid w:val="007F31A8"/>
    <w:rsid w:val="007F5B83"/>
    <w:rsid w:val="007F664D"/>
    <w:rsid w:val="0081064E"/>
    <w:rsid w:val="008128CE"/>
    <w:rsid w:val="00812CFC"/>
    <w:rsid w:val="0082773F"/>
    <w:rsid w:val="00827FC9"/>
    <w:rsid w:val="00841217"/>
    <w:rsid w:val="00842137"/>
    <w:rsid w:val="00855D14"/>
    <w:rsid w:val="008877F2"/>
    <w:rsid w:val="00887ED8"/>
    <w:rsid w:val="0089088E"/>
    <w:rsid w:val="00892297"/>
    <w:rsid w:val="00893996"/>
    <w:rsid w:val="0089471F"/>
    <w:rsid w:val="008B4569"/>
    <w:rsid w:val="008B6E0D"/>
    <w:rsid w:val="008B6F4A"/>
    <w:rsid w:val="008C334E"/>
    <w:rsid w:val="008C7352"/>
    <w:rsid w:val="008D0C7E"/>
    <w:rsid w:val="008E0172"/>
    <w:rsid w:val="008E370F"/>
    <w:rsid w:val="008F01CD"/>
    <w:rsid w:val="008F2C54"/>
    <w:rsid w:val="00903D13"/>
    <w:rsid w:val="00914912"/>
    <w:rsid w:val="00927C60"/>
    <w:rsid w:val="00930948"/>
    <w:rsid w:val="0093117C"/>
    <w:rsid w:val="00932AB7"/>
    <w:rsid w:val="00934405"/>
    <w:rsid w:val="00934C5D"/>
    <w:rsid w:val="00935ECD"/>
    <w:rsid w:val="00936BFA"/>
    <w:rsid w:val="009406B5"/>
    <w:rsid w:val="00943FFC"/>
    <w:rsid w:val="00946166"/>
    <w:rsid w:val="00947A28"/>
    <w:rsid w:val="0095099F"/>
    <w:rsid w:val="00960261"/>
    <w:rsid w:val="00964250"/>
    <w:rsid w:val="00966EFF"/>
    <w:rsid w:val="00971850"/>
    <w:rsid w:val="00971FD0"/>
    <w:rsid w:val="00983164"/>
    <w:rsid w:val="0098566C"/>
    <w:rsid w:val="009972EF"/>
    <w:rsid w:val="009A0954"/>
    <w:rsid w:val="009A13D0"/>
    <w:rsid w:val="009A28B3"/>
    <w:rsid w:val="009A7082"/>
    <w:rsid w:val="009B37EB"/>
    <w:rsid w:val="009B667E"/>
    <w:rsid w:val="009B75B3"/>
    <w:rsid w:val="009C3160"/>
    <w:rsid w:val="009C44B1"/>
    <w:rsid w:val="009E4E1A"/>
    <w:rsid w:val="009E766E"/>
    <w:rsid w:val="009E7E11"/>
    <w:rsid w:val="009F1960"/>
    <w:rsid w:val="009F42B3"/>
    <w:rsid w:val="009F50C6"/>
    <w:rsid w:val="009F715E"/>
    <w:rsid w:val="00A10DBB"/>
    <w:rsid w:val="00A16253"/>
    <w:rsid w:val="00A2118D"/>
    <w:rsid w:val="00A26DD6"/>
    <w:rsid w:val="00A304DD"/>
    <w:rsid w:val="00A30E71"/>
    <w:rsid w:val="00A31D47"/>
    <w:rsid w:val="00A32D81"/>
    <w:rsid w:val="00A4013E"/>
    <w:rsid w:val="00A4045F"/>
    <w:rsid w:val="00A427CD"/>
    <w:rsid w:val="00A4600B"/>
    <w:rsid w:val="00A50506"/>
    <w:rsid w:val="00A51EF0"/>
    <w:rsid w:val="00A67A81"/>
    <w:rsid w:val="00A730A6"/>
    <w:rsid w:val="00A74433"/>
    <w:rsid w:val="00A87A86"/>
    <w:rsid w:val="00A971A0"/>
    <w:rsid w:val="00AA1F22"/>
    <w:rsid w:val="00AA203F"/>
    <w:rsid w:val="00AB0B51"/>
    <w:rsid w:val="00AB7B0F"/>
    <w:rsid w:val="00AC4A9D"/>
    <w:rsid w:val="00AC6FE4"/>
    <w:rsid w:val="00AC7518"/>
    <w:rsid w:val="00AD5DC9"/>
    <w:rsid w:val="00AE38E1"/>
    <w:rsid w:val="00AF4B62"/>
    <w:rsid w:val="00B05821"/>
    <w:rsid w:val="00B17CC8"/>
    <w:rsid w:val="00B211FE"/>
    <w:rsid w:val="00B26C28"/>
    <w:rsid w:val="00B341FB"/>
    <w:rsid w:val="00B41268"/>
    <w:rsid w:val="00B4174C"/>
    <w:rsid w:val="00B42D55"/>
    <w:rsid w:val="00B453F5"/>
    <w:rsid w:val="00B52517"/>
    <w:rsid w:val="00B56FD7"/>
    <w:rsid w:val="00B57342"/>
    <w:rsid w:val="00B60674"/>
    <w:rsid w:val="00B61624"/>
    <w:rsid w:val="00B67CB4"/>
    <w:rsid w:val="00B7109C"/>
    <w:rsid w:val="00B718A5"/>
    <w:rsid w:val="00B8261A"/>
    <w:rsid w:val="00B861D9"/>
    <w:rsid w:val="00BB044A"/>
    <w:rsid w:val="00BB3872"/>
    <w:rsid w:val="00BB5EE3"/>
    <w:rsid w:val="00BB6F3B"/>
    <w:rsid w:val="00BC1FAE"/>
    <w:rsid w:val="00BC62E2"/>
    <w:rsid w:val="00BD33A7"/>
    <w:rsid w:val="00BD4367"/>
    <w:rsid w:val="00BD6425"/>
    <w:rsid w:val="00BE36F8"/>
    <w:rsid w:val="00BF09D3"/>
    <w:rsid w:val="00BF0E60"/>
    <w:rsid w:val="00C15213"/>
    <w:rsid w:val="00C22C5F"/>
    <w:rsid w:val="00C2798D"/>
    <w:rsid w:val="00C31A7D"/>
    <w:rsid w:val="00C31FA3"/>
    <w:rsid w:val="00C37FDD"/>
    <w:rsid w:val="00C42125"/>
    <w:rsid w:val="00C62814"/>
    <w:rsid w:val="00C73699"/>
    <w:rsid w:val="00C74937"/>
    <w:rsid w:val="00C802CB"/>
    <w:rsid w:val="00C80322"/>
    <w:rsid w:val="00C9776F"/>
    <w:rsid w:val="00CB381C"/>
    <w:rsid w:val="00CC2D74"/>
    <w:rsid w:val="00CC3D78"/>
    <w:rsid w:val="00CC7838"/>
    <w:rsid w:val="00CF2375"/>
    <w:rsid w:val="00CF34A7"/>
    <w:rsid w:val="00D057CC"/>
    <w:rsid w:val="00D10B78"/>
    <w:rsid w:val="00D1407E"/>
    <w:rsid w:val="00D442CA"/>
    <w:rsid w:val="00D44EEB"/>
    <w:rsid w:val="00D46469"/>
    <w:rsid w:val="00D5394C"/>
    <w:rsid w:val="00D57D7F"/>
    <w:rsid w:val="00D64879"/>
    <w:rsid w:val="00D64E74"/>
    <w:rsid w:val="00D6520D"/>
    <w:rsid w:val="00D73137"/>
    <w:rsid w:val="00D7390E"/>
    <w:rsid w:val="00D803E5"/>
    <w:rsid w:val="00D838A1"/>
    <w:rsid w:val="00DA313C"/>
    <w:rsid w:val="00DA4F79"/>
    <w:rsid w:val="00DB1307"/>
    <w:rsid w:val="00DB683A"/>
    <w:rsid w:val="00DC0323"/>
    <w:rsid w:val="00DC48DC"/>
    <w:rsid w:val="00DD50DE"/>
    <w:rsid w:val="00DE3062"/>
    <w:rsid w:val="00DF3E50"/>
    <w:rsid w:val="00E00DEC"/>
    <w:rsid w:val="00E015D6"/>
    <w:rsid w:val="00E01E12"/>
    <w:rsid w:val="00E0339D"/>
    <w:rsid w:val="00E0434E"/>
    <w:rsid w:val="00E07600"/>
    <w:rsid w:val="00E204DD"/>
    <w:rsid w:val="00E2145E"/>
    <w:rsid w:val="00E221BD"/>
    <w:rsid w:val="00E24D43"/>
    <w:rsid w:val="00E2759E"/>
    <w:rsid w:val="00E353EC"/>
    <w:rsid w:val="00E370CD"/>
    <w:rsid w:val="00E46265"/>
    <w:rsid w:val="00E53C24"/>
    <w:rsid w:val="00E625BC"/>
    <w:rsid w:val="00E87E87"/>
    <w:rsid w:val="00E91874"/>
    <w:rsid w:val="00EB444A"/>
    <w:rsid w:val="00EB444D"/>
    <w:rsid w:val="00EC6EBD"/>
    <w:rsid w:val="00EC6F7B"/>
    <w:rsid w:val="00EF682F"/>
    <w:rsid w:val="00F0083D"/>
    <w:rsid w:val="00F02294"/>
    <w:rsid w:val="00F053B4"/>
    <w:rsid w:val="00F14EFF"/>
    <w:rsid w:val="00F25254"/>
    <w:rsid w:val="00F3256C"/>
    <w:rsid w:val="00F35F57"/>
    <w:rsid w:val="00F403F5"/>
    <w:rsid w:val="00F41D08"/>
    <w:rsid w:val="00F50467"/>
    <w:rsid w:val="00F562A0"/>
    <w:rsid w:val="00F850B6"/>
    <w:rsid w:val="00F8791A"/>
    <w:rsid w:val="00F9165E"/>
    <w:rsid w:val="00FA2177"/>
    <w:rsid w:val="00FA2E6D"/>
    <w:rsid w:val="00FA5105"/>
    <w:rsid w:val="00FB0A28"/>
    <w:rsid w:val="00FD01DA"/>
    <w:rsid w:val="00FD35D4"/>
    <w:rsid w:val="00FD40CC"/>
    <w:rsid w:val="00FD439E"/>
    <w:rsid w:val="00FD76CB"/>
    <w:rsid w:val="00FD7C67"/>
    <w:rsid w:val="00FE191C"/>
    <w:rsid w:val="00FE29C6"/>
    <w:rsid w:val="00FE4A72"/>
    <w:rsid w:val="00FE6E92"/>
    <w:rsid w:val="00FF0E30"/>
    <w:rsid w:val="00FF2DE3"/>
    <w:rsid w:val="00FF4546"/>
    <w:rsid w:val="00FF538F"/>
    <w:rsid w:val="05AA436C"/>
    <w:rsid w:val="073D7C98"/>
    <w:rsid w:val="0E7496FB"/>
    <w:rsid w:val="1D2C0A95"/>
    <w:rsid w:val="34AB4A20"/>
    <w:rsid w:val="3722CFC1"/>
    <w:rsid w:val="3CFFDA6F"/>
    <w:rsid w:val="3EFDF801"/>
    <w:rsid w:val="3F6867B6"/>
    <w:rsid w:val="40C9FDA2"/>
    <w:rsid w:val="46672708"/>
    <w:rsid w:val="48F52FAA"/>
    <w:rsid w:val="4AB18EE8"/>
    <w:rsid w:val="5621F4D4"/>
    <w:rsid w:val="612EE8EC"/>
    <w:rsid w:val="6343332F"/>
    <w:rsid w:val="69C4F0BD"/>
    <w:rsid w:val="6E24F9E3"/>
    <w:rsid w:val="716B19CC"/>
    <w:rsid w:val="76E1BD6C"/>
    <w:rsid w:val="770E810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7580C5A"/>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370CD"/>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566EDA"/>
    <w:pPr>
      <w:spacing w:before="240"/>
      <w:outlineLvl w:val="1"/>
    </w:pPr>
  </w:style>
  <w:style w:type="paragraph" w:styleId="Heading3">
    <w:name w:val="heading 3"/>
    <w:basedOn w:val="Heading1"/>
    <w:next w:val="Normal"/>
    <w:link w:val="Heading3Char"/>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rsid w:val="00566EDA"/>
    <w:pPr>
      <w:tabs>
        <w:tab w:val="clear" w:pos="1021"/>
        <w:tab w:val="clear" w:pos="1191"/>
      </w:tabs>
      <w:ind w:left="1588" w:hanging="1588"/>
      <w:outlineLvl w:val="5"/>
    </w:pPr>
  </w:style>
  <w:style w:type="paragraph" w:styleId="Heading7">
    <w:name w:val="heading 7"/>
    <w:basedOn w:val="Heading6"/>
    <w:next w:val="Normal"/>
    <w:link w:val="Heading7Char"/>
    <w:rsid w:val="00566EDA"/>
    <w:pPr>
      <w:outlineLvl w:val="6"/>
    </w:pPr>
  </w:style>
  <w:style w:type="paragraph" w:styleId="Heading8">
    <w:name w:val="heading 8"/>
    <w:basedOn w:val="Heading6"/>
    <w:next w:val="Normal"/>
    <w:link w:val="Heading8Char"/>
    <w:rsid w:val="00566EDA"/>
    <w:pPr>
      <w:outlineLvl w:val="7"/>
    </w:pPr>
  </w:style>
  <w:style w:type="paragraph" w:styleId="Heading9">
    <w:name w:val="heading 9"/>
    <w:basedOn w:val="Heading6"/>
    <w:next w:val="Normal"/>
    <w:link w:val="Heading9Char"/>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E370CD"/>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rsid w:val="00E370CD"/>
  </w:style>
  <w:style w:type="paragraph" w:customStyle="1" w:styleId="CorrectionSeparatorBegin">
    <w:name w:val="Correction Separator Begin"/>
    <w:basedOn w:val="Normal"/>
    <w:rsid w:val="00E370CD"/>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E370CD"/>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E370C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E370C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E370C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E370C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E370C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sid w:val="00E370CD"/>
    <w:rPr>
      <w:b/>
      <w:bCs/>
    </w:rPr>
  </w:style>
  <w:style w:type="paragraph" w:customStyle="1" w:styleId="Normalbeforetable">
    <w:name w:val="Normal before table"/>
    <w:basedOn w:val="Normal"/>
    <w:rsid w:val="00E370CD"/>
    <w:pPr>
      <w:keepNext/>
      <w:spacing w:after="120"/>
    </w:pPr>
    <w:rPr>
      <w:rFonts w:eastAsia="????"/>
      <w:lang w:eastAsia="en-US"/>
    </w:rPr>
  </w:style>
  <w:style w:type="paragraph" w:customStyle="1" w:styleId="RecNo">
    <w:name w:val="Rec_No"/>
    <w:basedOn w:val="Normal"/>
    <w:next w:val="Normal"/>
    <w:rsid w:val="00E370C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E370C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E370CD"/>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E370C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E370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E370C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E370C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E370CD"/>
    <w:pPr>
      <w:tabs>
        <w:tab w:val="right" w:leader="dot" w:pos="9639"/>
      </w:tabs>
    </w:pPr>
    <w:rPr>
      <w:rFonts w:eastAsia="MS Mincho"/>
    </w:rPr>
  </w:style>
  <w:style w:type="paragraph" w:styleId="TOC1">
    <w:name w:val="toc 1"/>
    <w:basedOn w:val="Normal"/>
    <w:uiPriority w:val="39"/>
    <w:rsid w:val="00E370CD"/>
    <w:pPr>
      <w:keepLines/>
      <w:tabs>
        <w:tab w:val="left" w:pos="964"/>
        <w:tab w:val="right" w:leader="do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E370CD"/>
    <w:pPr>
      <w:tabs>
        <w:tab w:val="clear" w:pos="964"/>
      </w:tabs>
      <w:spacing w:before="80"/>
      <w:ind w:left="1531" w:hanging="851"/>
    </w:pPr>
  </w:style>
  <w:style w:type="paragraph" w:styleId="TOC3">
    <w:name w:val="toc 3"/>
    <w:basedOn w:val="TOC2"/>
    <w:rsid w:val="00E370CD"/>
    <w:pPr>
      <w:ind w:left="2269"/>
    </w:pPr>
  </w:style>
  <w:style w:type="character" w:styleId="Hyperlink">
    <w:name w:val="Hyperlink"/>
    <w:basedOn w:val="DefaultParagraphFont"/>
    <w:rsid w:val="00E370CD"/>
    <w:rPr>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rsid w:val="00394DBF"/>
    <w:pPr>
      <w:spacing w:before="0" w:after="200"/>
    </w:pPr>
    <w:rPr>
      <w:i/>
      <w:iCs/>
      <w:color w:val="44546A" w:themeColor="text2"/>
      <w:sz w:val="18"/>
      <w:szCs w:val="18"/>
    </w:rPr>
  </w:style>
  <w:style w:type="paragraph" w:styleId="Header">
    <w:name w:val="header"/>
    <w:basedOn w:val="Normal"/>
    <w:link w:val="HeaderChar"/>
    <w:rsid w:val="00E370CD"/>
    <w:pPr>
      <w:overflowPunct w:val="0"/>
      <w:autoSpaceDE w:val="0"/>
      <w:autoSpaceDN w:val="0"/>
      <w:adjustRightInd w:val="0"/>
      <w:spacing w:before="0"/>
      <w:jc w:val="center"/>
      <w:textAlignment w:val="baseline"/>
    </w:pPr>
    <w:rPr>
      <w:rFonts w:eastAsia="Times New Roman"/>
      <w:sz w:val="18"/>
      <w:szCs w:val="20"/>
      <w:lang w:eastAsia="en-US"/>
    </w:rPr>
  </w:style>
  <w:style w:type="character" w:customStyle="1" w:styleId="HeaderChar">
    <w:name w:val="Header Char"/>
    <w:basedOn w:val="DefaultParagraphFont"/>
    <w:link w:val="Header"/>
    <w:rsid w:val="00E370CD"/>
    <w:rPr>
      <w:rFonts w:ascii="Times New Roman" w:eastAsia="Times New Roman" w:hAnsi="Times New Roman" w:cs="Times New Roman"/>
      <w:sz w:val="18"/>
      <w:szCs w:val="20"/>
      <w:lang w:val="en-GB" w:eastAsia="en-US"/>
    </w:rPr>
  </w:style>
  <w:style w:type="paragraph" w:styleId="Footer">
    <w:name w:val="footer"/>
    <w:basedOn w:val="Normal"/>
    <w:link w:val="FooterChar"/>
    <w:uiPriority w:val="99"/>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uiPriority w:val="99"/>
    <w:rsid w:val="00037538"/>
    <w:rPr>
      <w:rFonts w:ascii="Times New Roman" w:hAnsi="Times New Roman" w:cs="Times New Roman"/>
      <w:sz w:val="20"/>
      <w:szCs w:val="24"/>
      <w:lang w:val="en-GB" w:eastAsia="ja-JP"/>
    </w:rPr>
  </w:style>
  <w:style w:type="character" w:styleId="Emphasis">
    <w:name w:val="Emphasis"/>
    <w:basedOn w:val="DefaultParagraphFont"/>
    <w:uiPriority w:val="20"/>
    <w:rsid w:val="00394DBF"/>
    <w:rPr>
      <w:i/>
      <w:iCs/>
    </w:rPr>
  </w:style>
  <w:style w:type="paragraph" w:styleId="Subtitle">
    <w:name w:val="Subtitle"/>
    <w:basedOn w:val="Normal"/>
    <w:next w:val="Normal"/>
    <w:link w:val="SubtitleChar"/>
    <w:uiPriority w:val="11"/>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94DBF"/>
    <w:rPr>
      <w:color w:val="5A5A5A" w:themeColor="text1" w:themeTint="A5"/>
      <w:spacing w:val="15"/>
      <w:lang w:val="en-GB" w:eastAsia="ja-JP"/>
    </w:rPr>
  </w:style>
  <w:style w:type="character" w:styleId="Strong">
    <w:name w:val="Strong"/>
    <w:basedOn w:val="DefaultParagraphFont"/>
    <w:uiPriority w:val="22"/>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styleId="Revision">
    <w:name w:val="Revision"/>
    <w:hidden/>
    <w:uiPriority w:val="99"/>
    <w:semiHidden/>
    <w:rsid w:val="0095099F"/>
    <w:pPr>
      <w:spacing w:after="0" w:line="240" w:lineRule="auto"/>
    </w:pPr>
    <w:rPr>
      <w:rFonts w:ascii="Times New Roman" w:hAnsi="Times New Roman" w:cs="Times New Roman"/>
      <w:sz w:val="24"/>
      <w:szCs w:val="24"/>
      <w:lang w:val="en-GB" w:eastAsia="ja-JP"/>
    </w:rPr>
  </w:style>
  <w:style w:type="character" w:styleId="CommentReference">
    <w:name w:val="annotation reference"/>
    <w:basedOn w:val="DefaultParagraphFont"/>
    <w:uiPriority w:val="99"/>
    <w:semiHidden/>
    <w:unhideWhenUsed/>
    <w:rsid w:val="003A5982"/>
    <w:rPr>
      <w:sz w:val="16"/>
      <w:szCs w:val="16"/>
    </w:rPr>
  </w:style>
  <w:style w:type="paragraph" w:styleId="CommentText">
    <w:name w:val="annotation text"/>
    <w:basedOn w:val="Normal"/>
    <w:link w:val="CommentTextChar"/>
    <w:uiPriority w:val="99"/>
    <w:unhideWhenUsed/>
    <w:rsid w:val="003A5982"/>
    <w:rPr>
      <w:sz w:val="20"/>
      <w:szCs w:val="20"/>
    </w:rPr>
  </w:style>
  <w:style w:type="character" w:customStyle="1" w:styleId="CommentTextChar">
    <w:name w:val="Comment Text Char"/>
    <w:basedOn w:val="DefaultParagraphFont"/>
    <w:link w:val="CommentText"/>
    <w:uiPriority w:val="99"/>
    <w:rsid w:val="003A5982"/>
    <w:rPr>
      <w:rFonts w:ascii="Times New Roman" w:hAnsi="Times New Roman" w:cs="Times New Roman"/>
      <w:sz w:val="20"/>
      <w:szCs w:val="20"/>
      <w:lang w:val="en-GB" w:eastAsia="ja-JP"/>
    </w:rPr>
  </w:style>
  <w:style w:type="paragraph" w:styleId="CommentSubject">
    <w:name w:val="annotation subject"/>
    <w:basedOn w:val="CommentText"/>
    <w:next w:val="CommentText"/>
    <w:link w:val="CommentSubjectChar"/>
    <w:uiPriority w:val="99"/>
    <w:semiHidden/>
    <w:unhideWhenUsed/>
    <w:rsid w:val="003A5982"/>
    <w:rPr>
      <w:b/>
      <w:bCs/>
    </w:rPr>
  </w:style>
  <w:style w:type="character" w:customStyle="1" w:styleId="CommentSubjectChar">
    <w:name w:val="Comment Subject Char"/>
    <w:basedOn w:val="CommentTextChar"/>
    <w:link w:val="CommentSubject"/>
    <w:uiPriority w:val="99"/>
    <w:semiHidden/>
    <w:rsid w:val="003A5982"/>
    <w:rPr>
      <w:rFonts w:ascii="Times New Roman" w:hAnsi="Times New Roman" w:cs="Times New Roman"/>
      <w:b/>
      <w:bCs/>
      <w:sz w:val="20"/>
      <w:szCs w:val="20"/>
      <w:lang w:val="en-GB" w:eastAsia="ja-JP"/>
    </w:rPr>
  </w:style>
  <w:style w:type="paragraph" w:customStyle="1" w:styleId="VenueDate">
    <w:name w:val="VenueDate"/>
    <w:basedOn w:val="Normal"/>
    <w:rsid w:val="000C3DDD"/>
    <w:pPr>
      <w:jc w:val="right"/>
    </w:pPr>
  </w:style>
  <w:style w:type="character" w:customStyle="1" w:styleId="ReftextArial9pt">
    <w:name w:val="Ref_text Arial 9 pt"/>
    <w:rsid w:val="00E370CD"/>
    <w:rPr>
      <w:rFonts w:ascii="Arial" w:hAnsi="Arial" w:cs="Arial"/>
      <w:sz w:val="18"/>
      <w:szCs w:val="18"/>
    </w:rPr>
  </w:style>
  <w:style w:type="paragraph" w:customStyle="1" w:styleId="Title4">
    <w:name w:val="Title 4"/>
    <w:basedOn w:val="Normal"/>
    <w:next w:val="Heading1"/>
    <w:rsid w:val="00E370CD"/>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rFonts w:eastAsia="Times New Roman"/>
      <w:b/>
      <w:sz w:val="28"/>
      <w:szCs w:val="20"/>
      <w:lang w:eastAsia="en-US"/>
    </w:rPr>
  </w:style>
  <w:style w:type="paragraph" w:customStyle="1" w:styleId="Note">
    <w:name w:val="Note"/>
    <w:basedOn w:val="Normal"/>
    <w:rsid w:val="00E370CD"/>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styleId="FootnoteText">
    <w:name w:val="footnote text"/>
    <w:basedOn w:val="Normal"/>
    <w:link w:val="FootnoteTextChar"/>
    <w:uiPriority w:val="99"/>
    <w:semiHidden/>
    <w:unhideWhenUsed/>
    <w:rsid w:val="008D0C7E"/>
    <w:pPr>
      <w:spacing w:before="0"/>
    </w:pPr>
    <w:rPr>
      <w:sz w:val="20"/>
      <w:szCs w:val="20"/>
    </w:rPr>
  </w:style>
  <w:style w:type="character" w:customStyle="1" w:styleId="FootnoteTextChar">
    <w:name w:val="Footnote Text Char"/>
    <w:basedOn w:val="DefaultParagraphFont"/>
    <w:link w:val="FootnoteText"/>
    <w:uiPriority w:val="99"/>
    <w:semiHidden/>
    <w:rsid w:val="008D0C7E"/>
    <w:rPr>
      <w:rFonts w:ascii="Times New Roman" w:hAnsi="Times New Roman" w:cs="Times New Roman"/>
      <w:sz w:val="20"/>
      <w:szCs w:val="20"/>
      <w:lang w:val="en-GB" w:eastAsia="ja-JP"/>
    </w:rPr>
  </w:style>
  <w:style w:type="character" w:styleId="FootnoteReference">
    <w:name w:val="footnote reference"/>
    <w:basedOn w:val="DefaultParagraphFont"/>
    <w:uiPriority w:val="99"/>
    <w:semiHidden/>
    <w:unhideWhenUsed/>
    <w:rsid w:val="008D0C7E"/>
    <w:rPr>
      <w:vertAlign w:val="superscript"/>
    </w:rPr>
  </w:style>
  <w:style w:type="paragraph" w:styleId="BalloonText">
    <w:name w:val="Balloon Text"/>
    <w:basedOn w:val="Normal"/>
    <w:link w:val="BalloonTextChar"/>
    <w:uiPriority w:val="99"/>
    <w:semiHidden/>
    <w:unhideWhenUsed/>
    <w:rsid w:val="008D0C7E"/>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D0C7E"/>
    <w:rPr>
      <w:rFonts w:ascii="Segoe UI" w:hAnsi="Segoe UI" w:cs="Segoe UI"/>
      <w:sz w:val="18"/>
      <w:szCs w:val="18"/>
      <w:lang w:val="en-GB" w:eastAsia="ja-JP"/>
    </w:rPr>
  </w:style>
  <w:style w:type="paragraph" w:styleId="Bibliography">
    <w:name w:val="Bibliography"/>
    <w:basedOn w:val="Normal"/>
    <w:next w:val="Normal"/>
    <w:uiPriority w:val="37"/>
    <w:semiHidden/>
    <w:unhideWhenUsed/>
    <w:rsid w:val="008D0C7E"/>
  </w:style>
  <w:style w:type="paragraph" w:styleId="BlockText">
    <w:name w:val="Block Text"/>
    <w:basedOn w:val="Normal"/>
    <w:uiPriority w:val="99"/>
    <w:semiHidden/>
    <w:unhideWhenUsed/>
    <w:rsid w:val="008D0C7E"/>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hAnsiTheme="minorHAnsi" w:cstheme="minorBidi"/>
      <w:i/>
      <w:iCs/>
      <w:color w:val="5B9BD5" w:themeColor="accent1"/>
    </w:rPr>
  </w:style>
  <w:style w:type="paragraph" w:styleId="BodyText">
    <w:name w:val="Body Text"/>
    <w:basedOn w:val="Normal"/>
    <w:link w:val="BodyTextChar"/>
    <w:uiPriority w:val="99"/>
    <w:semiHidden/>
    <w:unhideWhenUsed/>
    <w:rsid w:val="008D0C7E"/>
    <w:pPr>
      <w:spacing w:after="120"/>
    </w:pPr>
  </w:style>
  <w:style w:type="character" w:customStyle="1" w:styleId="BodyTextChar">
    <w:name w:val="Body Text Char"/>
    <w:basedOn w:val="DefaultParagraphFont"/>
    <w:link w:val="BodyText"/>
    <w:uiPriority w:val="99"/>
    <w:semiHidden/>
    <w:rsid w:val="008D0C7E"/>
    <w:rPr>
      <w:rFonts w:ascii="Times New Roman" w:hAnsi="Times New Roman" w:cs="Times New Roman"/>
      <w:sz w:val="24"/>
      <w:szCs w:val="24"/>
      <w:lang w:val="en-GB" w:eastAsia="ja-JP"/>
    </w:rPr>
  </w:style>
  <w:style w:type="paragraph" w:styleId="BodyText2">
    <w:name w:val="Body Text 2"/>
    <w:basedOn w:val="Normal"/>
    <w:link w:val="BodyText2Char"/>
    <w:uiPriority w:val="99"/>
    <w:semiHidden/>
    <w:unhideWhenUsed/>
    <w:rsid w:val="008D0C7E"/>
    <w:pPr>
      <w:spacing w:after="120" w:line="480" w:lineRule="auto"/>
    </w:pPr>
  </w:style>
  <w:style w:type="character" w:customStyle="1" w:styleId="BodyText2Char">
    <w:name w:val="Body Text 2 Char"/>
    <w:basedOn w:val="DefaultParagraphFont"/>
    <w:link w:val="BodyText2"/>
    <w:uiPriority w:val="99"/>
    <w:semiHidden/>
    <w:rsid w:val="008D0C7E"/>
    <w:rPr>
      <w:rFonts w:ascii="Times New Roman" w:hAnsi="Times New Roman" w:cs="Times New Roman"/>
      <w:sz w:val="24"/>
      <w:szCs w:val="24"/>
      <w:lang w:val="en-GB" w:eastAsia="ja-JP"/>
    </w:rPr>
  </w:style>
  <w:style w:type="paragraph" w:styleId="BodyText3">
    <w:name w:val="Body Text 3"/>
    <w:basedOn w:val="Normal"/>
    <w:link w:val="BodyText3Char"/>
    <w:uiPriority w:val="99"/>
    <w:semiHidden/>
    <w:unhideWhenUsed/>
    <w:rsid w:val="008D0C7E"/>
    <w:pPr>
      <w:spacing w:after="120"/>
    </w:pPr>
    <w:rPr>
      <w:sz w:val="16"/>
      <w:szCs w:val="16"/>
    </w:rPr>
  </w:style>
  <w:style w:type="character" w:customStyle="1" w:styleId="BodyText3Char">
    <w:name w:val="Body Text 3 Char"/>
    <w:basedOn w:val="DefaultParagraphFont"/>
    <w:link w:val="BodyText3"/>
    <w:uiPriority w:val="99"/>
    <w:semiHidden/>
    <w:rsid w:val="008D0C7E"/>
    <w:rPr>
      <w:rFonts w:ascii="Times New Roman" w:hAnsi="Times New Roman" w:cs="Times New Roman"/>
      <w:sz w:val="16"/>
      <w:szCs w:val="16"/>
      <w:lang w:val="en-GB" w:eastAsia="ja-JP"/>
    </w:rPr>
  </w:style>
  <w:style w:type="paragraph" w:styleId="BodyTextFirstIndent">
    <w:name w:val="Body Text First Indent"/>
    <w:basedOn w:val="BodyText"/>
    <w:link w:val="BodyTextFirstIndentChar"/>
    <w:uiPriority w:val="99"/>
    <w:semiHidden/>
    <w:unhideWhenUsed/>
    <w:rsid w:val="008D0C7E"/>
    <w:pPr>
      <w:spacing w:after="0"/>
      <w:ind w:firstLine="360"/>
    </w:pPr>
  </w:style>
  <w:style w:type="character" w:customStyle="1" w:styleId="BodyTextFirstIndentChar">
    <w:name w:val="Body Text First Indent Char"/>
    <w:basedOn w:val="BodyTextChar"/>
    <w:link w:val="BodyTextFirstIndent"/>
    <w:uiPriority w:val="99"/>
    <w:semiHidden/>
    <w:rsid w:val="008D0C7E"/>
    <w:rPr>
      <w:rFonts w:ascii="Times New Roman" w:hAnsi="Times New Roman" w:cs="Times New Roman"/>
      <w:sz w:val="24"/>
      <w:szCs w:val="24"/>
      <w:lang w:val="en-GB" w:eastAsia="ja-JP"/>
    </w:rPr>
  </w:style>
  <w:style w:type="paragraph" w:styleId="BodyTextIndent">
    <w:name w:val="Body Text Indent"/>
    <w:basedOn w:val="Normal"/>
    <w:link w:val="BodyTextIndentChar"/>
    <w:uiPriority w:val="99"/>
    <w:semiHidden/>
    <w:unhideWhenUsed/>
    <w:rsid w:val="008D0C7E"/>
    <w:pPr>
      <w:spacing w:after="120"/>
      <w:ind w:left="360"/>
    </w:pPr>
  </w:style>
  <w:style w:type="character" w:customStyle="1" w:styleId="BodyTextIndentChar">
    <w:name w:val="Body Text Indent Char"/>
    <w:basedOn w:val="DefaultParagraphFont"/>
    <w:link w:val="BodyTextIndent"/>
    <w:uiPriority w:val="99"/>
    <w:semiHidden/>
    <w:rsid w:val="008D0C7E"/>
    <w:rPr>
      <w:rFonts w:ascii="Times New Roman" w:hAnsi="Times New Roman" w:cs="Times New Roman"/>
      <w:sz w:val="24"/>
      <w:szCs w:val="24"/>
      <w:lang w:val="en-GB" w:eastAsia="ja-JP"/>
    </w:rPr>
  </w:style>
  <w:style w:type="paragraph" w:styleId="BodyTextFirstIndent2">
    <w:name w:val="Body Text First Indent 2"/>
    <w:basedOn w:val="BodyTextIndent"/>
    <w:link w:val="BodyTextFirstIndent2Char"/>
    <w:uiPriority w:val="99"/>
    <w:semiHidden/>
    <w:unhideWhenUsed/>
    <w:rsid w:val="008D0C7E"/>
    <w:pPr>
      <w:spacing w:after="0"/>
      <w:ind w:firstLine="360"/>
    </w:pPr>
  </w:style>
  <w:style w:type="character" w:customStyle="1" w:styleId="BodyTextFirstIndent2Char">
    <w:name w:val="Body Text First Indent 2 Char"/>
    <w:basedOn w:val="BodyTextIndentChar"/>
    <w:link w:val="BodyTextFirstIndent2"/>
    <w:uiPriority w:val="99"/>
    <w:semiHidden/>
    <w:rsid w:val="008D0C7E"/>
    <w:rPr>
      <w:rFonts w:ascii="Times New Roman" w:hAnsi="Times New Roman" w:cs="Times New Roman"/>
      <w:sz w:val="24"/>
      <w:szCs w:val="24"/>
      <w:lang w:val="en-GB" w:eastAsia="ja-JP"/>
    </w:rPr>
  </w:style>
  <w:style w:type="paragraph" w:styleId="BodyTextIndent2">
    <w:name w:val="Body Text Indent 2"/>
    <w:basedOn w:val="Normal"/>
    <w:link w:val="BodyTextIndent2Char"/>
    <w:uiPriority w:val="99"/>
    <w:semiHidden/>
    <w:unhideWhenUsed/>
    <w:rsid w:val="008D0C7E"/>
    <w:pPr>
      <w:spacing w:after="120" w:line="480" w:lineRule="auto"/>
      <w:ind w:left="360"/>
    </w:pPr>
  </w:style>
  <w:style w:type="character" w:customStyle="1" w:styleId="BodyTextIndent2Char">
    <w:name w:val="Body Text Indent 2 Char"/>
    <w:basedOn w:val="DefaultParagraphFont"/>
    <w:link w:val="BodyTextIndent2"/>
    <w:uiPriority w:val="99"/>
    <w:semiHidden/>
    <w:rsid w:val="008D0C7E"/>
    <w:rPr>
      <w:rFonts w:ascii="Times New Roman" w:hAnsi="Times New Roman" w:cs="Times New Roman"/>
      <w:sz w:val="24"/>
      <w:szCs w:val="24"/>
      <w:lang w:val="en-GB" w:eastAsia="ja-JP"/>
    </w:rPr>
  </w:style>
  <w:style w:type="paragraph" w:styleId="BodyTextIndent3">
    <w:name w:val="Body Text Indent 3"/>
    <w:basedOn w:val="Normal"/>
    <w:link w:val="BodyTextIndent3Char"/>
    <w:uiPriority w:val="99"/>
    <w:semiHidden/>
    <w:unhideWhenUsed/>
    <w:rsid w:val="008D0C7E"/>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D0C7E"/>
    <w:rPr>
      <w:rFonts w:ascii="Times New Roman" w:hAnsi="Times New Roman" w:cs="Times New Roman"/>
      <w:sz w:val="16"/>
      <w:szCs w:val="16"/>
      <w:lang w:val="en-GB" w:eastAsia="ja-JP"/>
    </w:rPr>
  </w:style>
  <w:style w:type="character" w:styleId="BookTitle">
    <w:name w:val="Book Title"/>
    <w:basedOn w:val="DefaultParagraphFont"/>
    <w:uiPriority w:val="33"/>
    <w:rsid w:val="008D0C7E"/>
    <w:rPr>
      <w:b/>
      <w:bCs/>
      <w:i/>
      <w:iCs/>
      <w:spacing w:val="5"/>
    </w:rPr>
  </w:style>
  <w:style w:type="paragraph" w:styleId="Closing">
    <w:name w:val="Closing"/>
    <w:basedOn w:val="Normal"/>
    <w:link w:val="ClosingChar"/>
    <w:uiPriority w:val="99"/>
    <w:semiHidden/>
    <w:unhideWhenUsed/>
    <w:rsid w:val="008D0C7E"/>
    <w:pPr>
      <w:spacing w:before="0"/>
      <w:ind w:left="4320"/>
    </w:pPr>
  </w:style>
  <w:style w:type="character" w:customStyle="1" w:styleId="ClosingChar">
    <w:name w:val="Closing Char"/>
    <w:basedOn w:val="DefaultParagraphFont"/>
    <w:link w:val="Closing"/>
    <w:uiPriority w:val="99"/>
    <w:semiHidden/>
    <w:rsid w:val="008D0C7E"/>
    <w:rPr>
      <w:rFonts w:ascii="Times New Roman" w:hAnsi="Times New Roman" w:cs="Times New Roman"/>
      <w:sz w:val="24"/>
      <w:szCs w:val="24"/>
      <w:lang w:val="en-GB" w:eastAsia="ja-JP"/>
    </w:rPr>
  </w:style>
  <w:style w:type="paragraph" w:styleId="Date">
    <w:name w:val="Date"/>
    <w:basedOn w:val="Normal"/>
    <w:next w:val="Normal"/>
    <w:link w:val="DateChar"/>
    <w:uiPriority w:val="99"/>
    <w:semiHidden/>
    <w:unhideWhenUsed/>
    <w:rsid w:val="008D0C7E"/>
  </w:style>
  <w:style w:type="character" w:customStyle="1" w:styleId="DateChar">
    <w:name w:val="Date Char"/>
    <w:basedOn w:val="DefaultParagraphFont"/>
    <w:link w:val="Date"/>
    <w:uiPriority w:val="99"/>
    <w:semiHidden/>
    <w:rsid w:val="008D0C7E"/>
    <w:rPr>
      <w:rFonts w:ascii="Times New Roman" w:hAnsi="Times New Roman" w:cs="Times New Roman"/>
      <w:sz w:val="24"/>
      <w:szCs w:val="24"/>
      <w:lang w:val="en-GB" w:eastAsia="ja-JP"/>
    </w:rPr>
  </w:style>
  <w:style w:type="paragraph" w:styleId="DocumentMap">
    <w:name w:val="Document Map"/>
    <w:basedOn w:val="Normal"/>
    <w:link w:val="DocumentMapChar"/>
    <w:uiPriority w:val="99"/>
    <w:semiHidden/>
    <w:unhideWhenUsed/>
    <w:rsid w:val="008D0C7E"/>
    <w:pPr>
      <w:spacing w:before="0"/>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D0C7E"/>
    <w:rPr>
      <w:rFonts w:ascii="Segoe UI" w:hAnsi="Segoe UI" w:cs="Segoe UI"/>
      <w:sz w:val="16"/>
      <w:szCs w:val="16"/>
      <w:lang w:val="en-GB" w:eastAsia="ja-JP"/>
    </w:rPr>
  </w:style>
  <w:style w:type="paragraph" w:styleId="E-mailSignature">
    <w:name w:val="E-mail Signature"/>
    <w:basedOn w:val="Normal"/>
    <w:link w:val="E-mailSignatureChar"/>
    <w:uiPriority w:val="99"/>
    <w:semiHidden/>
    <w:unhideWhenUsed/>
    <w:rsid w:val="008D0C7E"/>
    <w:pPr>
      <w:spacing w:before="0"/>
    </w:pPr>
  </w:style>
  <w:style w:type="character" w:customStyle="1" w:styleId="E-mailSignatureChar">
    <w:name w:val="E-mail Signature Char"/>
    <w:basedOn w:val="DefaultParagraphFont"/>
    <w:link w:val="E-mailSignature"/>
    <w:uiPriority w:val="99"/>
    <w:semiHidden/>
    <w:rsid w:val="008D0C7E"/>
    <w:rPr>
      <w:rFonts w:ascii="Times New Roman" w:hAnsi="Times New Roman" w:cs="Times New Roman"/>
      <w:sz w:val="24"/>
      <w:szCs w:val="24"/>
      <w:lang w:val="en-GB" w:eastAsia="ja-JP"/>
    </w:rPr>
  </w:style>
  <w:style w:type="character" w:styleId="EndnoteReference">
    <w:name w:val="endnote reference"/>
    <w:basedOn w:val="DefaultParagraphFont"/>
    <w:uiPriority w:val="99"/>
    <w:semiHidden/>
    <w:unhideWhenUsed/>
    <w:rsid w:val="008D0C7E"/>
    <w:rPr>
      <w:vertAlign w:val="superscript"/>
    </w:rPr>
  </w:style>
  <w:style w:type="paragraph" w:styleId="EndnoteText">
    <w:name w:val="endnote text"/>
    <w:basedOn w:val="Normal"/>
    <w:link w:val="EndnoteTextChar"/>
    <w:uiPriority w:val="99"/>
    <w:semiHidden/>
    <w:unhideWhenUsed/>
    <w:rsid w:val="008D0C7E"/>
    <w:pPr>
      <w:spacing w:before="0"/>
    </w:pPr>
    <w:rPr>
      <w:sz w:val="20"/>
      <w:szCs w:val="20"/>
    </w:rPr>
  </w:style>
  <w:style w:type="character" w:customStyle="1" w:styleId="EndnoteTextChar">
    <w:name w:val="Endnote Text Char"/>
    <w:basedOn w:val="DefaultParagraphFont"/>
    <w:link w:val="EndnoteText"/>
    <w:uiPriority w:val="99"/>
    <w:semiHidden/>
    <w:rsid w:val="008D0C7E"/>
    <w:rPr>
      <w:rFonts w:ascii="Times New Roman" w:hAnsi="Times New Roman" w:cs="Times New Roman"/>
      <w:sz w:val="20"/>
      <w:szCs w:val="20"/>
      <w:lang w:val="en-GB" w:eastAsia="ja-JP"/>
    </w:rPr>
  </w:style>
  <w:style w:type="paragraph" w:styleId="EnvelopeAddress">
    <w:name w:val="envelope address"/>
    <w:basedOn w:val="Normal"/>
    <w:uiPriority w:val="99"/>
    <w:semiHidden/>
    <w:unhideWhenUsed/>
    <w:rsid w:val="008D0C7E"/>
    <w:pPr>
      <w:framePr w:w="7920" w:h="1980" w:hRule="exact" w:hSpace="180" w:wrap="auto" w:hAnchor="page" w:xAlign="center" w:yAlign="bottom"/>
      <w:spacing w:before="0"/>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8D0C7E"/>
    <w:pPr>
      <w:spacing w:before="0"/>
    </w:pPr>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8D0C7E"/>
    <w:rPr>
      <w:color w:val="954F72" w:themeColor="followedHyperlink"/>
      <w:u w:val="single"/>
    </w:rPr>
  </w:style>
  <w:style w:type="character" w:customStyle="1" w:styleId="Hashtag1">
    <w:name w:val="Hashtag1"/>
    <w:basedOn w:val="DefaultParagraphFont"/>
    <w:uiPriority w:val="99"/>
    <w:semiHidden/>
    <w:unhideWhenUsed/>
    <w:rsid w:val="008D0C7E"/>
    <w:rPr>
      <w:color w:val="2B579A"/>
      <w:shd w:val="clear" w:color="auto" w:fill="E1DFDD"/>
    </w:rPr>
  </w:style>
  <w:style w:type="character" w:styleId="HTMLAcronym">
    <w:name w:val="HTML Acronym"/>
    <w:basedOn w:val="DefaultParagraphFont"/>
    <w:uiPriority w:val="99"/>
    <w:semiHidden/>
    <w:unhideWhenUsed/>
    <w:rsid w:val="008D0C7E"/>
  </w:style>
  <w:style w:type="paragraph" w:styleId="HTMLAddress">
    <w:name w:val="HTML Address"/>
    <w:basedOn w:val="Normal"/>
    <w:link w:val="HTMLAddressChar"/>
    <w:uiPriority w:val="99"/>
    <w:semiHidden/>
    <w:unhideWhenUsed/>
    <w:rsid w:val="008D0C7E"/>
    <w:pPr>
      <w:spacing w:before="0"/>
    </w:pPr>
    <w:rPr>
      <w:i/>
      <w:iCs/>
    </w:rPr>
  </w:style>
  <w:style w:type="character" w:customStyle="1" w:styleId="HTMLAddressChar">
    <w:name w:val="HTML Address Char"/>
    <w:basedOn w:val="DefaultParagraphFont"/>
    <w:link w:val="HTMLAddress"/>
    <w:uiPriority w:val="99"/>
    <w:semiHidden/>
    <w:rsid w:val="008D0C7E"/>
    <w:rPr>
      <w:rFonts w:ascii="Times New Roman" w:hAnsi="Times New Roman" w:cs="Times New Roman"/>
      <w:i/>
      <w:iCs/>
      <w:sz w:val="24"/>
      <w:szCs w:val="24"/>
      <w:lang w:val="en-GB" w:eastAsia="ja-JP"/>
    </w:rPr>
  </w:style>
  <w:style w:type="character" w:styleId="HTMLCite">
    <w:name w:val="HTML Cite"/>
    <w:basedOn w:val="DefaultParagraphFont"/>
    <w:uiPriority w:val="99"/>
    <w:semiHidden/>
    <w:unhideWhenUsed/>
    <w:rsid w:val="008D0C7E"/>
    <w:rPr>
      <w:i/>
      <w:iCs/>
    </w:rPr>
  </w:style>
  <w:style w:type="character" w:styleId="HTMLCode">
    <w:name w:val="HTML Code"/>
    <w:basedOn w:val="DefaultParagraphFont"/>
    <w:uiPriority w:val="99"/>
    <w:semiHidden/>
    <w:unhideWhenUsed/>
    <w:rsid w:val="008D0C7E"/>
    <w:rPr>
      <w:rFonts w:ascii="Consolas" w:hAnsi="Consolas"/>
      <w:sz w:val="20"/>
      <w:szCs w:val="20"/>
    </w:rPr>
  </w:style>
  <w:style w:type="character" w:styleId="HTMLDefinition">
    <w:name w:val="HTML Definition"/>
    <w:basedOn w:val="DefaultParagraphFont"/>
    <w:uiPriority w:val="99"/>
    <w:semiHidden/>
    <w:unhideWhenUsed/>
    <w:rsid w:val="008D0C7E"/>
    <w:rPr>
      <w:i/>
      <w:iCs/>
    </w:rPr>
  </w:style>
  <w:style w:type="character" w:styleId="HTMLKeyboard">
    <w:name w:val="HTML Keyboard"/>
    <w:basedOn w:val="DefaultParagraphFont"/>
    <w:uiPriority w:val="99"/>
    <w:semiHidden/>
    <w:unhideWhenUsed/>
    <w:rsid w:val="008D0C7E"/>
    <w:rPr>
      <w:rFonts w:ascii="Consolas" w:hAnsi="Consolas"/>
      <w:sz w:val="20"/>
      <w:szCs w:val="20"/>
    </w:rPr>
  </w:style>
  <w:style w:type="paragraph" w:styleId="HTMLPreformatted">
    <w:name w:val="HTML Preformatted"/>
    <w:basedOn w:val="Normal"/>
    <w:link w:val="HTMLPreformattedChar"/>
    <w:uiPriority w:val="99"/>
    <w:semiHidden/>
    <w:unhideWhenUsed/>
    <w:rsid w:val="008D0C7E"/>
    <w:pPr>
      <w:spacing w:before="0"/>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D0C7E"/>
    <w:rPr>
      <w:rFonts w:ascii="Consolas" w:hAnsi="Consolas" w:cs="Times New Roman"/>
      <w:sz w:val="20"/>
      <w:szCs w:val="20"/>
      <w:lang w:val="en-GB" w:eastAsia="ja-JP"/>
    </w:rPr>
  </w:style>
  <w:style w:type="character" w:styleId="HTMLSample">
    <w:name w:val="HTML Sample"/>
    <w:basedOn w:val="DefaultParagraphFont"/>
    <w:uiPriority w:val="99"/>
    <w:semiHidden/>
    <w:unhideWhenUsed/>
    <w:rsid w:val="008D0C7E"/>
    <w:rPr>
      <w:rFonts w:ascii="Consolas" w:hAnsi="Consolas"/>
      <w:sz w:val="24"/>
      <w:szCs w:val="24"/>
    </w:rPr>
  </w:style>
  <w:style w:type="character" w:styleId="HTMLTypewriter">
    <w:name w:val="HTML Typewriter"/>
    <w:basedOn w:val="DefaultParagraphFont"/>
    <w:uiPriority w:val="99"/>
    <w:semiHidden/>
    <w:unhideWhenUsed/>
    <w:rsid w:val="008D0C7E"/>
    <w:rPr>
      <w:rFonts w:ascii="Consolas" w:hAnsi="Consolas"/>
      <w:sz w:val="20"/>
      <w:szCs w:val="20"/>
    </w:rPr>
  </w:style>
  <w:style w:type="character" w:styleId="HTMLVariable">
    <w:name w:val="HTML Variable"/>
    <w:basedOn w:val="DefaultParagraphFont"/>
    <w:uiPriority w:val="99"/>
    <w:semiHidden/>
    <w:unhideWhenUsed/>
    <w:rsid w:val="008D0C7E"/>
    <w:rPr>
      <w:i/>
      <w:iCs/>
    </w:rPr>
  </w:style>
  <w:style w:type="paragraph" w:styleId="Index1">
    <w:name w:val="index 1"/>
    <w:basedOn w:val="Normal"/>
    <w:next w:val="Normal"/>
    <w:autoRedefine/>
    <w:uiPriority w:val="99"/>
    <w:semiHidden/>
    <w:unhideWhenUsed/>
    <w:rsid w:val="008D0C7E"/>
    <w:pPr>
      <w:spacing w:before="0"/>
      <w:ind w:left="240" w:hanging="240"/>
    </w:pPr>
  </w:style>
  <w:style w:type="paragraph" w:styleId="Index2">
    <w:name w:val="index 2"/>
    <w:basedOn w:val="Normal"/>
    <w:next w:val="Normal"/>
    <w:autoRedefine/>
    <w:uiPriority w:val="99"/>
    <w:semiHidden/>
    <w:unhideWhenUsed/>
    <w:rsid w:val="008D0C7E"/>
    <w:pPr>
      <w:spacing w:before="0"/>
      <w:ind w:left="480" w:hanging="240"/>
    </w:pPr>
  </w:style>
  <w:style w:type="paragraph" w:styleId="Index3">
    <w:name w:val="index 3"/>
    <w:basedOn w:val="Normal"/>
    <w:next w:val="Normal"/>
    <w:autoRedefine/>
    <w:uiPriority w:val="99"/>
    <w:semiHidden/>
    <w:unhideWhenUsed/>
    <w:rsid w:val="008D0C7E"/>
    <w:pPr>
      <w:spacing w:before="0"/>
      <w:ind w:left="720" w:hanging="240"/>
    </w:pPr>
  </w:style>
  <w:style w:type="paragraph" w:styleId="Index4">
    <w:name w:val="index 4"/>
    <w:basedOn w:val="Normal"/>
    <w:next w:val="Normal"/>
    <w:autoRedefine/>
    <w:uiPriority w:val="99"/>
    <w:semiHidden/>
    <w:unhideWhenUsed/>
    <w:rsid w:val="008D0C7E"/>
    <w:pPr>
      <w:spacing w:before="0"/>
      <w:ind w:left="960" w:hanging="240"/>
    </w:pPr>
  </w:style>
  <w:style w:type="paragraph" w:styleId="Index5">
    <w:name w:val="index 5"/>
    <w:basedOn w:val="Normal"/>
    <w:next w:val="Normal"/>
    <w:autoRedefine/>
    <w:uiPriority w:val="99"/>
    <w:semiHidden/>
    <w:unhideWhenUsed/>
    <w:rsid w:val="008D0C7E"/>
    <w:pPr>
      <w:spacing w:before="0"/>
      <w:ind w:left="1200" w:hanging="240"/>
    </w:pPr>
  </w:style>
  <w:style w:type="paragraph" w:styleId="Index6">
    <w:name w:val="index 6"/>
    <w:basedOn w:val="Normal"/>
    <w:next w:val="Normal"/>
    <w:autoRedefine/>
    <w:uiPriority w:val="99"/>
    <w:semiHidden/>
    <w:unhideWhenUsed/>
    <w:rsid w:val="008D0C7E"/>
    <w:pPr>
      <w:spacing w:before="0"/>
      <w:ind w:left="1440" w:hanging="240"/>
    </w:pPr>
  </w:style>
  <w:style w:type="paragraph" w:styleId="Index7">
    <w:name w:val="index 7"/>
    <w:basedOn w:val="Normal"/>
    <w:next w:val="Normal"/>
    <w:autoRedefine/>
    <w:uiPriority w:val="99"/>
    <w:semiHidden/>
    <w:unhideWhenUsed/>
    <w:rsid w:val="008D0C7E"/>
    <w:pPr>
      <w:spacing w:before="0"/>
      <w:ind w:left="1680" w:hanging="240"/>
    </w:pPr>
  </w:style>
  <w:style w:type="paragraph" w:styleId="Index8">
    <w:name w:val="index 8"/>
    <w:basedOn w:val="Normal"/>
    <w:next w:val="Normal"/>
    <w:autoRedefine/>
    <w:uiPriority w:val="99"/>
    <w:semiHidden/>
    <w:unhideWhenUsed/>
    <w:rsid w:val="008D0C7E"/>
    <w:pPr>
      <w:spacing w:before="0"/>
      <w:ind w:left="1920" w:hanging="240"/>
    </w:pPr>
  </w:style>
  <w:style w:type="paragraph" w:styleId="Index9">
    <w:name w:val="index 9"/>
    <w:basedOn w:val="Normal"/>
    <w:next w:val="Normal"/>
    <w:autoRedefine/>
    <w:uiPriority w:val="99"/>
    <w:semiHidden/>
    <w:unhideWhenUsed/>
    <w:rsid w:val="008D0C7E"/>
    <w:pPr>
      <w:spacing w:before="0"/>
      <w:ind w:left="2160" w:hanging="240"/>
    </w:pPr>
  </w:style>
  <w:style w:type="paragraph" w:styleId="IndexHeading">
    <w:name w:val="index heading"/>
    <w:basedOn w:val="Normal"/>
    <w:next w:val="Index1"/>
    <w:uiPriority w:val="99"/>
    <w:semiHidden/>
    <w:unhideWhenUsed/>
    <w:rsid w:val="008D0C7E"/>
    <w:rPr>
      <w:rFonts w:asciiTheme="majorHAnsi" w:eastAsiaTheme="majorEastAsia" w:hAnsiTheme="majorHAnsi" w:cstheme="majorBidi"/>
      <w:b/>
      <w:bCs/>
    </w:rPr>
  </w:style>
  <w:style w:type="character" w:styleId="IntenseEmphasis">
    <w:name w:val="Intense Emphasis"/>
    <w:basedOn w:val="DefaultParagraphFont"/>
    <w:uiPriority w:val="21"/>
    <w:rsid w:val="008D0C7E"/>
    <w:rPr>
      <w:i/>
      <w:iCs/>
      <w:color w:val="5B9BD5" w:themeColor="accent1"/>
    </w:rPr>
  </w:style>
  <w:style w:type="paragraph" w:styleId="IntenseQuote">
    <w:name w:val="Intense Quote"/>
    <w:basedOn w:val="Normal"/>
    <w:next w:val="Normal"/>
    <w:link w:val="IntenseQuoteChar"/>
    <w:uiPriority w:val="30"/>
    <w:rsid w:val="008D0C7E"/>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8D0C7E"/>
    <w:rPr>
      <w:rFonts w:ascii="Times New Roman" w:hAnsi="Times New Roman" w:cs="Times New Roman"/>
      <w:i/>
      <w:iCs/>
      <w:color w:val="5B9BD5" w:themeColor="accent1"/>
      <w:sz w:val="24"/>
      <w:szCs w:val="24"/>
      <w:lang w:val="en-GB" w:eastAsia="ja-JP"/>
    </w:rPr>
  </w:style>
  <w:style w:type="character" w:styleId="IntenseReference">
    <w:name w:val="Intense Reference"/>
    <w:basedOn w:val="DefaultParagraphFont"/>
    <w:uiPriority w:val="32"/>
    <w:rsid w:val="008D0C7E"/>
    <w:rPr>
      <w:b/>
      <w:bCs/>
      <w:smallCaps/>
      <w:color w:val="5B9BD5" w:themeColor="accent1"/>
      <w:spacing w:val="5"/>
    </w:rPr>
  </w:style>
  <w:style w:type="character" w:styleId="LineNumber">
    <w:name w:val="line number"/>
    <w:basedOn w:val="DefaultParagraphFont"/>
    <w:uiPriority w:val="99"/>
    <w:semiHidden/>
    <w:unhideWhenUsed/>
    <w:rsid w:val="008D0C7E"/>
  </w:style>
  <w:style w:type="paragraph" w:styleId="List">
    <w:name w:val="List"/>
    <w:basedOn w:val="Normal"/>
    <w:uiPriority w:val="99"/>
    <w:semiHidden/>
    <w:unhideWhenUsed/>
    <w:rsid w:val="008D0C7E"/>
    <w:pPr>
      <w:ind w:left="360" w:hanging="360"/>
      <w:contextualSpacing/>
    </w:pPr>
  </w:style>
  <w:style w:type="paragraph" w:styleId="List2">
    <w:name w:val="List 2"/>
    <w:basedOn w:val="Normal"/>
    <w:uiPriority w:val="99"/>
    <w:semiHidden/>
    <w:unhideWhenUsed/>
    <w:rsid w:val="008D0C7E"/>
    <w:pPr>
      <w:ind w:left="720" w:hanging="360"/>
      <w:contextualSpacing/>
    </w:pPr>
  </w:style>
  <w:style w:type="paragraph" w:styleId="List3">
    <w:name w:val="List 3"/>
    <w:basedOn w:val="Normal"/>
    <w:uiPriority w:val="99"/>
    <w:semiHidden/>
    <w:unhideWhenUsed/>
    <w:rsid w:val="008D0C7E"/>
    <w:pPr>
      <w:ind w:left="1080" w:hanging="360"/>
      <w:contextualSpacing/>
    </w:pPr>
  </w:style>
  <w:style w:type="paragraph" w:styleId="List4">
    <w:name w:val="List 4"/>
    <w:basedOn w:val="Normal"/>
    <w:uiPriority w:val="99"/>
    <w:semiHidden/>
    <w:unhideWhenUsed/>
    <w:rsid w:val="008D0C7E"/>
    <w:pPr>
      <w:ind w:left="1440" w:hanging="360"/>
      <w:contextualSpacing/>
    </w:pPr>
  </w:style>
  <w:style w:type="paragraph" w:styleId="List5">
    <w:name w:val="List 5"/>
    <w:basedOn w:val="Normal"/>
    <w:uiPriority w:val="99"/>
    <w:semiHidden/>
    <w:unhideWhenUsed/>
    <w:rsid w:val="008D0C7E"/>
    <w:pPr>
      <w:ind w:left="1800" w:hanging="360"/>
      <w:contextualSpacing/>
    </w:pPr>
  </w:style>
  <w:style w:type="paragraph" w:styleId="ListBullet">
    <w:name w:val="List Bullet"/>
    <w:basedOn w:val="Normal"/>
    <w:uiPriority w:val="99"/>
    <w:semiHidden/>
    <w:unhideWhenUsed/>
    <w:rsid w:val="008D0C7E"/>
    <w:pPr>
      <w:numPr>
        <w:numId w:val="1"/>
      </w:numPr>
      <w:contextualSpacing/>
    </w:pPr>
  </w:style>
  <w:style w:type="paragraph" w:styleId="ListBullet2">
    <w:name w:val="List Bullet 2"/>
    <w:basedOn w:val="Normal"/>
    <w:uiPriority w:val="99"/>
    <w:semiHidden/>
    <w:unhideWhenUsed/>
    <w:rsid w:val="008D0C7E"/>
    <w:pPr>
      <w:numPr>
        <w:numId w:val="2"/>
      </w:numPr>
      <w:contextualSpacing/>
    </w:pPr>
  </w:style>
  <w:style w:type="paragraph" w:styleId="ListBullet3">
    <w:name w:val="List Bullet 3"/>
    <w:basedOn w:val="Normal"/>
    <w:uiPriority w:val="99"/>
    <w:semiHidden/>
    <w:unhideWhenUsed/>
    <w:rsid w:val="008D0C7E"/>
    <w:pPr>
      <w:numPr>
        <w:numId w:val="3"/>
      </w:numPr>
      <w:contextualSpacing/>
    </w:pPr>
  </w:style>
  <w:style w:type="paragraph" w:styleId="ListBullet4">
    <w:name w:val="List Bullet 4"/>
    <w:basedOn w:val="Normal"/>
    <w:uiPriority w:val="99"/>
    <w:semiHidden/>
    <w:unhideWhenUsed/>
    <w:rsid w:val="008D0C7E"/>
    <w:pPr>
      <w:numPr>
        <w:numId w:val="4"/>
      </w:numPr>
      <w:contextualSpacing/>
    </w:pPr>
  </w:style>
  <w:style w:type="paragraph" w:styleId="ListBullet5">
    <w:name w:val="List Bullet 5"/>
    <w:basedOn w:val="Normal"/>
    <w:uiPriority w:val="99"/>
    <w:semiHidden/>
    <w:unhideWhenUsed/>
    <w:rsid w:val="008D0C7E"/>
    <w:pPr>
      <w:numPr>
        <w:numId w:val="5"/>
      </w:numPr>
      <w:contextualSpacing/>
    </w:pPr>
  </w:style>
  <w:style w:type="paragraph" w:styleId="ListContinue">
    <w:name w:val="List Continue"/>
    <w:basedOn w:val="Normal"/>
    <w:uiPriority w:val="99"/>
    <w:semiHidden/>
    <w:unhideWhenUsed/>
    <w:rsid w:val="008D0C7E"/>
    <w:pPr>
      <w:spacing w:after="120"/>
      <w:ind w:left="360"/>
      <w:contextualSpacing/>
    </w:pPr>
  </w:style>
  <w:style w:type="paragraph" w:styleId="ListContinue2">
    <w:name w:val="List Continue 2"/>
    <w:basedOn w:val="Normal"/>
    <w:uiPriority w:val="99"/>
    <w:semiHidden/>
    <w:unhideWhenUsed/>
    <w:rsid w:val="008D0C7E"/>
    <w:pPr>
      <w:spacing w:after="120"/>
      <w:ind w:left="720"/>
      <w:contextualSpacing/>
    </w:pPr>
  </w:style>
  <w:style w:type="paragraph" w:styleId="ListContinue3">
    <w:name w:val="List Continue 3"/>
    <w:basedOn w:val="Normal"/>
    <w:uiPriority w:val="99"/>
    <w:semiHidden/>
    <w:unhideWhenUsed/>
    <w:rsid w:val="008D0C7E"/>
    <w:pPr>
      <w:spacing w:after="120"/>
      <w:ind w:left="1080"/>
      <w:contextualSpacing/>
    </w:pPr>
  </w:style>
  <w:style w:type="paragraph" w:styleId="ListContinue4">
    <w:name w:val="List Continue 4"/>
    <w:basedOn w:val="Normal"/>
    <w:uiPriority w:val="99"/>
    <w:semiHidden/>
    <w:unhideWhenUsed/>
    <w:rsid w:val="008D0C7E"/>
    <w:pPr>
      <w:spacing w:after="120"/>
      <w:ind w:left="1440"/>
      <w:contextualSpacing/>
    </w:pPr>
  </w:style>
  <w:style w:type="paragraph" w:styleId="ListContinue5">
    <w:name w:val="List Continue 5"/>
    <w:basedOn w:val="Normal"/>
    <w:uiPriority w:val="99"/>
    <w:semiHidden/>
    <w:unhideWhenUsed/>
    <w:rsid w:val="008D0C7E"/>
    <w:pPr>
      <w:spacing w:after="120"/>
      <w:ind w:left="1800"/>
      <w:contextualSpacing/>
    </w:pPr>
  </w:style>
  <w:style w:type="paragraph" w:styleId="ListNumber">
    <w:name w:val="List Number"/>
    <w:basedOn w:val="Normal"/>
    <w:uiPriority w:val="99"/>
    <w:semiHidden/>
    <w:unhideWhenUsed/>
    <w:rsid w:val="008D0C7E"/>
    <w:pPr>
      <w:numPr>
        <w:numId w:val="6"/>
      </w:numPr>
      <w:contextualSpacing/>
    </w:pPr>
  </w:style>
  <w:style w:type="paragraph" w:styleId="ListNumber2">
    <w:name w:val="List Number 2"/>
    <w:basedOn w:val="Normal"/>
    <w:uiPriority w:val="99"/>
    <w:semiHidden/>
    <w:unhideWhenUsed/>
    <w:rsid w:val="008D0C7E"/>
    <w:pPr>
      <w:numPr>
        <w:numId w:val="7"/>
      </w:numPr>
      <w:contextualSpacing/>
    </w:pPr>
  </w:style>
  <w:style w:type="paragraph" w:styleId="ListNumber3">
    <w:name w:val="List Number 3"/>
    <w:basedOn w:val="Normal"/>
    <w:uiPriority w:val="99"/>
    <w:semiHidden/>
    <w:unhideWhenUsed/>
    <w:rsid w:val="008D0C7E"/>
    <w:pPr>
      <w:numPr>
        <w:numId w:val="8"/>
      </w:numPr>
      <w:contextualSpacing/>
    </w:pPr>
  </w:style>
  <w:style w:type="paragraph" w:styleId="ListNumber4">
    <w:name w:val="List Number 4"/>
    <w:basedOn w:val="Normal"/>
    <w:uiPriority w:val="99"/>
    <w:semiHidden/>
    <w:unhideWhenUsed/>
    <w:rsid w:val="008D0C7E"/>
    <w:pPr>
      <w:numPr>
        <w:numId w:val="9"/>
      </w:numPr>
      <w:contextualSpacing/>
    </w:pPr>
  </w:style>
  <w:style w:type="paragraph" w:styleId="ListNumber5">
    <w:name w:val="List Number 5"/>
    <w:basedOn w:val="Normal"/>
    <w:uiPriority w:val="99"/>
    <w:semiHidden/>
    <w:unhideWhenUsed/>
    <w:rsid w:val="008D0C7E"/>
    <w:pPr>
      <w:numPr>
        <w:numId w:val="10"/>
      </w:numPr>
      <w:contextualSpacing/>
    </w:pPr>
  </w:style>
  <w:style w:type="paragraph" w:styleId="ListParagraph">
    <w:name w:val="List Paragraph"/>
    <w:basedOn w:val="Normal"/>
    <w:uiPriority w:val="34"/>
    <w:rsid w:val="008D0C7E"/>
    <w:pPr>
      <w:ind w:left="720"/>
      <w:contextualSpacing/>
    </w:pPr>
  </w:style>
  <w:style w:type="paragraph" w:styleId="MacroText">
    <w:name w:val="macro"/>
    <w:link w:val="MacroTextChar"/>
    <w:uiPriority w:val="99"/>
    <w:semiHidden/>
    <w:unhideWhenUsed/>
    <w:rsid w:val="008D0C7E"/>
    <w:pPr>
      <w:tabs>
        <w:tab w:val="left" w:pos="480"/>
        <w:tab w:val="left" w:pos="960"/>
        <w:tab w:val="left" w:pos="1440"/>
        <w:tab w:val="left" w:pos="1920"/>
        <w:tab w:val="left" w:pos="2400"/>
        <w:tab w:val="left" w:pos="2880"/>
        <w:tab w:val="left" w:pos="3360"/>
        <w:tab w:val="left" w:pos="3840"/>
        <w:tab w:val="left" w:pos="4320"/>
      </w:tabs>
      <w:spacing w:before="120" w:after="0" w:line="240" w:lineRule="auto"/>
    </w:pPr>
    <w:rPr>
      <w:rFonts w:ascii="Consolas" w:hAnsi="Consolas" w:cs="Times New Roman"/>
      <w:sz w:val="20"/>
      <w:szCs w:val="20"/>
      <w:lang w:val="en-GB" w:eastAsia="ja-JP"/>
    </w:rPr>
  </w:style>
  <w:style w:type="character" w:customStyle="1" w:styleId="MacroTextChar">
    <w:name w:val="Macro Text Char"/>
    <w:basedOn w:val="DefaultParagraphFont"/>
    <w:link w:val="MacroText"/>
    <w:uiPriority w:val="99"/>
    <w:semiHidden/>
    <w:rsid w:val="008D0C7E"/>
    <w:rPr>
      <w:rFonts w:ascii="Consolas" w:hAnsi="Consolas" w:cs="Times New Roman"/>
      <w:sz w:val="20"/>
      <w:szCs w:val="20"/>
      <w:lang w:val="en-GB" w:eastAsia="ja-JP"/>
    </w:rPr>
  </w:style>
  <w:style w:type="character" w:customStyle="1" w:styleId="Erwhnung1">
    <w:name w:val="Erwähnung1"/>
    <w:basedOn w:val="DefaultParagraphFont"/>
    <w:uiPriority w:val="99"/>
    <w:semiHidden/>
    <w:unhideWhenUsed/>
    <w:rsid w:val="008D0C7E"/>
    <w:rPr>
      <w:color w:val="2B579A"/>
      <w:shd w:val="clear" w:color="auto" w:fill="E1DFDD"/>
    </w:rPr>
  </w:style>
  <w:style w:type="paragraph" w:styleId="MessageHeader">
    <w:name w:val="Message Header"/>
    <w:basedOn w:val="Normal"/>
    <w:link w:val="MessageHeaderChar"/>
    <w:uiPriority w:val="99"/>
    <w:semiHidden/>
    <w:unhideWhenUsed/>
    <w:rsid w:val="008D0C7E"/>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8D0C7E"/>
    <w:rPr>
      <w:rFonts w:asciiTheme="majorHAnsi" w:eastAsiaTheme="majorEastAsia" w:hAnsiTheme="majorHAnsi" w:cstheme="majorBidi"/>
      <w:sz w:val="24"/>
      <w:szCs w:val="24"/>
      <w:shd w:val="pct20" w:color="auto" w:fill="auto"/>
      <w:lang w:val="en-GB" w:eastAsia="ja-JP"/>
    </w:rPr>
  </w:style>
  <w:style w:type="paragraph" w:styleId="NoSpacing">
    <w:name w:val="No Spacing"/>
    <w:uiPriority w:val="1"/>
    <w:rsid w:val="008D0C7E"/>
    <w:pPr>
      <w:spacing w:after="0" w:line="240" w:lineRule="auto"/>
    </w:pPr>
    <w:rPr>
      <w:rFonts w:ascii="Times New Roman" w:hAnsi="Times New Roman" w:cs="Times New Roman"/>
      <w:sz w:val="24"/>
      <w:szCs w:val="24"/>
      <w:lang w:val="en-GB" w:eastAsia="ja-JP"/>
    </w:rPr>
  </w:style>
  <w:style w:type="paragraph" w:styleId="NormalWeb">
    <w:name w:val="Normal (Web)"/>
    <w:basedOn w:val="Normal"/>
    <w:uiPriority w:val="99"/>
    <w:semiHidden/>
    <w:unhideWhenUsed/>
    <w:rsid w:val="008D0C7E"/>
  </w:style>
  <w:style w:type="paragraph" w:styleId="NormalIndent">
    <w:name w:val="Normal Indent"/>
    <w:basedOn w:val="Normal"/>
    <w:uiPriority w:val="99"/>
    <w:semiHidden/>
    <w:unhideWhenUsed/>
    <w:rsid w:val="008D0C7E"/>
    <w:pPr>
      <w:ind w:left="720"/>
    </w:pPr>
  </w:style>
  <w:style w:type="paragraph" w:styleId="NoteHeading">
    <w:name w:val="Note Heading"/>
    <w:basedOn w:val="Normal"/>
    <w:next w:val="Normal"/>
    <w:link w:val="NoteHeadingChar"/>
    <w:uiPriority w:val="99"/>
    <w:semiHidden/>
    <w:unhideWhenUsed/>
    <w:rsid w:val="008D0C7E"/>
    <w:pPr>
      <w:spacing w:before="0"/>
    </w:pPr>
  </w:style>
  <w:style w:type="character" w:customStyle="1" w:styleId="NoteHeadingChar">
    <w:name w:val="Note Heading Char"/>
    <w:basedOn w:val="DefaultParagraphFont"/>
    <w:link w:val="NoteHeading"/>
    <w:uiPriority w:val="99"/>
    <w:semiHidden/>
    <w:rsid w:val="008D0C7E"/>
    <w:rPr>
      <w:rFonts w:ascii="Times New Roman" w:hAnsi="Times New Roman" w:cs="Times New Roman"/>
      <w:sz w:val="24"/>
      <w:szCs w:val="24"/>
      <w:lang w:val="en-GB" w:eastAsia="ja-JP"/>
    </w:rPr>
  </w:style>
  <w:style w:type="character" w:styleId="PageNumber">
    <w:name w:val="page number"/>
    <w:basedOn w:val="DefaultParagraphFont"/>
    <w:uiPriority w:val="99"/>
    <w:semiHidden/>
    <w:unhideWhenUsed/>
    <w:rsid w:val="008D0C7E"/>
  </w:style>
  <w:style w:type="paragraph" w:styleId="PlainText">
    <w:name w:val="Plain Text"/>
    <w:basedOn w:val="Normal"/>
    <w:link w:val="PlainTextChar"/>
    <w:uiPriority w:val="99"/>
    <w:semiHidden/>
    <w:unhideWhenUsed/>
    <w:rsid w:val="008D0C7E"/>
    <w:pPr>
      <w:spacing w:before="0"/>
    </w:pPr>
    <w:rPr>
      <w:rFonts w:ascii="Consolas" w:hAnsi="Consolas"/>
      <w:sz w:val="21"/>
      <w:szCs w:val="21"/>
    </w:rPr>
  </w:style>
  <w:style w:type="character" w:customStyle="1" w:styleId="PlainTextChar">
    <w:name w:val="Plain Text Char"/>
    <w:basedOn w:val="DefaultParagraphFont"/>
    <w:link w:val="PlainText"/>
    <w:uiPriority w:val="99"/>
    <w:semiHidden/>
    <w:rsid w:val="008D0C7E"/>
    <w:rPr>
      <w:rFonts w:ascii="Consolas" w:hAnsi="Consolas" w:cs="Times New Roman"/>
      <w:sz w:val="21"/>
      <w:szCs w:val="21"/>
      <w:lang w:val="en-GB" w:eastAsia="ja-JP"/>
    </w:rPr>
  </w:style>
  <w:style w:type="paragraph" w:styleId="Salutation">
    <w:name w:val="Salutation"/>
    <w:basedOn w:val="Normal"/>
    <w:next w:val="Normal"/>
    <w:link w:val="SalutationChar"/>
    <w:uiPriority w:val="99"/>
    <w:semiHidden/>
    <w:unhideWhenUsed/>
    <w:rsid w:val="008D0C7E"/>
  </w:style>
  <w:style w:type="character" w:customStyle="1" w:styleId="SalutationChar">
    <w:name w:val="Salutation Char"/>
    <w:basedOn w:val="DefaultParagraphFont"/>
    <w:link w:val="Salutation"/>
    <w:uiPriority w:val="99"/>
    <w:semiHidden/>
    <w:rsid w:val="008D0C7E"/>
    <w:rPr>
      <w:rFonts w:ascii="Times New Roman" w:hAnsi="Times New Roman" w:cs="Times New Roman"/>
      <w:sz w:val="24"/>
      <w:szCs w:val="24"/>
      <w:lang w:val="en-GB" w:eastAsia="ja-JP"/>
    </w:rPr>
  </w:style>
  <w:style w:type="paragraph" w:styleId="Signature">
    <w:name w:val="Signature"/>
    <w:basedOn w:val="Normal"/>
    <w:link w:val="SignatureChar"/>
    <w:uiPriority w:val="99"/>
    <w:semiHidden/>
    <w:unhideWhenUsed/>
    <w:rsid w:val="008D0C7E"/>
    <w:pPr>
      <w:spacing w:before="0"/>
      <w:ind w:left="4320"/>
    </w:pPr>
  </w:style>
  <w:style w:type="character" w:customStyle="1" w:styleId="SignatureChar">
    <w:name w:val="Signature Char"/>
    <w:basedOn w:val="DefaultParagraphFont"/>
    <w:link w:val="Signature"/>
    <w:uiPriority w:val="99"/>
    <w:semiHidden/>
    <w:rsid w:val="008D0C7E"/>
    <w:rPr>
      <w:rFonts w:ascii="Times New Roman" w:hAnsi="Times New Roman" w:cs="Times New Roman"/>
      <w:sz w:val="24"/>
      <w:szCs w:val="24"/>
      <w:lang w:val="en-GB" w:eastAsia="ja-JP"/>
    </w:rPr>
  </w:style>
  <w:style w:type="character" w:customStyle="1" w:styleId="SmartHyperlink1">
    <w:name w:val="Smart Hyperlink1"/>
    <w:basedOn w:val="DefaultParagraphFont"/>
    <w:uiPriority w:val="99"/>
    <w:semiHidden/>
    <w:unhideWhenUsed/>
    <w:rsid w:val="008D0C7E"/>
    <w:rPr>
      <w:u w:val="dotted"/>
    </w:rPr>
  </w:style>
  <w:style w:type="character" w:customStyle="1" w:styleId="SmartLink1">
    <w:name w:val="SmartLink1"/>
    <w:basedOn w:val="DefaultParagraphFont"/>
    <w:uiPriority w:val="99"/>
    <w:semiHidden/>
    <w:unhideWhenUsed/>
    <w:rsid w:val="008D0C7E"/>
    <w:rPr>
      <w:color w:val="0000FF"/>
      <w:u w:val="single"/>
      <w:shd w:val="clear" w:color="auto" w:fill="F3F2F1"/>
    </w:rPr>
  </w:style>
  <w:style w:type="character" w:styleId="SubtleEmphasis">
    <w:name w:val="Subtle Emphasis"/>
    <w:basedOn w:val="DefaultParagraphFont"/>
    <w:uiPriority w:val="19"/>
    <w:rsid w:val="008D0C7E"/>
    <w:rPr>
      <w:i/>
      <w:iCs/>
      <w:color w:val="404040" w:themeColor="text1" w:themeTint="BF"/>
    </w:rPr>
  </w:style>
  <w:style w:type="character" w:styleId="SubtleReference">
    <w:name w:val="Subtle Reference"/>
    <w:basedOn w:val="DefaultParagraphFont"/>
    <w:uiPriority w:val="31"/>
    <w:rsid w:val="008D0C7E"/>
    <w:rPr>
      <w:smallCaps/>
      <w:color w:val="5A5A5A" w:themeColor="text1" w:themeTint="A5"/>
    </w:rPr>
  </w:style>
  <w:style w:type="paragraph" w:styleId="TableofAuthorities">
    <w:name w:val="table of authorities"/>
    <w:basedOn w:val="Normal"/>
    <w:next w:val="Normal"/>
    <w:uiPriority w:val="99"/>
    <w:semiHidden/>
    <w:unhideWhenUsed/>
    <w:rsid w:val="008D0C7E"/>
    <w:pPr>
      <w:ind w:left="240" w:hanging="240"/>
    </w:pPr>
  </w:style>
  <w:style w:type="paragraph" w:styleId="Title">
    <w:name w:val="Title"/>
    <w:basedOn w:val="Normal"/>
    <w:next w:val="Normal"/>
    <w:link w:val="TitleChar"/>
    <w:uiPriority w:val="10"/>
    <w:rsid w:val="008D0C7E"/>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D0C7E"/>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uiPriority w:val="99"/>
    <w:semiHidden/>
    <w:unhideWhenUsed/>
    <w:rsid w:val="008D0C7E"/>
    <w:rPr>
      <w:rFonts w:asciiTheme="majorHAnsi" w:eastAsiaTheme="majorEastAsia" w:hAnsiTheme="majorHAnsi" w:cstheme="majorBidi"/>
      <w:b/>
      <w:bCs/>
    </w:rPr>
  </w:style>
  <w:style w:type="paragraph" w:styleId="TOC4">
    <w:name w:val="toc 4"/>
    <w:basedOn w:val="Normal"/>
    <w:next w:val="Normal"/>
    <w:autoRedefine/>
    <w:uiPriority w:val="39"/>
    <w:semiHidden/>
    <w:unhideWhenUsed/>
    <w:rsid w:val="008D0C7E"/>
    <w:pPr>
      <w:spacing w:after="100"/>
      <w:ind w:left="720"/>
    </w:pPr>
  </w:style>
  <w:style w:type="paragraph" w:styleId="TOC5">
    <w:name w:val="toc 5"/>
    <w:basedOn w:val="Normal"/>
    <w:next w:val="Normal"/>
    <w:autoRedefine/>
    <w:uiPriority w:val="39"/>
    <w:semiHidden/>
    <w:unhideWhenUsed/>
    <w:rsid w:val="008D0C7E"/>
    <w:pPr>
      <w:spacing w:after="100"/>
      <w:ind w:left="960"/>
    </w:pPr>
  </w:style>
  <w:style w:type="paragraph" w:styleId="TOC6">
    <w:name w:val="toc 6"/>
    <w:basedOn w:val="Normal"/>
    <w:next w:val="Normal"/>
    <w:autoRedefine/>
    <w:uiPriority w:val="39"/>
    <w:semiHidden/>
    <w:unhideWhenUsed/>
    <w:rsid w:val="008D0C7E"/>
    <w:pPr>
      <w:spacing w:after="100"/>
      <w:ind w:left="1200"/>
    </w:pPr>
  </w:style>
  <w:style w:type="paragraph" w:styleId="TOC7">
    <w:name w:val="toc 7"/>
    <w:basedOn w:val="Normal"/>
    <w:next w:val="Normal"/>
    <w:autoRedefine/>
    <w:uiPriority w:val="39"/>
    <w:semiHidden/>
    <w:unhideWhenUsed/>
    <w:rsid w:val="008D0C7E"/>
    <w:pPr>
      <w:spacing w:after="100"/>
      <w:ind w:left="1440"/>
    </w:pPr>
  </w:style>
  <w:style w:type="paragraph" w:styleId="TOC8">
    <w:name w:val="toc 8"/>
    <w:basedOn w:val="Normal"/>
    <w:next w:val="Normal"/>
    <w:autoRedefine/>
    <w:uiPriority w:val="39"/>
    <w:semiHidden/>
    <w:unhideWhenUsed/>
    <w:rsid w:val="008D0C7E"/>
    <w:pPr>
      <w:spacing w:after="100"/>
      <w:ind w:left="1680"/>
    </w:pPr>
  </w:style>
  <w:style w:type="paragraph" w:styleId="TOC9">
    <w:name w:val="toc 9"/>
    <w:basedOn w:val="Normal"/>
    <w:next w:val="Normal"/>
    <w:autoRedefine/>
    <w:uiPriority w:val="39"/>
    <w:semiHidden/>
    <w:unhideWhenUsed/>
    <w:rsid w:val="008D0C7E"/>
    <w:pPr>
      <w:spacing w:after="100"/>
      <w:ind w:left="1920"/>
    </w:pPr>
  </w:style>
  <w:style w:type="paragraph" w:styleId="TOCHeading">
    <w:name w:val="TOC Heading"/>
    <w:basedOn w:val="Heading1"/>
    <w:next w:val="Normal"/>
    <w:uiPriority w:val="39"/>
    <w:semiHidden/>
    <w:unhideWhenUsed/>
    <w:rsid w:val="008D0C7E"/>
    <w:pPr>
      <w:tabs>
        <w:tab w:val="clear" w:pos="794"/>
        <w:tab w:val="clear" w:pos="1191"/>
        <w:tab w:val="clear" w:pos="1588"/>
        <w:tab w:val="clear" w:pos="1985"/>
      </w:tabs>
      <w:overflowPunct/>
      <w:autoSpaceDE/>
      <w:autoSpaceDN/>
      <w:adjustRightInd/>
      <w:spacing w:before="240"/>
      <w:ind w:left="0" w:firstLine="0"/>
      <w:textAlignment w:val="auto"/>
      <w:outlineLvl w:val="9"/>
    </w:pPr>
    <w:rPr>
      <w:rFonts w:asciiTheme="majorHAnsi" w:eastAsiaTheme="majorEastAsia" w:hAnsiTheme="majorHAnsi" w:cstheme="majorBidi"/>
      <w:b w:val="0"/>
      <w:color w:val="2E74B5" w:themeColor="accent1" w:themeShade="BF"/>
      <w:sz w:val="32"/>
      <w:szCs w:val="32"/>
      <w:lang w:eastAsia="ja-JP"/>
    </w:rPr>
  </w:style>
  <w:style w:type="character" w:customStyle="1" w:styleId="NichtaufgelsteErwhnung1">
    <w:name w:val="Nicht aufgelöste Erwähnung1"/>
    <w:basedOn w:val="DefaultParagraphFont"/>
    <w:uiPriority w:val="99"/>
    <w:semiHidden/>
    <w:unhideWhenUsed/>
    <w:rsid w:val="008D0C7E"/>
    <w:rPr>
      <w:color w:val="605E5C"/>
      <w:shd w:val="clear" w:color="auto" w:fill="E1DFDD"/>
    </w:rPr>
  </w:style>
  <w:style w:type="paragraph" w:customStyle="1" w:styleId="TSBHeaderRight14">
    <w:name w:val="TSBHeaderRight14"/>
    <w:basedOn w:val="Normal"/>
    <w:rsid w:val="006F4361"/>
    <w:pPr>
      <w:jc w:val="right"/>
    </w:pPr>
    <w:rPr>
      <w:b/>
      <w:bCs/>
      <w:sz w:val="28"/>
      <w:szCs w:val="28"/>
    </w:rPr>
  </w:style>
  <w:style w:type="paragraph" w:customStyle="1" w:styleId="TSBHeaderQuestion">
    <w:name w:val="TSBHeaderQuestion"/>
    <w:basedOn w:val="Normal"/>
    <w:rsid w:val="002534C9"/>
  </w:style>
  <w:style w:type="paragraph" w:customStyle="1" w:styleId="TSBHeaderSource">
    <w:name w:val="TSBHeaderSource"/>
    <w:basedOn w:val="Normal"/>
    <w:rsid w:val="002534C9"/>
  </w:style>
  <w:style w:type="paragraph" w:customStyle="1" w:styleId="TSBHeaderTitle">
    <w:name w:val="TSBHeaderTitle"/>
    <w:basedOn w:val="Normal"/>
    <w:rsid w:val="00054813"/>
  </w:style>
  <w:style w:type="paragraph" w:customStyle="1" w:styleId="TSBHeaderSummary">
    <w:name w:val="TSBHeaderSummary"/>
    <w:basedOn w:val="Normal"/>
    <w:rsid w:val="00054813"/>
  </w:style>
  <w:style w:type="paragraph" w:customStyle="1" w:styleId="msonormal0">
    <w:name w:val="msonormal"/>
    <w:basedOn w:val="Normal"/>
    <w:rsid w:val="009B667E"/>
    <w:pPr>
      <w:spacing w:before="100" w:beforeAutospacing="1" w:after="100" w:afterAutospacing="1"/>
    </w:pPr>
    <w:rPr>
      <w:rFonts w:eastAsia="Times New Roman"/>
      <w:lang w:val="de-DE" w:eastAsia="de-DE"/>
    </w:rPr>
  </w:style>
  <w:style w:type="character" w:customStyle="1" w:styleId="apple-tab-span">
    <w:name w:val="apple-tab-span"/>
    <w:basedOn w:val="DefaultParagraphFont"/>
    <w:rsid w:val="009B667E"/>
  </w:style>
  <w:style w:type="character" w:styleId="UnresolvedMention">
    <w:name w:val="Unresolved Mention"/>
    <w:basedOn w:val="DefaultParagraphFont"/>
    <w:uiPriority w:val="99"/>
    <w:semiHidden/>
    <w:unhideWhenUsed/>
    <w:rsid w:val="00DB68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249039">
      <w:bodyDiv w:val="1"/>
      <w:marLeft w:val="0"/>
      <w:marRight w:val="0"/>
      <w:marTop w:val="0"/>
      <w:marBottom w:val="0"/>
      <w:divBdr>
        <w:top w:val="none" w:sz="0" w:space="0" w:color="auto"/>
        <w:left w:val="none" w:sz="0" w:space="0" w:color="auto"/>
        <w:bottom w:val="none" w:sz="0" w:space="0" w:color="auto"/>
        <w:right w:val="none" w:sz="0" w:space="0" w:color="auto"/>
      </w:divBdr>
    </w:div>
    <w:div w:id="134839574">
      <w:bodyDiv w:val="1"/>
      <w:marLeft w:val="0"/>
      <w:marRight w:val="0"/>
      <w:marTop w:val="0"/>
      <w:marBottom w:val="0"/>
      <w:divBdr>
        <w:top w:val="none" w:sz="0" w:space="0" w:color="auto"/>
        <w:left w:val="none" w:sz="0" w:space="0" w:color="auto"/>
        <w:bottom w:val="none" w:sz="0" w:space="0" w:color="auto"/>
        <w:right w:val="none" w:sz="0" w:space="0" w:color="auto"/>
      </w:divBdr>
    </w:div>
    <w:div w:id="155532480">
      <w:bodyDiv w:val="1"/>
      <w:marLeft w:val="0"/>
      <w:marRight w:val="0"/>
      <w:marTop w:val="0"/>
      <w:marBottom w:val="0"/>
      <w:divBdr>
        <w:top w:val="none" w:sz="0" w:space="0" w:color="auto"/>
        <w:left w:val="none" w:sz="0" w:space="0" w:color="auto"/>
        <w:bottom w:val="none" w:sz="0" w:space="0" w:color="auto"/>
        <w:right w:val="none" w:sz="0" w:space="0" w:color="auto"/>
      </w:divBdr>
    </w:div>
    <w:div w:id="161237487">
      <w:bodyDiv w:val="1"/>
      <w:marLeft w:val="0"/>
      <w:marRight w:val="0"/>
      <w:marTop w:val="0"/>
      <w:marBottom w:val="0"/>
      <w:divBdr>
        <w:top w:val="none" w:sz="0" w:space="0" w:color="auto"/>
        <w:left w:val="none" w:sz="0" w:space="0" w:color="auto"/>
        <w:bottom w:val="none" w:sz="0" w:space="0" w:color="auto"/>
        <w:right w:val="none" w:sz="0" w:space="0" w:color="auto"/>
      </w:divBdr>
    </w:div>
    <w:div w:id="291446379">
      <w:bodyDiv w:val="1"/>
      <w:marLeft w:val="0"/>
      <w:marRight w:val="0"/>
      <w:marTop w:val="0"/>
      <w:marBottom w:val="0"/>
      <w:divBdr>
        <w:top w:val="none" w:sz="0" w:space="0" w:color="auto"/>
        <w:left w:val="none" w:sz="0" w:space="0" w:color="auto"/>
        <w:bottom w:val="none" w:sz="0" w:space="0" w:color="auto"/>
        <w:right w:val="none" w:sz="0" w:space="0" w:color="auto"/>
      </w:divBdr>
    </w:div>
    <w:div w:id="338780100">
      <w:bodyDiv w:val="1"/>
      <w:marLeft w:val="0"/>
      <w:marRight w:val="0"/>
      <w:marTop w:val="0"/>
      <w:marBottom w:val="0"/>
      <w:divBdr>
        <w:top w:val="none" w:sz="0" w:space="0" w:color="auto"/>
        <w:left w:val="none" w:sz="0" w:space="0" w:color="auto"/>
        <w:bottom w:val="none" w:sz="0" w:space="0" w:color="auto"/>
        <w:right w:val="none" w:sz="0" w:space="0" w:color="auto"/>
      </w:divBdr>
    </w:div>
    <w:div w:id="341974260">
      <w:bodyDiv w:val="1"/>
      <w:marLeft w:val="0"/>
      <w:marRight w:val="0"/>
      <w:marTop w:val="0"/>
      <w:marBottom w:val="0"/>
      <w:divBdr>
        <w:top w:val="none" w:sz="0" w:space="0" w:color="auto"/>
        <w:left w:val="none" w:sz="0" w:space="0" w:color="auto"/>
        <w:bottom w:val="none" w:sz="0" w:space="0" w:color="auto"/>
        <w:right w:val="none" w:sz="0" w:space="0" w:color="auto"/>
      </w:divBdr>
    </w:div>
    <w:div w:id="374426961">
      <w:bodyDiv w:val="1"/>
      <w:marLeft w:val="0"/>
      <w:marRight w:val="0"/>
      <w:marTop w:val="0"/>
      <w:marBottom w:val="0"/>
      <w:divBdr>
        <w:top w:val="none" w:sz="0" w:space="0" w:color="auto"/>
        <w:left w:val="none" w:sz="0" w:space="0" w:color="auto"/>
        <w:bottom w:val="none" w:sz="0" w:space="0" w:color="auto"/>
        <w:right w:val="none" w:sz="0" w:space="0" w:color="auto"/>
      </w:divBdr>
    </w:div>
    <w:div w:id="431048496">
      <w:bodyDiv w:val="1"/>
      <w:marLeft w:val="0"/>
      <w:marRight w:val="0"/>
      <w:marTop w:val="0"/>
      <w:marBottom w:val="0"/>
      <w:divBdr>
        <w:top w:val="none" w:sz="0" w:space="0" w:color="auto"/>
        <w:left w:val="none" w:sz="0" w:space="0" w:color="auto"/>
        <w:bottom w:val="none" w:sz="0" w:space="0" w:color="auto"/>
        <w:right w:val="none" w:sz="0" w:space="0" w:color="auto"/>
      </w:divBdr>
    </w:div>
    <w:div w:id="444227331">
      <w:bodyDiv w:val="1"/>
      <w:marLeft w:val="0"/>
      <w:marRight w:val="0"/>
      <w:marTop w:val="0"/>
      <w:marBottom w:val="0"/>
      <w:divBdr>
        <w:top w:val="none" w:sz="0" w:space="0" w:color="auto"/>
        <w:left w:val="none" w:sz="0" w:space="0" w:color="auto"/>
        <w:bottom w:val="none" w:sz="0" w:space="0" w:color="auto"/>
        <w:right w:val="none" w:sz="0" w:space="0" w:color="auto"/>
      </w:divBdr>
    </w:div>
    <w:div w:id="457455732">
      <w:bodyDiv w:val="1"/>
      <w:marLeft w:val="0"/>
      <w:marRight w:val="0"/>
      <w:marTop w:val="0"/>
      <w:marBottom w:val="0"/>
      <w:divBdr>
        <w:top w:val="none" w:sz="0" w:space="0" w:color="auto"/>
        <w:left w:val="none" w:sz="0" w:space="0" w:color="auto"/>
        <w:bottom w:val="none" w:sz="0" w:space="0" w:color="auto"/>
        <w:right w:val="none" w:sz="0" w:space="0" w:color="auto"/>
      </w:divBdr>
    </w:div>
    <w:div w:id="465665235">
      <w:bodyDiv w:val="1"/>
      <w:marLeft w:val="0"/>
      <w:marRight w:val="0"/>
      <w:marTop w:val="0"/>
      <w:marBottom w:val="0"/>
      <w:divBdr>
        <w:top w:val="none" w:sz="0" w:space="0" w:color="auto"/>
        <w:left w:val="none" w:sz="0" w:space="0" w:color="auto"/>
        <w:bottom w:val="none" w:sz="0" w:space="0" w:color="auto"/>
        <w:right w:val="none" w:sz="0" w:space="0" w:color="auto"/>
      </w:divBdr>
    </w:div>
    <w:div w:id="538006207">
      <w:bodyDiv w:val="1"/>
      <w:marLeft w:val="0"/>
      <w:marRight w:val="0"/>
      <w:marTop w:val="0"/>
      <w:marBottom w:val="0"/>
      <w:divBdr>
        <w:top w:val="none" w:sz="0" w:space="0" w:color="auto"/>
        <w:left w:val="none" w:sz="0" w:space="0" w:color="auto"/>
        <w:bottom w:val="none" w:sz="0" w:space="0" w:color="auto"/>
        <w:right w:val="none" w:sz="0" w:space="0" w:color="auto"/>
      </w:divBdr>
    </w:div>
    <w:div w:id="548615188">
      <w:bodyDiv w:val="1"/>
      <w:marLeft w:val="0"/>
      <w:marRight w:val="0"/>
      <w:marTop w:val="0"/>
      <w:marBottom w:val="0"/>
      <w:divBdr>
        <w:top w:val="none" w:sz="0" w:space="0" w:color="auto"/>
        <w:left w:val="none" w:sz="0" w:space="0" w:color="auto"/>
        <w:bottom w:val="none" w:sz="0" w:space="0" w:color="auto"/>
        <w:right w:val="none" w:sz="0" w:space="0" w:color="auto"/>
      </w:divBdr>
    </w:div>
    <w:div w:id="548884937">
      <w:bodyDiv w:val="1"/>
      <w:marLeft w:val="0"/>
      <w:marRight w:val="0"/>
      <w:marTop w:val="0"/>
      <w:marBottom w:val="0"/>
      <w:divBdr>
        <w:top w:val="none" w:sz="0" w:space="0" w:color="auto"/>
        <w:left w:val="none" w:sz="0" w:space="0" w:color="auto"/>
        <w:bottom w:val="none" w:sz="0" w:space="0" w:color="auto"/>
        <w:right w:val="none" w:sz="0" w:space="0" w:color="auto"/>
      </w:divBdr>
    </w:div>
    <w:div w:id="558322007">
      <w:bodyDiv w:val="1"/>
      <w:marLeft w:val="0"/>
      <w:marRight w:val="0"/>
      <w:marTop w:val="0"/>
      <w:marBottom w:val="0"/>
      <w:divBdr>
        <w:top w:val="none" w:sz="0" w:space="0" w:color="auto"/>
        <w:left w:val="none" w:sz="0" w:space="0" w:color="auto"/>
        <w:bottom w:val="none" w:sz="0" w:space="0" w:color="auto"/>
        <w:right w:val="none" w:sz="0" w:space="0" w:color="auto"/>
      </w:divBdr>
    </w:div>
    <w:div w:id="652608988">
      <w:bodyDiv w:val="1"/>
      <w:marLeft w:val="0"/>
      <w:marRight w:val="0"/>
      <w:marTop w:val="0"/>
      <w:marBottom w:val="0"/>
      <w:divBdr>
        <w:top w:val="none" w:sz="0" w:space="0" w:color="auto"/>
        <w:left w:val="none" w:sz="0" w:space="0" w:color="auto"/>
        <w:bottom w:val="none" w:sz="0" w:space="0" w:color="auto"/>
        <w:right w:val="none" w:sz="0" w:space="0" w:color="auto"/>
      </w:divBdr>
    </w:div>
    <w:div w:id="673806685">
      <w:bodyDiv w:val="1"/>
      <w:marLeft w:val="0"/>
      <w:marRight w:val="0"/>
      <w:marTop w:val="0"/>
      <w:marBottom w:val="0"/>
      <w:divBdr>
        <w:top w:val="none" w:sz="0" w:space="0" w:color="auto"/>
        <w:left w:val="none" w:sz="0" w:space="0" w:color="auto"/>
        <w:bottom w:val="none" w:sz="0" w:space="0" w:color="auto"/>
        <w:right w:val="none" w:sz="0" w:space="0" w:color="auto"/>
      </w:divBdr>
    </w:div>
    <w:div w:id="725179306">
      <w:bodyDiv w:val="1"/>
      <w:marLeft w:val="0"/>
      <w:marRight w:val="0"/>
      <w:marTop w:val="0"/>
      <w:marBottom w:val="0"/>
      <w:divBdr>
        <w:top w:val="none" w:sz="0" w:space="0" w:color="auto"/>
        <w:left w:val="none" w:sz="0" w:space="0" w:color="auto"/>
        <w:bottom w:val="none" w:sz="0" w:space="0" w:color="auto"/>
        <w:right w:val="none" w:sz="0" w:space="0" w:color="auto"/>
      </w:divBdr>
    </w:div>
    <w:div w:id="725956308">
      <w:bodyDiv w:val="1"/>
      <w:marLeft w:val="0"/>
      <w:marRight w:val="0"/>
      <w:marTop w:val="0"/>
      <w:marBottom w:val="0"/>
      <w:divBdr>
        <w:top w:val="none" w:sz="0" w:space="0" w:color="auto"/>
        <w:left w:val="none" w:sz="0" w:space="0" w:color="auto"/>
        <w:bottom w:val="none" w:sz="0" w:space="0" w:color="auto"/>
        <w:right w:val="none" w:sz="0" w:space="0" w:color="auto"/>
      </w:divBdr>
    </w:div>
    <w:div w:id="761146623">
      <w:bodyDiv w:val="1"/>
      <w:marLeft w:val="0"/>
      <w:marRight w:val="0"/>
      <w:marTop w:val="0"/>
      <w:marBottom w:val="0"/>
      <w:divBdr>
        <w:top w:val="none" w:sz="0" w:space="0" w:color="auto"/>
        <w:left w:val="none" w:sz="0" w:space="0" w:color="auto"/>
        <w:bottom w:val="none" w:sz="0" w:space="0" w:color="auto"/>
        <w:right w:val="none" w:sz="0" w:space="0" w:color="auto"/>
      </w:divBdr>
    </w:div>
    <w:div w:id="832138971">
      <w:bodyDiv w:val="1"/>
      <w:marLeft w:val="0"/>
      <w:marRight w:val="0"/>
      <w:marTop w:val="0"/>
      <w:marBottom w:val="0"/>
      <w:divBdr>
        <w:top w:val="none" w:sz="0" w:space="0" w:color="auto"/>
        <w:left w:val="none" w:sz="0" w:space="0" w:color="auto"/>
        <w:bottom w:val="none" w:sz="0" w:space="0" w:color="auto"/>
        <w:right w:val="none" w:sz="0" w:space="0" w:color="auto"/>
      </w:divBdr>
    </w:div>
    <w:div w:id="845559698">
      <w:bodyDiv w:val="1"/>
      <w:marLeft w:val="0"/>
      <w:marRight w:val="0"/>
      <w:marTop w:val="0"/>
      <w:marBottom w:val="0"/>
      <w:divBdr>
        <w:top w:val="none" w:sz="0" w:space="0" w:color="auto"/>
        <w:left w:val="none" w:sz="0" w:space="0" w:color="auto"/>
        <w:bottom w:val="none" w:sz="0" w:space="0" w:color="auto"/>
        <w:right w:val="none" w:sz="0" w:space="0" w:color="auto"/>
      </w:divBdr>
    </w:div>
    <w:div w:id="856574787">
      <w:bodyDiv w:val="1"/>
      <w:marLeft w:val="0"/>
      <w:marRight w:val="0"/>
      <w:marTop w:val="0"/>
      <w:marBottom w:val="0"/>
      <w:divBdr>
        <w:top w:val="none" w:sz="0" w:space="0" w:color="auto"/>
        <w:left w:val="none" w:sz="0" w:space="0" w:color="auto"/>
        <w:bottom w:val="none" w:sz="0" w:space="0" w:color="auto"/>
        <w:right w:val="none" w:sz="0" w:space="0" w:color="auto"/>
      </w:divBdr>
    </w:div>
    <w:div w:id="866136525">
      <w:bodyDiv w:val="1"/>
      <w:marLeft w:val="0"/>
      <w:marRight w:val="0"/>
      <w:marTop w:val="0"/>
      <w:marBottom w:val="0"/>
      <w:divBdr>
        <w:top w:val="none" w:sz="0" w:space="0" w:color="auto"/>
        <w:left w:val="none" w:sz="0" w:space="0" w:color="auto"/>
        <w:bottom w:val="none" w:sz="0" w:space="0" w:color="auto"/>
        <w:right w:val="none" w:sz="0" w:space="0" w:color="auto"/>
      </w:divBdr>
    </w:div>
    <w:div w:id="1005520408">
      <w:bodyDiv w:val="1"/>
      <w:marLeft w:val="0"/>
      <w:marRight w:val="0"/>
      <w:marTop w:val="0"/>
      <w:marBottom w:val="0"/>
      <w:divBdr>
        <w:top w:val="none" w:sz="0" w:space="0" w:color="auto"/>
        <w:left w:val="none" w:sz="0" w:space="0" w:color="auto"/>
        <w:bottom w:val="none" w:sz="0" w:space="0" w:color="auto"/>
        <w:right w:val="none" w:sz="0" w:space="0" w:color="auto"/>
      </w:divBdr>
    </w:div>
    <w:div w:id="1008142054">
      <w:bodyDiv w:val="1"/>
      <w:marLeft w:val="0"/>
      <w:marRight w:val="0"/>
      <w:marTop w:val="0"/>
      <w:marBottom w:val="0"/>
      <w:divBdr>
        <w:top w:val="none" w:sz="0" w:space="0" w:color="auto"/>
        <w:left w:val="none" w:sz="0" w:space="0" w:color="auto"/>
        <w:bottom w:val="none" w:sz="0" w:space="0" w:color="auto"/>
        <w:right w:val="none" w:sz="0" w:space="0" w:color="auto"/>
      </w:divBdr>
    </w:div>
    <w:div w:id="1017585886">
      <w:bodyDiv w:val="1"/>
      <w:marLeft w:val="0"/>
      <w:marRight w:val="0"/>
      <w:marTop w:val="0"/>
      <w:marBottom w:val="0"/>
      <w:divBdr>
        <w:top w:val="none" w:sz="0" w:space="0" w:color="auto"/>
        <w:left w:val="none" w:sz="0" w:space="0" w:color="auto"/>
        <w:bottom w:val="none" w:sz="0" w:space="0" w:color="auto"/>
        <w:right w:val="none" w:sz="0" w:space="0" w:color="auto"/>
      </w:divBdr>
    </w:div>
    <w:div w:id="1027369789">
      <w:bodyDiv w:val="1"/>
      <w:marLeft w:val="0"/>
      <w:marRight w:val="0"/>
      <w:marTop w:val="0"/>
      <w:marBottom w:val="0"/>
      <w:divBdr>
        <w:top w:val="none" w:sz="0" w:space="0" w:color="auto"/>
        <w:left w:val="none" w:sz="0" w:space="0" w:color="auto"/>
        <w:bottom w:val="none" w:sz="0" w:space="0" w:color="auto"/>
        <w:right w:val="none" w:sz="0" w:space="0" w:color="auto"/>
      </w:divBdr>
    </w:div>
    <w:div w:id="1043208574">
      <w:bodyDiv w:val="1"/>
      <w:marLeft w:val="0"/>
      <w:marRight w:val="0"/>
      <w:marTop w:val="0"/>
      <w:marBottom w:val="0"/>
      <w:divBdr>
        <w:top w:val="none" w:sz="0" w:space="0" w:color="auto"/>
        <w:left w:val="none" w:sz="0" w:space="0" w:color="auto"/>
        <w:bottom w:val="none" w:sz="0" w:space="0" w:color="auto"/>
        <w:right w:val="none" w:sz="0" w:space="0" w:color="auto"/>
      </w:divBdr>
    </w:div>
    <w:div w:id="1064521681">
      <w:bodyDiv w:val="1"/>
      <w:marLeft w:val="0"/>
      <w:marRight w:val="0"/>
      <w:marTop w:val="0"/>
      <w:marBottom w:val="0"/>
      <w:divBdr>
        <w:top w:val="none" w:sz="0" w:space="0" w:color="auto"/>
        <w:left w:val="none" w:sz="0" w:space="0" w:color="auto"/>
        <w:bottom w:val="none" w:sz="0" w:space="0" w:color="auto"/>
        <w:right w:val="none" w:sz="0" w:space="0" w:color="auto"/>
      </w:divBdr>
    </w:div>
    <w:div w:id="1076708500">
      <w:bodyDiv w:val="1"/>
      <w:marLeft w:val="0"/>
      <w:marRight w:val="0"/>
      <w:marTop w:val="0"/>
      <w:marBottom w:val="0"/>
      <w:divBdr>
        <w:top w:val="none" w:sz="0" w:space="0" w:color="auto"/>
        <w:left w:val="none" w:sz="0" w:space="0" w:color="auto"/>
        <w:bottom w:val="none" w:sz="0" w:space="0" w:color="auto"/>
        <w:right w:val="none" w:sz="0" w:space="0" w:color="auto"/>
      </w:divBdr>
    </w:div>
    <w:div w:id="1088386871">
      <w:bodyDiv w:val="1"/>
      <w:marLeft w:val="0"/>
      <w:marRight w:val="0"/>
      <w:marTop w:val="0"/>
      <w:marBottom w:val="0"/>
      <w:divBdr>
        <w:top w:val="none" w:sz="0" w:space="0" w:color="auto"/>
        <w:left w:val="none" w:sz="0" w:space="0" w:color="auto"/>
        <w:bottom w:val="none" w:sz="0" w:space="0" w:color="auto"/>
        <w:right w:val="none" w:sz="0" w:space="0" w:color="auto"/>
      </w:divBdr>
    </w:div>
    <w:div w:id="1139492137">
      <w:bodyDiv w:val="1"/>
      <w:marLeft w:val="0"/>
      <w:marRight w:val="0"/>
      <w:marTop w:val="0"/>
      <w:marBottom w:val="0"/>
      <w:divBdr>
        <w:top w:val="none" w:sz="0" w:space="0" w:color="auto"/>
        <w:left w:val="none" w:sz="0" w:space="0" w:color="auto"/>
        <w:bottom w:val="none" w:sz="0" w:space="0" w:color="auto"/>
        <w:right w:val="none" w:sz="0" w:space="0" w:color="auto"/>
      </w:divBdr>
    </w:div>
    <w:div w:id="1183859212">
      <w:bodyDiv w:val="1"/>
      <w:marLeft w:val="0"/>
      <w:marRight w:val="0"/>
      <w:marTop w:val="0"/>
      <w:marBottom w:val="0"/>
      <w:divBdr>
        <w:top w:val="none" w:sz="0" w:space="0" w:color="auto"/>
        <w:left w:val="none" w:sz="0" w:space="0" w:color="auto"/>
        <w:bottom w:val="none" w:sz="0" w:space="0" w:color="auto"/>
        <w:right w:val="none" w:sz="0" w:space="0" w:color="auto"/>
      </w:divBdr>
    </w:div>
    <w:div w:id="1287736382">
      <w:bodyDiv w:val="1"/>
      <w:marLeft w:val="0"/>
      <w:marRight w:val="0"/>
      <w:marTop w:val="0"/>
      <w:marBottom w:val="0"/>
      <w:divBdr>
        <w:top w:val="none" w:sz="0" w:space="0" w:color="auto"/>
        <w:left w:val="none" w:sz="0" w:space="0" w:color="auto"/>
        <w:bottom w:val="none" w:sz="0" w:space="0" w:color="auto"/>
        <w:right w:val="none" w:sz="0" w:space="0" w:color="auto"/>
      </w:divBdr>
    </w:div>
    <w:div w:id="1301615501">
      <w:bodyDiv w:val="1"/>
      <w:marLeft w:val="0"/>
      <w:marRight w:val="0"/>
      <w:marTop w:val="0"/>
      <w:marBottom w:val="0"/>
      <w:divBdr>
        <w:top w:val="none" w:sz="0" w:space="0" w:color="auto"/>
        <w:left w:val="none" w:sz="0" w:space="0" w:color="auto"/>
        <w:bottom w:val="none" w:sz="0" w:space="0" w:color="auto"/>
        <w:right w:val="none" w:sz="0" w:space="0" w:color="auto"/>
      </w:divBdr>
    </w:div>
    <w:div w:id="1343438149">
      <w:bodyDiv w:val="1"/>
      <w:marLeft w:val="0"/>
      <w:marRight w:val="0"/>
      <w:marTop w:val="0"/>
      <w:marBottom w:val="0"/>
      <w:divBdr>
        <w:top w:val="none" w:sz="0" w:space="0" w:color="auto"/>
        <w:left w:val="none" w:sz="0" w:space="0" w:color="auto"/>
        <w:bottom w:val="none" w:sz="0" w:space="0" w:color="auto"/>
        <w:right w:val="none" w:sz="0" w:space="0" w:color="auto"/>
      </w:divBdr>
    </w:div>
    <w:div w:id="1353726182">
      <w:bodyDiv w:val="1"/>
      <w:marLeft w:val="0"/>
      <w:marRight w:val="0"/>
      <w:marTop w:val="0"/>
      <w:marBottom w:val="0"/>
      <w:divBdr>
        <w:top w:val="none" w:sz="0" w:space="0" w:color="auto"/>
        <w:left w:val="none" w:sz="0" w:space="0" w:color="auto"/>
        <w:bottom w:val="none" w:sz="0" w:space="0" w:color="auto"/>
        <w:right w:val="none" w:sz="0" w:space="0" w:color="auto"/>
      </w:divBdr>
    </w:div>
    <w:div w:id="1419015381">
      <w:bodyDiv w:val="1"/>
      <w:marLeft w:val="0"/>
      <w:marRight w:val="0"/>
      <w:marTop w:val="0"/>
      <w:marBottom w:val="0"/>
      <w:divBdr>
        <w:top w:val="none" w:sz="0" w:space="0" w:color="auto"/>
        <w:left w:val="none" w:sz="0" w:space="0" w:color="auto"/>
        <w:bottom w:val="none" w:sz="0" w:space="0" w:color="auto"/>
        <w:right w:val="none" w:sz="0" w:space="0" w:color="auto"/>
      </w:divBdr>
      <w:divsChild>
        <w:div w:id="422147332">
          <w:marLeft w:val="0"/>
          <w:marRight w:val="0"/>
          <w:marTop w:val="0"/>
          <w:marBottom w:val="0"/>
          <w:divBdr>
            <w:top w:val="none" w:sz="0" w:space="0" w:color="auto"/>
            <w:left w:val="none" w:sz="0" w:space="0" w:color="auto"/>
            <w:bottom w:val="none" w:sz="0" w:space="0" w:color="auto"/>
            <w:right w:val="none" w:sz="0" w:space="0" w:color="auto"/>
          </w:divBdr>
        </w:div>
      </w:divsChild>
    </w:div>
    <w:div w:id="1494686234">
      <w:bodyDiv w:val="1"/>
      <w:marLeft w:val="0"/>
      <w:marRight w:val="0"/>
      <w:marTop w:val="0"/>
      <w:marBottom w:val="0"/>
      <w:divBdr>
        <w:top w:val="none" w:sz="0" w:space="0" w:color="auto"/>
        <w:left w:val="none" w:sz="0" w:space="0" w:color="auto"/>
        <w:bottom w:val="none" w:sz="0" w:space="0" w:color="auto"/>
        <w:right w:val="none" w:sz="0" w:space="0" w:color="auto"/>
      </w:divBdr>
    </w:div>
    <w:div w:id="1498224848">
      <w:bodyDiv w:val="1"/>
      <w:marLeft w:val="0"/>
      <w:marRight w:val="0"/>
      <w:marTop w:val="0"/>
      <w:marBottom w:val="0"/>
      <w:divBdr>
        <w:top w:val="none" w:sz="0" w:space="0" w:color="auto"/>
        <w:left w:val="none" w:sz="0" w:space="0" w:color="auto"/>
        <w:bottom w:val="none" w:sz="0" w:space="0" w:color="auto"/>
        <w:right w:val="none" w:sz="0" w:space="0" w:color="auto"/>
      </w:divBdr>
    </w:div>
    <w:div w:id="1499346507">
      <w:bodyDiv w:val="1"/>
      <w:marLeft w:val="0"/>
      <w:marRight w:val="0"/>
      <w:marTop w:val="0"/>
      <w:marBottom w:val="0"/>
      <w:divBdr>
        <w:top w:val="none" w:sz="0" w:space="0" w:color="auto"/>
        <w:left w:val="none" w:sz="0" w:space="0" w:color="auto"/>
        <w:bottom w:val="none" w:sz="0" w:space="0" w:color="auto"/>
        <w:right w:val="none" w:sz="0" w:space="0" w:color="auto"/>
      </w:divBdr>
    </w:div>
    <w:div w:id="1528523594">
      <w:bodyDiv w:val="1"/>
      <w:marLeft w:val="0"/>
      <w:marRight w:val="0"/>
      <w:marTop w:val="0"/>
      <w:marBottom w:val="0"/>
      <w:divBdr>
        <w:top w:val="none" w:sz="0" w:space="0" w:color="auto"/>
        <w:left w:val="none" w:sz="0" w:space="0" w:color="auto"/>
        <w:bottom w:val="none" w:sz="0" w:space="0" w:color="auto"/>
        <w:right w:val="none" w:sz="0" w:space="0" w:color="auto"/>
      </w:divBdr>
    </w:div>
    <w:div w:id="1559051498">
      <w:bodyDiv w:val="1"/>
      <w:marLeft w:val="0"/>
      <w:marRight w:val="0"/>
      <w:marTop w:val="0"/>
      <w:marBottom w:val="0"/>
      <w:divBdr>
        <w:top w:val="none" w:sz="0" w:space="0" w:color="auto"/>
        <w:left w:val="none" w:sz="0" w:space="0" w:color="auto"/>
        <w:bottom w:val="none" w:sz="0" w:space="0" w:color="auto"/>
        <w:right w:val="none" w:sz="0" w:space="0" w:color="auto"/>
      </w:divBdr>
    </w:div>
    <w:div w:id="1582986875">
      <w:bodyDiv w:val="1"/>
      <w:marLeft w:val="0"/>
      <w:marRight w:val="0"/>
      <w:marTop w:val="0"/>
      <w:marBottom w:val="0"/>
      <w:divBdr>
        <w:top w:val="none" w:sz="0" w:space="0" w:color="auto"/>
        <w:left w:val="none" w:sz="0" w:space="0" w:color="auto"/>
        <w:bottom w:val="none" w:sz="0" w:space="0" w:color="auto"/>
        <w:right w:val="none" w:sz="0" w:space="0" w:color="auto"/>
      </w:divBdr>
    </w:div>
    <w:div w:id="1666005822">
      <w:bodyDiv w:val="1"/>
      <w:marLeft w:val="0"/>
      <w:marRight w:val="0"/>
      <w:marTop w:val="0"/>
      <w:marBottom w:val="0"/>
      <w:divBdr>
        <w:top w:val="none" w:sz="0" w:space="0" w:color="auto"/>
        <w:left w:val="none" w:sz="0" w:space="0" w:color="auto"/>
        <w:bottom w:val="none" w:sz="0" w:space="0" w:color="auto"/>
        <w:right w:val="none" w:sz="0" w:space="0" w:color="auto"/>
      </w:divBdr>
    </w:div>
    <w:div w:id="1728650653">
      <w:bodyDiv w:val="1"/>
      <w:marLeft w:val="0"/>
      <w:marRight w:val="0"/>
      <w:marTop w:val="0"/>
      <w:marBottom w:val="0"/>
      <w:divBdr>
        <w:top w:val="none" w:sz="0" w:space="0" w:color="auto"/>
        <w:left w:val="none" w:sz="0" w:space="0" w:color="auto"/>
        <w:bottom w:val="none" w:sz="0" w:space="0" w:color="auto"/>
        <w:right w:val="none" w:sz="0" w:space="0" w:color="auto"/>
      </w:divBdr>
    </w:div>
    <w:div w:id="1741633826">
      <w:bodyDiv w:val="1"/>
      <w:marLeft w:val="0"/>
      <w:marRight w:val="0"/>
      <w:marTop w:val="0"/>
      <w:marBottom w:val="0"/>
      <w:divBdr>
        <w:top w:val="none" w:sz="0" w:space="0" w:color="auto"/>
        <w:left w:val="none" w:sz="0" w:space="0" w:color="auto"/>
        <w:bottom w:val="none" w:sz="0" w:space="0" w:color="auto"/>
        <w:right w:val="none" w:sz="0" w:space="0" w:color="auto"/>
      </w:divBdr>
    </w:div>
    <w:div w:id="1771777073">
      <w:bodyDiv w:val="1"/>
      <w:marLeft w:val="0"/>
      <w:marRight w:val="0"/>
      <w:marTop w:val="0"/>
      <w:marBottom w:val="0"/>
      <w:divBdr>
        <w:top w:val="none" w:sz="0" w:space="0" w:color="auto"/>
        <w:left w:val="none" w:sz="0" w:space="0" w:color="auto"/>
        <w:bottom w:val="none" w:sz="0" w:space="0" w:color="auto"/>
        <w:right w:val="none" w:sz="0" w:space="0" w:color="auto"/>
      </w:divBdr>
    </w:div>
    <w:div w:id="1784226488">
      <w:bodyDiv w:val="1"/>
      <w:marLeft w:val="0"/>
      <w:marRight w:val="0"/>
      <w:marTop w:val="0"/>
      <w:marBottom w:val="0"/>
      <w:divBdr>
        <w:top w:val="none" w:sz="0" w:space="0" w:color="auto"/>
        <w:left w:val="none" w:sz="0" w:space="0" w:color="auto"/>
        <w:bottom w:val="none" w:sz="0" w:space="0" w:color="auto"/>
        <w:right w:val="none" w:sz="0" w:space="0" w:color="auto"/>
      </w:divBdr>
    </w:div>
    <w:div w:id="1858080161">
      <w:bodyDiv w:val="1"/>
      <w:marLeft w:val="0"/>
      <w:marRight w:val="0"/>
      <w:marTop w:val="0"/>
      <w:marBottom w:val="0"/>
      <w:divBdr>
        <w:top w:val="none" w:sz="0" w:space="0" w:color="auto"/>
        <w:left w:val="none" w:sz="0" w:space="0" w:color="auto"/>
        <w:bottom w:val="none" w:sz="0" w:space="0" w:color="auto"/>
        <w:right w:val="none" w:sz="0" w:space="0" w:color="auto"/>
      </w:divBdr>
    </w:div>
    <w:div w:id="1882284379">
      <w:bodyDiv w:val="1"/>
      <w:marLeft w:val="0"/>
      <w:marRight w:val="0"/>
      <w:marTop w:val="0"/>
      <w:marBottom w:val="0"/>
      <w:divBdr>
        <w:top w:val="none" w:sz="0" w:space="0" w:color="auto"/>
        <w:left w:val="none" w:sz="0" w:space="0" w:color="auto"/>
        <w:bottom w:val="none" w:sz="0" w:space="0" w:color="auto"/>
        <w:right w:val="none" w:sz="0" w:space="0" w:color="auto"/>
      </w:divBdr>
    </w:div>
    <w:div w:id="1917938065">
      <w:bodyDiv w:val="1"/>
      <w:marLeft w:val="0"/>
      <w:marRight w:val="0"/>
      <w:marTop w:val="0"/>
      <w:marBottom w:val="0"/>
      <w:divBdr>
        <w:top w:val="none" w:sz="0" w:space="0" w:color="auto"/>
        <w:left w:val="none" w:sz="0" w:space="0" w:color="auto"/>
        <w:bottom w:val="none" w:sz="0" w:space="0" w:color="auto"/>
        <w:right w:val="none" w:sz="0" w:space="0" w:color="auto"/>
      </w:divBdr>
    </w:div>
    <w:div w:id="1940675560">
      <w:bodyDiv w:val="1"/>
      <w:marLeft w:val="0"/>
      <w:marRight w:val="0"/>
      <w:marTop w:val="0"/>
      <w:marBottom w:val="0"/>
      <w:divBdr>
        <w:top w:val="none" w:sz="0" w:space="0" w:color="auto"/>
        <w:left w:val="none" w:sz="0" w:space="0" w:color="auto"/>
        <w:bottom w:val="none" w:sz="0" w:space="0" w:color="auto"/>
        <w:right w:val="none" w:sz="0" w:space="0" w:color="auto"/>
      </w:divBdr>
    </w:div>
    <w:div w:id="1968465012">
      <w:bodyDiv w:val="1"/>
      <w:marLeft w:val="0"/>
      <w:marRight w:val="0"/>
      <w:marTop w:val="0"/>
      <w:marBottom w:val="0"/>
      <w:divBdr>
        <w:top w:val="none" w:sz="0" w:space="0" w:color="auto"/>
        <w:left w:val="none" w:sz="0" w:space="0" w:color="auto"/>
        <w:bottom w:val="none" w:sz="0" w:space="0" w:color="auto"/>
        <w:right w:val="none" w:sz="0" w:space="0" w:color="auto"/>
      </w:divBdr>
    </w:div>
    <w:div w:id="2028097626">
      <w:bodyDiv w:val="1"/>
      <w:marLeft w:val="0"/>
      <w:marRight w:val="0"/>
      <w:marTop w:val="0"/>
      <w:marBottom w:val="0"/>
      <w:divBdr>
        <w:top w:val="none" w:sz="0" w:space="0" w:color="auto"/>
        <w:left w:val="none" w:sz="0" w:space="0" w:color="auto"/>
        <w:bottom w:val="none" w:sz="0" w:space="0" w:color="auto"/>
        <w:right w:val="none" w:sz="0" w:space="0" w:color="auto"/>
      </w:divBdr>
    </w:div>
    <w:div w:id="2046129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hyperlink" Target="https://docs.google.com/spreadsheets/d/1uvr2ZRqEuW_xWBOi8UI8cUtRxb0qMJJChnHn5dDvYGU"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doi.org/10.1207/s15327108ijap0303_3"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https://www.itu.int/itu-t/recommendations/rec.aspx?rec=14155" TargetMode="External"/><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www.itu.int/itu-t/recommendations/rec.aspx?rec=7043"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yperlink" Target="https://icd.who.int/en" TargetMode="External"/><Relationship Id="rId35" Type="http://schemas.openxmlformats.org/officeDocument/2006/relationships/header" Target="header1.xml"/><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2338E4BF82AF64C8975C65DD52FAE3E" ma:contentTypeVersion="6" ma:contentTypeDescription="Create a new document." ma:contentTypeScope="" ma:versionID="02ebf0fc6f19e435affb07af72de078c">
  <xsd:schema xmlns:xsd="http://www.w3.org/2001/XMLSchema" xmlns:xs="http://www.w3.org/2001/XMLSchema" xmlns:p="http://schemas.microsoft.com/office/2006/metadata/properties" xmlns:ns2="c90385a7-5e94-4852-9398-ec888c07ca90" xmlns:ns3="0f208774-d51b-4573-a67b-89dea6922a77" targetNamespace="http://schemas.microsoft.com/office/2006/metadata/properties" ma:root="true" ma:fieldsID="b0182cba9c490d4c934699f91de62b59" ns2:_="" ns3:_="">
    <xsd:import namespace="c90385a7-5e94-4852-9398-ec888c07ca90"/>
    <xsd:import namespace="0f208774-d51b-4573-a67b-89dea6922a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0385a7-5e94-4852-9398-ec888c07ca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f208774-d51b-4573-a67b-89dea6922a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6B8685-6300-4053-A4C7-4304539F4D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0385a7-5e94-4852-9398-ec888c07ca90"/>
    <ds:schemaRef ds:uri="0f208774-d51b-4573-a67b-89dea6922a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4441</Words>
  <Characters>31533</Characters>
  <Application>Microsoft Office Word</Application>
  <DocSecurity>4</DocSecurity>
  <Lines>1576</Lines>
  <Paragraphs>1124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DDP template for SG12 (2022-2024 study period)</vt:lpstr>
      <vt:lpstr>DDP template for ITU-T SGx (2022-2024)</vt:lpstr>
    </vt:vector>
  </TitlesOfParts>
  <Manager>ITU-T</Manager>
  <Company>International Telecommunication Union (ITU)</Company>
  <LinksUpToDate>false</LinksUpToDate>
  <CharactersWithSpaces>34850</CharactersWithSpaces>
  <SharedDoc>false</SharedDoc>
  <HLinks>
    <vt:vector size="6" baseType="variant">
      <vt:variant>
        <vt:i4>3473453</vt:i4>
      </vt:variant>
      <vt:variant>
        <vt:i4>0</vt:i4>
      </vt:variant>
      <vt:variant>
        <vt:i4>0</vt:i4>
      </vt:variant>
      <vt:variant>
        <vt:i4>5</vt:i4>
      </vt:variant>
      <vt:variant>
        <vt:lpwstr>https://icd.who.int/en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DDP template for SG12 (2022-2024 study period)</dc:title>
  <dc:subject/>
  <dc:creator>TSB (2022-03-15)</dc:creator>
  <cp:keywords/>
  <dc:description>DDP-SG12.docx  For: _x000d_Document date: _x000d_Saved by ITU51014895 at 16:15:34 on 15/03/2022</dc:description>
  <cp:lastModifiedBy>Adolph, Martin</cp:lastModifiedBy>
  <cp:revision>2</cp:revision>
  <cp:lastPrinted>2017-02-22T09:55:00Z</cp:lastPrinted>
  <dcterms:created xsi:type="dcterms:W3CDTF">2023-09-25T20:26:00Z</dcterms:created>
  <dcterms:modified xsi:type="dcterms:W3CDTF">2023-09-25T20:26:00Z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0x010100B2338E4BF82AF64C8975C65DD52FAE3E</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y fmtid="{D5CDD505-2E9C-101B-9397-08002B2CF9AE}" pid="10" name="Docnum">
    <vt:lpwstr>DDP-SG12.docx</vt:lpwstr>
  </property>
  <property fmtid="{D5CDD505-2E9C-101B-9397-08002B2CF9AE}" pid="11" name="Docdate">
    <vt:lpwstr/>
  </property>
  <property fmtid="{D5CDD505-2E9C-101B-9397-08002B2CF9AE}" pid="12" name="Docorlang">
    <vt:lpwstr/>
  </property>
  <property fmtid="{D5CDD505-2E9C-101B-9397-08002B2CF9AE}" pid="13" name="Docbluepink">
    <vt:lpwstr/>
  </property>
  <property fmtid="{D5CDD505-2E9C-101B-9397-08002B2CF9AE}" pid="14" name="Docdest">
    <vt:lpwstr/>
  </property>
  <property fmtid="{D5CDD505-2E9C-101B-9397-08002B2CF9AE}" pid="15" name="Docauthor">
    <vt:lpwstr/>
  </property>
</Properties>
</file>