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2332"/>
        <w:gridCol w:w="918"/>
        <w:gridCol w:w="4185"/>
      </w:tblGrid>
      <w:tr w:rsidR="003A24DA" w:rsidRPr="003A24DA" w14:paraId="7861439A" w14:textId="77777777" w:rsidTr="003A24DA">
        <w:trPr>
          <w:cantSplit/>
        </w:trPr>
        <w:tc>
          <w:tcPr>
            <w:tcW w:w="1104" w:type="dxa"/>
            <w:vMerge w:val="restart"/>
            <w:vAlign w:val="center"/>
          </w:tcPr>
          <w:p w14:paraId="3C327347" w14:textId="77777777" w:rsidR="003A24DA" w:rsidRPr="003A24DA" w:rsidRDefault="003A24DA" w:rsidP="003A24D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3A24DA">
              <w:rPr>
                <w:noProof/>
              </w:rPr>
              <w:drawing>
                <wp:inline distT="0" distB="0" distL="0" distR="0" wp14:anchorId="18BBA811" wp14:editId="722B4DC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767D399D" w14:textId="77777777" w:rsidR="003A24DA" w:rsidRPr="003A24DA" w:rsidRDefault="003A24DA" w:rsidP="003A24DA">
            <w:pPr>
              <w:rPr>
                <w:sz w:val="16"/>
                <w:szCs w:val="16"/>
              </w:rPr>
            </w:pPr>
            <w:r w:rsidRPr="003A24DA">
              <w:rPr>
                <w:sz w:val="16"/>
                <w:szCs w:val="16"/>
              </w:rPr>
              <w:t>INTERNATIONAL TELECOMMUNICATION UNION</w:t>
            </w:r>
          </w:p>
          <w:p w14:paraId="3D183F89" w14:textId="77777777" w:rsidR="003A24DA" w:rsidRPr="003A24DA" w:rsidRDefault="003A24DA" w:rsidP="003A24DA">
            <w:pPr>
              <w:rPr>
                <w:b/>
                <w:bCs/>
                <w:sz w:val="26"/>
                <w:szCs w:val="26"/>
              </w:rPr>
            </w:pPr>
            <w:r w:rsidRPr="003A24DA">
              <w:rPr>
                <w:b/>
                <w:bCs/>
                <w:sz w:val="26"/>
                <w:szCs w:val="26"/>
              </w:rPr>
              <w:t>TELECOMMUNICATION</w:t>
            </w:r>
            <w:r w:rsidRPr="003A24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64A3C37" w14:textId="77777777" w:rsidR="003A24DA" w:rsidRPr="003A24DA" w:rsidRDefault="003A24DA" w:rsidP="003A24DA">
            <w:pPr>
              <w:rPr>
                <w:sz w:val="20"/>
                <w:szCs w:val="20"/>
              </w:rPr>
            </w:pPr>
            <w:r w:rsidRPr="003A24DA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3A24DA">
              <w:rPr>
                <w:sz w:val="20"/>
              </w:rPr>
              <w:t>2022</w:t>
            </w:r>
            <w:r w:rsidRPr="003A24DA">
              <w:rPr>
                <w:sz w:val="20"/>
                <w:szCs w:val="20"/>
              </w:rPr>
              <w:t>-</w:t>
            </w:r>
            <w:r w:rsidRPr="003A24DA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48F4F4D4" w14:textId="7B9BE9EB" w:rsidR="003A24DA" w:rsidRPr="003A24DA" w:rsidRDefault="003A24DA" w:rsidP="003A24DA">
            <w:pPr>
              <w:pStyle w:val="Docnumber"/>
            </w:pPr>
            <w:r>
              <w:t>SG</w:t>
            </w:r>
            <w:r w:rsidR="00634F0D">
              <w:t>12</w:t>
            </w:r>
            <w:r>
              <w:t>-LS5</w:t>
            </w:r>
          </w:p>
        </w:tc>
      </w:tr>
      <w:bookmarkEnd w:id="2"/>
      <w:tr w:rsidR="003A24DA" w:rsidRPr="003A24DA" w14:paraId="1CCA6A2F" w14:textId="77777777" w:rsidTr="003A24DA">
        <w:trPr>
          <w:cantSplit/>
        </w:trPr>
        <w:tc>
          <w:tcPr>
            <w:tcW w:w="1104" w:type="dxa"/>
            <w:vMerge/>
          </w:tcPr>
          <w:p w14:paraId="466B5BF0" w14:textId="77777777" w:rsidR="003A24DA" w:rsidRPr="003A24DA" w:rsidRDefault="003A24DA" w:rsidP="003A24DA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1FB2DCBB" w14:textId="77777777" w:rsidR="003A24DA" w:rsidRPr="003A24DA" w:rsidRDefault="003A24DA" w:rsidP="003A24D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BCAC3E8" w14:textId="71E3A2D3" w:rsidR="003A24DA" w:rsidRPr="003A24DA" w:rsidRDefault="003A24DA" w:rsidP="003A24D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3A24DA" w:rsidRPr="003A24DA" w14:paraId="6A629222" w14:textId="77777777" w:rsidTr="003A24D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C584AD1" w14:textId="77777777" w:rsidR="003A24DA" w:rsidRPr="003A24DA" w:rsidRDefault="003A24DA" w:rsidP="003A24D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23B012E" w14:textId="77777777" w:rsidR="003A24DA" w:rsidRPr="003A24DA" w:rsidRDefault="003A24DA" w:rsidP="003A24D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CA8FF9A" w14:textId="77777777" w:rsidR="003A24DA" w:rsidRPr="003A24DA" w:rsidRDefault="003A24DA" w:rsidP="003A24DA">
            <w:pPr>
              <w:jc w:val="right"/>
              <w:rPr>
                <w:b/>
                <w:bCs/>
                <w:sz w:val="28"/>
                <w:szCs w:val="28"/>
              </w:rPr>
            </w:pPr>
            <w:r w:rsidRPr="003A24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A24DA" w:rsidRPr="003A24DA" w14:paraId="6480B4AF" w14:textId="77777777" w:rsidTr="003A24DA">
        <w:trPr>
          <w:cantSplit/>
        </w:trPr>
        <w:tc>
          <w:tcPr>
            <w:tcW w:w="1545" w:type="dxa"/>
            <w:gridSpan w:val="2"/>
          </w:tcPr>
          <w:p w14:paraId="628D155D" w14:textId="77777777" w:rsidR="003A24DA" w:rsidRPr="003A24DA" w:rsidRDefault="003A24DA" w:rsidP="003A24D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3A24D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9798A05" w14:textId="6F6AFB10" w:rsidR="003A24DA" w:rsidRPr="003A24DA" w:rsidRDefault="003A24DA" w:rsidP="003A24DA">
            <w:r w:rsidRPr="003A24DA">
              <w:t>13/12</w:t>
            </w:r>
          </w:p>
        </w:tc>
        <w:tc>
          <w:tcPr>
            <w:tcW w:w="4184" w:type="dxa"/>
          </w:tcPr>
          <w:p w14:paraId="26B0B79C" w14:textId="762E8859" w:rsidR="003A24DA" w:rsidRPr="003A24DA" w:rsidRDefault="003A24DA" w:rsidP="003A24DA">
            <w:pPr>
              <w:jc w:val="right"/>
            </w:pPr>
            <w:r w:rsidRPr="003A24DA">
              <w:t>Geneva, 7-17 June 2022</w:t>
            </w:r>
          </w:p>
        </w:tc>
      </w:tr>
      <w:tr w:rsidR="003A24DA" w:rsidRPr="003A24DA" w14:paraId="039B3AF0" w14:textId="77777777" w:rsidTr="003A24DA">
        <w:trPr>
          <w:cantSplit/>
        </w:trPr>
        <w:tc>
          <w:tcPr>
            <w:tcW w:w="9639" w:type="dxa"/>
            <w:gridSpan w:val="6"/>
          </w:tcPr>
          <w:p w14:paraId="38A095AF" w14:textId="3AFC0623" w:rsidR="003A24DA" w:rsidRPr="003A24DA" w:rsidRDefault="003A24DA" w:rsidP="003A24DA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3A24DA">
              <w:rPr>
                <w:b/>
                <w:bCs/>
              </w:rPr>
              <w:t>Ref.: SG12-TD149</w:t>
            </w:r>
          </w:p>
        </w:tc>
      </w:tr>
      <w:tr w:rsidR="003A24DA" w:rsidRPr="003A24DA" w14:paraId="7375534F" w14:textId="77777777" w:rsidTr="003A24DA">
        <w:trPr>
          <w:cantSplit/>
        </w:trPr>
        <w:tc>
          <w:tcPr>
            <w:tcW w:w="1545" w:type="dxa"/>
            <w:gridSpan w:val="2"/>
          </w:tcPr>
          <w:p w14:paraId="7530ACED" w14:textId="77777777" w:rsidR="003A24DA" w:rsidRPr="003A24DA" w:rsidRDefault="003A24DA" w:rsidP="003A24DA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3A24D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766F296" w14:textId="7231C221" w:rsidR="003A24DA" w:rsidRPr="003A24DA" w:rsidRDefault="003A24DA" w:rsidP="003A24DA">
            <w:r w:rsidRPr="003A24DA">
              <w:t>ITU-T Study Group 12</w:t>
            </w:r>
          </w:p>
        </w:tc>
      </w:tr>
      <w:tr w:rsidR="003A24DA" w:rsidRPr="003A24DA" w14:paraId="27B653DA" w14:textId="77777777" w:rsidTr="003A24D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09F056" w14:textId="77777777" w:rsidR="003A24DA" w:rsidRPr="003A24DA" w:rsidRDefault="003A24DA" w:rsidP="003A24DA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3A24D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3561026" w14:textId="42D2A3C3" w:rsidR="003A24DA" w:rsidRPr="003A24DA" w:rsidRDefault="003A24DA" w:rsidP="003A24DA">
            <w:r w:rsidRPr="003A24DA">
              <w:t>LS on draft new Recommendation ITU-T G.</w:t>
            </w:r>
            <w:r w:rsidR="001A6239">
              <w:t>1036</w:t>
            </w:r>
            <w:r w:rsidRPr="003A24DA">
              <w:t xml:space="preserve"> (ex </w:t>
            </w:r>
            <w:proofErr w:type="spellStart"/>
            <w:proofErr w:type="gramStart"/>
            <w:r w:rsidRPr="003A24DA">
              <w:t>G.QoE</w:t>
            </w:r>
            <w:proofErr w:type="spellEnd"/>
            <w:proofErr w:type="gramEnd"/>
            <w:r w:rsidRPr="003A24DA">
              <w:t>-AR): Quality of experience (QoE) influencing factors for augmented reality (AR) services</w:t>
            </w:r>
          </w:p>
        </w:tc>
      </w:tr>
      <w:bookmarkEnd w:id="0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2D80818C" w14:textId="72D412F5" w:rsidR="00CD6848" w:rsidRDefault="003A24DA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03540E6D" w14:textId="7AB0F9CF" w:rsidR="00CD6848" w:rsidRPr="00647727" w:rsidRDefault="00D41C7E" w:rsidP="00F05E8B">
            <w:pPr>
              <w:pStyle w:val="LSForInfo"/>
            </w:pPr>
            <w:r w:rsidRPr="00647727">
              <w:t>3GPP</w:t>
            </w:r>
            <w:r w:rsidR="0071743A" w:rsidRPr="00647727">
              <w:t xml:space="preserve"> SA4</w:t>
            </w:r>
            <w:r w:rsidRPr="00647727">
              <w:t>,</w:t>
            </w:r>
            <w:r w:rsidR="0071743A" w:rsidRPr="00647727">
              <w:t xml:space="preserve"> </w:t>
            </w:r>
            <w:r w:rsidR="0071743A" w:rsidRPr="00647727">
              <w:rPr>
                <w:rFonts w:eastAsia="Times New Roman"/>
                <w:lang w:eastAsia="sv-SE"/>
              </w:rPr>
              <w:t>MPEG</w:t>
            </w:r>
            <w:r w:rsidR="00647727" w:rsidRPr="00647727">
              <w:rPr>
                <w:rFonts w:eastAsia="Times New Roman"/>
              </w:rPr>
              <w:t xml:space="preserve"> ISO/IEC JTC 1/SC 29/WG 11, </w:t>
            </w:r>
            <w:r w:rsidR="0071743A" w:rsidRPr="00647727">
              <w:rPr>
                <w:lang w:val="en-US"/>
              </w:rPr>
              <w:t>ISO/IEC JTC 1/SC 29/AG 5,</w:t>
            </w:r>
            <w:r w:rsidR="007F0455" w:rsidRPr="00647727">
              <w:rPr>
                <w:lang w:val="en-US"/>
              </w:rPr>
              <w:t xml:space="preserve"> </w:t>
            </w:r>
            <w:r w:rsidR="00647727" w:rsidRPr="00647727">
              <w:rPr>
                <w:rFonts w:eastAsia="Times New Roman"/>
              </w:rPr>
              <w:t>ETSI TC STQ,</w:t>
            </w:r>
            <w:r w:rsidR="00647727">
              <w:rPr>
                <w:rFonts w:eastAsia="Times New Roman"/>
                <w:lang w:eastAsia="sv-SE"/>
              </w:rPr>
              <w:t xml:space="preserve"> </w:t>
            </w:r>
            <w:r w:rsidR="0071743A" w:rsidRPr="00647727">
              <w:rPr>
                <w:rFonts w:eastAsia="Times New Roman"/>
                <w:lang w:eastAsia="sv-SE"/>
              </w:rPr>
              <w:t>VRIF, VQEG</w:t>
            </w:r>
            <w:r w:rsidR="007F0455" w:rsidRPr="00647727">
              <w:rPr>
                <w:rFonts w:eastAsia="Times New Roman"/>
                <w:lang w:eastAsia="sv-SE"/>
              </w:rPr>
              <w:t>, ITU-T SG16</w:t>
            </w:r>
            <w:r w:rsidR="00647727">
              <w:rPr>
                <w:rFonts w:eastAsia="Times New Roman"/>
                <w:lang w:eastAsia="sv-SE"/>
              </w:rPr>
              <w:t xml:space="preserve">, </w:t>
            </w:r>
            <w:r w:rsidR="002909EB">
              <w:rPr>
                <w:rFonts w:eastAsia="Times New Roman"/>
                <w:lang w:eastAsia="sv-SE"/>
              </w:rPr>
              <w:t xml:space="preserve">ITU-T SG13, ITU-T SG9, </w:t>
            </w:r>
            <w:r w:rsidR="00F4785B">
              <w:rPr>
                <w:rFonts w:eastAsia="Times New Roman"/>
                <w:lang w:eastAsia="sv-SE"/>
              </w:rPr>
              <w:t xml:space="preserve">SG16 CG-Metaverse, </w:t>
            </w:r>
            <w:proofErr w:type="spellStart"/>
            <w:r w:rsidR="0071743A" w:rsidRPr="00647727">
              <w:rPr>
                <w:rFonts w:eastAsia="Times New Roman"/>
                <w:lang w:eastAsia="sv-SE"/>
              </w:rPr>
              <w:t>Qualinet</w:t>
            </w:r>
            <w:proofErr w:type="spellEnd"/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3"/>
          </w:tcPr>
          <w:p w14:paraId="5D3D74D5" w14:textId="5B48D7EA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 Group 12 (Genev</w:t>
            </w:r>
            <w:r w:rsidR="00F4785B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17 June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2909EB" w:rsidRPr="001A6239" w14:paraId="500A09DD" w14:textId="77777777" w:rsidTr="003A6A5F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2909EB" w:rsidRPr="00136DDD" w:rsidRDefault="002909EB" w:rsidP="002909E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99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232F6D26" w:rsidR="002909EB" w:rsidRPr="00F4785B" w:rsidRDefault="002909EB" w:rsidP="002909EB">
            <w:r>
              <w:t>Kazuhisa Yamagishi</w:t>
            </w:r>
            <w:r>
              <w:br/>
              <w:t>NTT</w:t>
            </w:r>
            <w:r>
              <w:br/>
              <w:t>Japan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79989" w14:textId="23D8920D" w:rsidR="002909EB" w:rsidRPr="00F4785B" w:rsidRDefault="002909EB" w:rsidP="002909EB">
            <w:pPr>
              <w:rPr>
                <w:lang w:val="fr-FR"/>
              </w:rPr>
            </w:pPr>
            <w:r w:rsidRPr="004C5519">
              <w:rPr>
                <w:lang w:val="fr-FR"/>
              </w:rPr>
              <w:t>Tel:</w:t>
            </w:r>
            <w:r w:rsidRPr="004C5519">
              <w:rPr>
                <w:lang w:val="fr-FR"/>
              </w:rPr>
              <w:tab/>
              <w:t>+81 422 59 4397</w:t>
            </w:r>
            <w:r w:rsidRPr="004C5519">
              <w:rPr>
                <w:lang w:val="fr-FR"/>
              </w:rPr>
              <w:br/>
              <w:t xml:space="preserve">E-mail: </w:t>
            </w:r>
            <w:hyperlink r:id="rId11" w:history="1">
              <w:r w:rsidRPr="00086C86">
                <w:rPr>
                  <w:rStyle w:val="Hyperlink"/>
                  <w:lang w:val="fr-FR"/>
                </w:rPr>
                <w:t>kazuhisa.yamagishi.vf@hco.ntt.co.jp</w:t>
              </w:r>
            </w:hyperlink>
            <w:r w:rsidRPr="004C5519">
              <w:rPr>
                <w:lang w:val="fr-FR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50313FA8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new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2909EB">
              <w:rPr>
                <w:color w:val="000000"/>
              </w:rPr>
              <w:t>G.</w:t>
            </w:r>
            <w:r w:rsidR="001A6239">
              <w:rPr>
                <w:color w:val="000000"/>
              </w:rPr>
              <w:t>1036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2909EB" w:rsidRPr="002909EB">
              <w:t>Quality of experience (QoE) influencing factors for augmented reality (AR) services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0B26A305" w:rsidR="00D6130D" w:rsidRDefault="007F0455" w:rsidP="003B4CF8">
      <w:r w:rsidRPr="007F0455">
        <w:t>Question 1</w:t>
      </w:r>
      <w:r w:rsidR="002909EB">
        <w:t>3</w:t>
      </w:r>
      <w:r w:rsidRPr="007F0455">
        <w:t xml:space="preserve"> of ITU-T Study Group 12 would like to inform you that </w:t>
      </w:r>
      <w:r w:rsidR="00F4785B">
        <w:t>draft</w:t>
      </w:r>
      <w:r w:rsidRPr="007F0455">
        <w:t xml:space="preserve"> new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="002909EB">
        <w:rPr>
          <w:color w:val="000000"/>
        </w:rPr>
        <w:t>G.</w:t>
      </w:r>
      <w:r w:rsidR="001A6239">
        <w:rPr>
          <w:color w:val="000000"/>
        </w:rPr>
        <w:t>1036</w:t>
      </w:r>
      <w:r w:rsidRPr="007F0455">
        <w:rPr>
          <w:color w:val="000000"/>
        </w:rPr>
        <w:t xml:space="preserve"> </w:t>
      </w:r>
      <w:r w:rsidR="00D6130D">
        <w:rPr>
          <w:color w:val="000000"/>
        </w:rPr>
        <w:t xml:space="preserve">(ex </w:t>
      </w:r>
      <w:proofErr w:type="spellStart"/>
      <w:proofErr w:type="gramStart"/>
      <w:r w:rsidR="002909EB">
        <w:rPr>
          <w:color w:val="000000"/>
        </w:rPr>
        <w:t>G.QoE</w:t>
      </w:r>
      <w:proofErr w:type="spellEnd"/>
      <w:proofErr w:type="gramEnd"/>
      <w:r w:rsidR="002909EB">
        <w:rPr>
          <w:color w:val="000000"/>
        </w:rPr>
        <w:t>-AR</w:t>
      </w:r>
      <w:r w:rsidR="00D6130D">
        <w:rPr>
          <w:color w:val="000000"/>
        </w:rPr>
        <w:t xml:space="preserve">) </w:t>
      </w:r>
      <w:r w:rsidRPr="007F0455">
        <w:rPr>
          <w:color w:val="000000"/>
        </w:rPr>
        <w:t>“</w:t>
      </w:r>
      <w:r w:rsidR="002909EB" w:rsidRPr="002909EB">
        <w:t>Quality of experience (QoE) influencing factors for augmented reality (AR) services</w:t>
      </w:r>
      <w:r w:rsidRPr="007F0455">
        <w:rPr>
          <w:color w:val="000000"/>
        </w:rPr>
        <w:t xml:space="preserve">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>, Geneva,</w:t>
      </w:r>
      <w:r w:rsidRPr="007F0455">
        <w:t xml:space="preserve"> </w:t>
      </w:r>
      <w:r w:rsidR="00110C96">
        <w:t>7</w:t>
      </w:r>
      <w:r w:rsidRPr="007F0455">
        <w:t>-17</w:t>
      </w:r>
      <w:r w:rsidR="00F4785B">
        <w:t xml:space="preserve"> June 2022</w:t>
      </w:r>
      <w:r w:rsidRPr="007F0455">
        <w:t>.</w:t>
      </w:r>
      <w:r w:rsidR="0071743A" w:rsidRPr="007F0455">
        <w:t xml:space="preserve"> </w:t>
      </w:r>
    </w:p>
    <w:p w14:paraId="61A63E2E" w14:textId="2EE38A2B" w:rsidR="00110C96" w:rsidRDefault="002909EB" w:rsidP="003B4CF8">
      <w:r>
        <w:rPr>
          <w:rFonts w:eastAsia="MS Mincho"/>
        </w:rPr>
        <w:t>The Recommendation lists typical use cases of augmented reality services and identifies key QoE factors. It also suggests a scheme for future work on AR QoE assessment</w:t>
      </w:r>
      <w:r w:rsidR="006A0A71" w:rsidRPr="00DA75A4">
        <w:t>.</w:t>
      </w:r>
      <w:r w:rsidR="006A0A71">
        <w:t xml:space="preserve"> </w:t>
      </w:r>
    </w:p>
    <w:p w14:paraId="70FBDF66" w14:textId="1BCC7831" w:rsidR="003B4CF8" w:rsidRDefault="007F0455" w:rsidP="003B4CF8">
      <w:r w:rsidRPr="007F0455">
        <w:t xml:space="preserve">The </w:t>
      </w:r>
      <w:r w:rsidR="00D6130D">
        <w:t xml:space="preserve">consented </w:t>
      </w:r>
      <w:r w:rsidRPr="007F0455">
        <w:t>text is attached</w:t>
      </w:r>
      <w:r w:rsidR="00D6130D">
        <w:t xml:space="preserve"> to this liaison statement</w:t>
      </w:r>
      <w:r w:rsidRPr="007F0455">
        <w:t>.</w:t>
      </w:r>
    </w:p>
    <w:p w14:paraId="0E2BA6A7" w14:textId="3BA506A5" w:rsidR="00D6130D" w:rsidRDefault="00D6130D" w:rsidP="003B4CF8"/>
    <w:p w14:paraId="44FCC7B3" w14:textId="03B80553" w:rsidR="00D6130D" w:rsidRPr="005E24AF" w:rsidRDefault="00D6130D" w:rsidP="003B4CF8">
      <w:pPr>
        <w:rPr>
          <w:u w:val="single"/>
        </w:rPr>
      </w:pPr>
      <w:r w:rsidRPr="005E24AF">
        <w:rPr>
          <w:u w:val="single"/>
        </w:rPr>
        <w:t>Attachment</w:t>
      </w:r>
    </w:p>
    <w:p w14:paraId="45B0FCA5" w14:textId="4650D85E" w:rsidR="00D6130D" w:rsidRPr="007F0455" w:rsidRDefault="00D6130D" w:rsidP="003B4CF8">
      <w:r w:rsidRPr="005E24AF">
        <w:t>SG12-TD</w:t>
      </w:r>
      <w:r w:rsidR="005E24AF" w:rsidRPr="005E24AF">
        <w:t>1</w:t>
      </w:r>
      <w:r w:rsidR="002909EB">
        <w:t>27R</w:t>
      </w:r>
      <w:r w:rsidR="0012380F">
        <w:t>2</w:t>
      </w:r>
    </w:p>
    <w:p w14:paraId="09B62E97" w14:textId="77777777" w:rsidR="00900EF1" w:rsidRDefault="00900EF1" w:rsidP="00BF1C1D"/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3A24DA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DB06" w14:textId="77777777" w:rsidR="0040320D" w:rsidRDefault="0040320D" w:rsidP="00C42125">
      <w:pPr>
        <w:spacing w:before="0"/>
      </w:pPr>
      <w:r>
        <w:separator/>
      </w:r>
    </w:p>
  </w:endnote>
  <w:endnote w:type="continuationSeparator" w:id="0">
    <w:p w14:paraId="3C88CA11" w14:textId="77777777" w:rsidR="0040320D" w:rsidRDefault="0040320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5568" w14:textId="77777777" w:rsidR="0040320D" w:rsidRDefault="0040320D" w:rsidP="00C42125">
      <w:pPr>
        <w:spacing w:before="0"/>
      </w:pPr>
      <w:r>
        <w:separator/>
      </w:r>
    </w:p>
  </w:footnote>
  <w:footnote w:type="continuationSeparator" w:id="0">
    <w:p w14:paraId="41D35411" w14:textId="77777777" w:rsidR="0040320D" w:rsidRDefault="0040320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24E82040" w:rsidR="005E24AF" w:rsidRPr="003A24DA" w:rsidRDefault="003A24DA" w:rsidP="003A24DA">
    <w:pPr>
      <w:pStyle w:val="Header"/>
    </w:pPr>
    <w:r w:rsidRPr="003A24DA">
      <w:t xml:space="preserve">- </w:t>
    </w:r>
    <w:r w:rsidRPr="003A24DA">
      <w:fldChar w:fldCharType="begin"/>
    </w:r>
    <w:r w:rsidRPr="003A24DA">
      <w:instrText xml:space="preserve"> PAGE  \* MERGEFORMAT </w:instrText>
    </w:r>
    <w:r w:rsidRPr="003A24DA">
      <w:fldChar w:fldCharType="separate"/>
    </w:r>
    <w:r w:rsidRPr="003A24DA">
      <w:rPr>
        <w:noProof/>
      </w:rPr>
      <w:t>1</w:t>
    </w:r>
    <w:r w:rsidRPr="003A24DA">
      <w:fldChar w:fldCharType="end"/>
    </w:r>
    <w:r w:rsidRPr="003A24DA">
      <w:t xml:space="preserve"> -</w:t>
    </w:r>
  </w:p>
  <w:p w14:paraId="782A0E9D" w14:textId="0625C42D" w:rsidR="003A24DA" w:rsidRPr="003A24DA" w:rsidRDefault="003A24DA" w:rsidP="003A24DA">
    <w:pPr>
      <w:pStyle w:val="Header"/>
      <w:spacing w:after="240"/>
    </w:pPr>
    <w:r w:rsidRPr="003A24DA">
      <w:fldChar w:fldCharType="begin"/>
    </w:r>
    <w:r w:rsidRPr="003A24DA">
      <w:instrText xml:space="preserve"> STYLEREF  Docnumber  </w:instrText>
    </w:r>
    <w:r w:rsidRPr="003A24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6800210">
    <w:abstractNumId w:val="9"/>
  </w:num>
  <w:num w:numId="2" w16cid:durableId="943925723">
    <w:abstractNumId w:val="7"/>
  </w:num>
  <w:num w:numId="3" w16cid:durableId="735856900">
    <w:abstractNumId w:val="6"/>
  </w:num>
  <w:num w:numId="4" w16cid:durableId="1516916866">
    <w:abstractNumId w:val="5"/>
  </w:num>
  <w:num w:numId="5" w16cid:durableId="1062873503">
    <w:abstractNumId w:val="4"/>
  </w:num>
  <w:num w:numId="6" w16cid:durableId="325280063">
    <w:abstractNumId w:val="8"/>
  </w:num>
  <w:num w:numId="7" w16cid:durableId="1208301687">
    <w:abstractNumId w:val="3"/>
  </w:num>
  <w:num w:numId="8" w16cid:durableId="907493649">
    <w:abstractNumId w:val="2"/>
  </w:num>
  <w:num w:numId="9" w16cid:durableId="1474366665">
    <w:abstractNumId w:val="1"/>
  </w:num>
  <w:num w:numId="10" w16cid:durableId="113398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380F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239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061"/>
    <w:rsid w:val="002759E7"/>
    <w:rsid w:val="00277326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B0"/>
    <w:rsid w:val="003A24DA"/>
    <w:rsid w:val="003A43EF"/>
    <w:rsid w:val="003A6A5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20D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24AF"/>
    <w:rsid w:val="005F4B6A"/>
    <w:rsid w:val="006010F3"/>
    <w:rsid w:val="00606DB6"/>
    <w:rsid w:val="00615A0A"/>
    <w:rsid w:val="00626673"/>
    <w:rsid w:val="006333D4"/>
    <w:rsid w:val="00634F0D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4694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25CE3"/>
    <w:rsid w:val="00D41C7E"/>
    <w:rsid w:val="00D6130D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49C4"/>
    <w:rsid w:val="00E87795"/>
    <w:rsid w:val="00EB444D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B0783"/>
    <w:rsid w:val="00FB1BF3"/>
    <w:rsid w:val="00FB7A8B"/>
    <w:rsid w:val="00FD1482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zuhisa.yamagishi.vf@hco.ntt.co.j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1</Pages>
  <Words>220</Words>
  <Characters>1309</Characters>
  <Application>Microsoft Office Word</Application>
  <DocSecurity>0</DocSecurity>
  <Lines>56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draft new Recommendation ITU-T P.1320 (ex P.QXM): QoE assessment of extended reality (XR) meetings</vt:lpstr>
    </vt:vector>
  </TitlesOfParts>
  <Manager>ITU-T</Manager>
  <Company>International Telecommunication Union (ITU)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ITU-T G.1036 (ex G.QoE-AR): Quality of experience (QoE) influencing factors for augmented reality (AR) services</dc:title>
  <dc:subject/>
  <dc:creator>ITU-T Study Group 12</dc:creator>
  <cp:keywords/>
  <dc:description>SG12-LS5  For: Geneva, 7-17 June 2022_x000d_Document date: _x000d_Saved by ITU51014243 at 15:11:37 on 17/06/2022</dc:description>
  <cp:lastModifiedBy>Adolph, Martin</cp:lastModifiedBy>
  <cp:revision>5</cp:revision>
  <cp:lastPrinted>2016-12-23T12:52:00Z</cp:lastPrinted>
  <dcterms:created xsi:type="dcterms:W3CDTF">2022-06-17T08:59:00Z</dcterms:created>
  <dcterms:modified xsi:type="dcterms:W3CDTF">2022-06-17T13:11:00Z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13/12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