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000" w:firstRow="0" w:lastRow="0" w:firstColumn="0" w:lastColumn="0" w:noHBand="0" w:noVBand="0"/>
      </w:tblPr>
      <w:tblGrid>
        <w:gridCol w:w="1132"/>
        <w:gridCol w:w="428"/>
        <w:gridCol w:w="27"/>
        <w:gridCol w:w="3942"/>
        <w:gridCol w:w="84"/>
        <w:gridCol w:w="4027"/>
      </w:tblGrid>
      <w:tr w:rsidR="00C34B0B" w:rsidRPr="00C34B0B" w14:paraId="45AF8A4D" w14:textId="77777777" w:rsidTr="00C34B0B">
        <w:trPr>
          <w:cantSplit/>
        </w:trPr>
        <w:tc>
          <w:tcPr>
            <w:tcW w:w="1132" w:type="dxa"/>
            <w:vMerge w:val="restart"/>
            <w:vAlign w:val="center"/>
          </w:tcPr>
          <w:p w14:paraId="19C1B789" w14:textId="5515F82E" w:rsidR="00C34B0B" w:rsidRPr="00C34B0B" w:rsidRDefault="00C34B0B" w:rsidP="00C34B0B">
            <w:pPr>
              <w:spacing w:before="0"/>
              <w:jc w:val="center"/>
              <w:rPr>
                <w:sz w:val="20"/>
                <w:szCs w:val="20"/>
              </w:rPr>
            </w:pPr>
            <w:bookmarkStart w:id="0" w:name="dnum" w:colFirst="2" w:colLast="2"/>
            <w:bookmarkStart w:id="1" w:name="dtableau"/>
            <w:r w:rsidRPr="00C34B0B">
              <w:rPr>
                <w:noProof/>
              </w:rPr>
              <w:drawing>
                <wp:inline distT="0" distB="0" distL="0" distR="0" wp14:anchorId="1B944748" wp14:editId="227F5A78">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37AAC54F" w14:textId="77777777" w:rsidR="00C34B0B" w:rsidRPr="00C34B0B" w:rsidRDefault="00C34B0B" w:rsidP="00C34B0B">
            <w:pPr>
              <w:rPr>
                <w:sz w:val="16"/>
                <w:szCs w:val="16"/>
              </w:rPr>
            </w:pPr>
            <w:r w:rsidRPr="00C34B0B">
              <w:rPr>
                <w:sz w:val="16"/>
                <w:szCs w:val="16"/>
              </w:rPr>
              <w:t>INTERNATIONAL TELECOMMUNICATION UNION</w:t>
            </w:r>
          </w:p>
          <w:p w14:paraId="2D602691" w14:textId="77777777" w:rsidR="00C34B0B" w:rsidRPr="00C34B0B" w:rsidRDefault="00C34B0B" w:rsidP="00C34B0B">
            <w:pPr>
              <w:rPr>
                <w:b/>
                <w:bCs/>
                <w:sz w:val="26"/>
                <w:szCs w:val="26"/>
              </w:rPr>
            </w:pPr>
            <w:r w:rsidRPr="00C34B0B">
              <w:rPr>
                <w:b/>
                <w:bCs/>
                <w:sz w:val="26"/>
                <w:szCs w:val="26"/>
              </w:rPr>
              <w:t>TELECOMMUNICATION</w:t>
            </w:r>
            <w:r w:rsidRPr="00C34B0B">
              <w:rPr>
                <w:b/>
                <w:bCs/>
                <w:sz w:val="26"/>
                <w:szCs w:val="26"/>
              </w:rPr>
              <w:br/>
              <w:t>STANDARDIZATION SECTOR</w:t>
            </w:r>
          </w:p>
          <w:p w14:paraId="5CB44B5C" w14:textId="77777777" w:rsidR="00C34B0B" w:rsidRPr="00C34B0B" w:rsidRDefault="00C34B0B" w:rsidP="00C34B0B">
            <w:pPr>
              <w:rPr>
                <w:sz w:val="20"/>
                <w:szCs w:val="20"/>
              </w:rPr>
            </w:pPr>
            <w:r w:rsidRPr="00C34B0B">
              <w:rPr>
                <w:sz w:val="20"/>
                <w:szCs w:val="20"/>
              </w:rPr>
              <w:t xml:space="preserve">STUDY PERIOD </w:t>
            </w:r>
            <w:bookmarkStart w:id="2" w:name="dstudyperiod"/>
            <w:r w:rsidRPr="00C34B0B">
              <w:rPr>
                <w:sz w:val="20"/>
              </w:rPr>
              <w:t>2022</w:t>
            </w:r>
            <w:r w:rsidRPr="00C34B0B">
              <w:rPr>
                <w:sz w:val="20"/>
                <w:szCs w:val="20"/>
              </w:rPr>
              <w:t>-</w:t>
            </w:r>
            <w:r w:rsidRPr="00C34B0B">
              <w:rPr>
                <w:sz w:val="20"/>
              </w:rPr>
              <w:t>2024</w:t>
            </w:r>
            <w:bookmarkEnd w:id="2"/>
          </w:p>
        </w:tc>
        <w:tc>
          <w:tcPr>
            <w:tcW w:w="4027" w:type="dxa"/>
            <w:vAlign w:val="center"/>
          </w:tcPr>
          <w:p w14:paraId="0BBBFB97" w14:textId="73DC3DB3" w:rsidR="00C34B0B" w:rsidRPr="00C34B0B" w:rsidRDefault="00C34B0B" w:rsidP="00C34B0B">
            <w:pPr>
              <w:pStyle w:val="Docnumber"/>
            </w:pPr>
            <w:r>
              <w:t>SG12-TD106</w:t>
            </w:r>
            <w:r w:rsidR="00191E4D">
              <w:t>R1</w:t>
            </w:r>
          </w:p>
        </w:tc>
      </w:tr>
      <w:tr w:rsidR="00C34B0B" w:rsidRPr="00C34B0B" w14:paraId="1809B727" w14:textId="77777777" w:rsidTr="00C34B0B">
        <w:trPr>
          <w:cantSplit/>
        </w:trPr>
        <w:tc>
          <w:tcPr>
            <w:tcW w:w="1132" w:type="dxa"/>
            <w:vMerge/>
          </w:tcPr>
          <w:p w14:paraId="7A597985" w14:textId="77777777" w:rsidR="00C34B0B" w:rsidRPr="00C34B0B" w:rsidRDefault="00C34B0B" w:rsidP="00C34B0B">
            <w:pPr>
              <w:rPr>
                <w:smallCaps/>
                <w:sz w:val="20"/>
              </w:rPr>
            </w:pPr>
            <w:bookmarkStart w:id="3" w:name="dsg" w:colFirst="2" w:colLast="2"/>
            <w:bookmarkEnd w:id="0"/>
          </w:p>
        </w:tc>
        <w:tc>
          <w:tcPr>
            <w:tcW w:w="4481" w:type="dxa"/>
            <w:gridSpan w:val="4"/>
            <w:vMerge/>
          </w:tcPr>
          <w:p w14:paraId="5597E371" w14:textId="77777777" w:rsidR="00C34B0B" w:rsidRPr="00C34B0B" w:rsidRDefault="00C34B0B" w:rsidP="00C34B0B">
            <w:pPr>
              <w:rPr>
                <w:smallCaps/>
                <w:sz w:val="20"/>
              </w:rPr>
            </w:pPr>
          </w:p>
        </w:tc>
        <w:tc>
          <w:tcPr>
            <w:tcW w:w="4027" w:type="dxa"/>
          </w:tcPr>
          <w:p w14:paraId="3EFD5745" w14:textId="162121EC" w:rsidR="00C34B0B" w:rsidRPr="00C34B0B" w:rsidRDefault="00C34B0B" w:rsidP="00C34B0B">
            <w:pPr>
              <w:pStyle w:val="TSBHeaderRight14"/>
              <w:rPr>
                <w:smallCaps/>
              </w:rPr>
            </w:pPr>
            <w:r>
              <w:rPr>
                <w:smallCaps/>
              </w:rPr>
              <w:t>STUDY GROUP 12</w:t>
            </w:r>
          </w:p>
        </w:tc>
      </w:tr>
      <w:bookmarkEnd w:id="3"/>
      <w:tr w:rsidR="00C34B0B" w:rsidRPr="00C34B0B" w14:paraId="365515E5" w14:textId="77777777" w:rsidTr="00C34B0B">
        <w:trPr>
          <w:cantSplit/>
        </w:trPr>
        <w:tc>
          <w:tcPr>
            <w:tcW w:w="1132" w:type="dxa"/>
            <w:vMerge/>
            <w:tcBorders>
              <w:bottom w:val="single" w:sz="12" w:space="0" w:color="auto"/>
            </w:tcBorders>
          </w:tcPr>
          <w:p w14:paraId="47C418C7" w14:textId="77777777" w:rsidR="00C34B0B" w:rsidRPr="00C34B0B" w:rsidRDefault="00C34B0B" w:rsidP="00C34B0B">
            <w:pPr>
              <w:rPr>
                <w:b/>
                <w:bCs/>
                <w:sz w:val="26"/>
              </w:rPr>
            </w:pPr>
          </w:p>
        </w:tc>
        <w:tc>
          <w:tcPr>
            <w:tcW w:w="4481" w:type="dxa"/>
            <w:gridSpan w:val="4"/>
            <w:vMerge/>
            <w:tcBorders>
              <w:bottom w:val="single" w:sz="12" w:space="0" w:color="auto"/>
            </w:tcBorders>
          </w:tcPr>
          <w:p w14:paraId="48F75A51" w14:textId="77777777" w:rsidR="00C34B0B" w:rsidRPr="00C34B0B" w:rsidRDefault="00C34B0B" w:rsidP="00C34B0B">
            <w:pPr>
              <w:rPr>
                <w:b/>
                <w:bCs/>
                <w:sz w:val="26"/>
              </w:rPr>
            </w:pPr>
          </w:p>
        </w:tc>
        <w:tc>
          <w:tcPr>
            <w:tcW w:w="4027" w:type="dxa"/>
            <w:tcBorders>
              <w:bottom w:val="single" w:sz="12" w:space="0" w:color="auto"/>
            </w:tcBorders>
            <w:vAlign w:val="center"/>
          </w:tcPr>
          <w:p w14:paraId="5450AEF7" w14:textId="77777777" w:rsidR="00C34B0B" w:rsidRPr="00C34B0B" w:rsidRDefault="00C34B0B" w:rsidP="00C34B0B">
            <w:pPr>
              <w:pStyle w:val="TSBHeaderRight14"/>
            </w:pPr>
            <w:r w:rsidRPr="00C34B0B">
              <w:t>Original: English</w:t>
            </w:r>
          </w:p>
        </w:tc>
      </w:tr>
      <w:tr w:rsidR="00C34B0B" w:rsidRPr="00C34B0B" w14:paraId="6F631B54" w14:textId="77777777" w:rsidTr="00C34B0B">
        <w:trPr>
          <w:cantSplit/>
        </w:trPr>
        <w:tc>
          <w:tcPr>
            <w:tcW w:w="1587" w:type="dxa"/>
            <w:gridSpan w:val="3"/>
          </w:tcPr>
          <w:p w14:paraId="7935B5B3" w14:textId="77777777" w:rsidR="00C34B0B" w:rsidRPr="00C34B0B" w:rsidRDefault="00C34B0B" w:rsidP="00C34B0B">
            <w:pPr>
              <w:rPr>
                <w:b/>
                <w:bCs/>
              </w:rPr>
            </w:pPr>
            <w:bookmarkStart w:id="4" w:name="dbluepink" w:colFirst="1" w:colLast="1"/>
            <w:bookmarkStart w:id="5" w:name="dmeeting" w:colFirst="2" w:colLast="2"/>
            <w:r w:rsidRPr="00C34B0B">
              <w:rPr>
                <w:b/>
                <w:bCs/>
              </w:rPr>
              <w:t>Question(s):</w:t>
            </w:r>
          </w:p>
        </w:tc>
        <w:tc>
          <w:tcPr>
            <w:tcW w:w="4026" w:type="dxa"/>
            <w:gridSpan w:val="2"/>
          </w:tcPr>
          <w:p w14:paraId="1C88871F" w14:textId="1137AD64" w:rsidR="00C34B0B" w:rsidRPr="00C34B0B" w:rsidRDefault="00C34B0B" w:rsidP="00C34B0B">
            <w:pPr>
              <w:pStyle w:val="TSBHeaderQuestion"/>
            </w:pPr>
            <w:r w:rsidRPr="00C34B0B">
              <w:t>9/12</w:t>
            </w:r>
          </w:p>
        </w:tc>
        <w:tc>
          <w:tcPr>
            <w:tcW w:w="4027" w:type="dxa"/>
          </w:tcPr>
          <w:p w14:paraId="3CB463BD" w14:textId="20037D31" w:rsidR="00C34B0B" w:rsidRPr="00C34B0B" w:rsidRDefault="00C34B0B" w:rsidP="00C34B0B">
            <w:pPr>
              <w:pStyle w:val="VenueDate"/>
            </w:pPr>
            <w:r w:rsidRPr="00C34B0B">
              <w:t>Geneva, 7-17 June 2022</w:t>
            </w:r>
          </w:p>
        </w:tc>
      </w:tr>
      <w:tr w:rsidR="00C34B0B" w:rsidRPr="00C34B0B" w14:paraId="0465D65F" w14:textId="77777777" w:rsidTr="00C34B0B">
        <w:trPr>
          <w:cantSplit/>
        </w:trPr>
        <w:tc>
          <w:tcPr>
            <w:tcW w:w="9640" w:type="dxa"/>
            <w:gridSpan w:val="6"/>
          </w:tcPr>
          <w:p w14:paraId="7C9F7AAE" w14:textId="77777777" w:rsidR="00C34B0B" w:rsidRPr="00C34B0B" w:rsidRDefault="00C34B0B" w:rsidP="00C34B0B">
            <w:pPr>
              <w:jc w:val="center"/>
              <w:rPr>
                <w:b/>
                <w:bCs/>
              </w:rPr>
            </w:pPr>
            <w:bookmarkStart w:id="6" w:name="ddoctype"/>
            <w:bookmarkEnd w:id="4"/>
            <w:bookmarkEnd w:id="5"/>
            <w:r w:rsidRPr="00C34B0B">
              <w:rPr>
                <w:b/>
                <w:bCs/>
              </w:rPr>
              <w:t>TD</w:t>
            </w:r>
          </w:p>
          <w:p w14:paraId="481C6545" w14:textId="0D326138" w:rsidR="00C34B0B" w:rsidRPr="00C34B0B" w:rsidRDefault="00C34B0B" w:rsidP="00C34B0B">
            <w:pPr>
              <w:jc w:val="center"/>
              <w:rPr>
                <w:b/>
                <w:bCs/>
              </w:rPr>
            </w:pPr>
            <w:r w:rsidRPr="00C34B0B">
              <w:rPr>
                <w:b/>
                <w:bCs/>
              </w:rPr>
              <w:t>(Ref.: SG12-C21R1)</w:t>
            </w:r>
          </w:p>
        </w:tc>
      </w:tr>
      <w:tr w:rsidR="00C34B0B" w:rsidRPr="00C34B0B" w14:paraId="1AF7A5E8" w14:textId="77777777" w:rsidTr="00C34B0B">
        <w:trPr>
          <w:cantSplit/>
        </w:trPr>
        <w:tc>
          <w:tcPr>
            <w:tcW w:w="1587" w:type="dxa"/>
            <w:gridSpan w:val="3"/>
          </w:tcPr>
          <w:p w14:paraId="51DDA6DE" w14:textId="77777777" w:rsidR="00C34B0B" w:rsidRPr="00C34B0B" w:rsidRDefault="00C34B0B" w:rsidP="00C34B0B">
            <w:pPr>
              <w:rPr>
                <w:b/>
                <w:bCs/>
              </w:rPr>
            </w:pPr>
            <w:bookmarkStart w:id="7" w:name="dsource" w:colFirst="1" w:colLast="1"/>
            <w:bookmarkEnd w:id="6"/>
            <w:r w:rsidRPr="00C34B0B">
              <w:rPr>
                <w:b/>
                <w:bCs/>
              </w:rPr>
              <w:t>Source:</w:t>
            </w:r>
          </w:p>
        </w:tc>
        <w:tc>
          <w:tcPr>
            <w:tcW w:w="8053" w:type="dxa"/>
            <w:gridSpan w:val="3"/>
          </w:tcPr>
          <w:p w14:paraId="3F5780DE" w14:textId="588C845A" w:rsidR="00C34B0B" w:rsidRPr="00C34B0B" w:rsidRDefault="00C34B0B" w:rsidP="00C34B0B">
            <w:pPr>
              <w:rPr>
                <w:sz w:val="22"/>
                <w:szCs w:val="22"/>
                <w:lang w:val="en-US" w:eastAsia="en-US"/>
              </w:rPr>
            </w:pPr>
            <w:r>
              <w:rPr>
                <w:lang w:val="en-US"/>
              </w:rPr>
              <w:t>Editor P.AMD</w:t>
            </w:r>
          </w:p>
        </w:tc>
      </w:tr>
      <w:tr w:rsidR="00C34B0B" w:rsidRPr="00C34B0B" w14:paraId="145F001E" w14:textId="77777777" w:rsidTr="00C34B0B">
        <w:trPr>
          <w:cantSplit/>
        </w:trPr>
        <w:tc>
          <w:tcPr>
            <w:tcW w:w="1587" w:type="dxa"/>
            <w:gridSpan w:val="3"/>
            <w:tcBorders>
              <w:bottom w:val="single" w:sz="8" w:space="0" w:color="auto"/>
            </w:tcBorders>
          </w:tcPr>
          <w:p w14:paraId="29A48648" w14:textId="77777777" w:rsidR="00C34B0B" w:rsidRPr="00C34B0B" w:rsidRDefault="00C34B0B" w:rsidP="00C34B0B">
            <w:pPr>
              <w:rPr>
                <w:b/>
                <w:bCs/>
              </w:rPr>
            </w:pPr>
            <w:bookmarkStart w:id="8" w:name="dtitle1" w:colFirst="1" w:colLast="1"/>
            <w:bookmarkEnd w:id="7"/>
            <w:r w:rsidRPr="00C34B0B">
              <w:rPr>
                <w:b/>
                <w:bCs/>
              </w:rPr>
              <w:t>Title:</w:t>
            </w:r>
          </w:p>
        </w:tc>
        <w:tc>
          <w:tcPr>
            <w:tcW w:w="8053" w:type="dxa"/>
            <w:gridSpan w:val="3"/>
            <w:tcBorders>
              <w:bottom w:val="single" w:sz="8" w:space="0" w:color="auto"/>
            </w:tcBorders>
          </w:tcPr>
          <w:p w14:paraId="27C03932" w14:textId="4E12E435" w:rsidR="00C34B0B" w:rsidRPr="00C34B0B" w:rsidRDefault="00C34B0B" w:rsidP="00C34B0B">
            <w:pPr>
              <w:pStyle w:val="TSBHeaderTitle"/>
            </w:pPr>
            <w:r>
              <w:rPr>
                <w:lang w:val="en-US"/>
              </w:rPr>
              <w:t>Draft new Recommendation ITU-T P.AMD: Extension of P.863 for multi-dimensional assessment of degradations in telephony speech signals up to full-band (for consent)</w:t>
            </w:r>
          </w:p>
        </w:tc>
      </w:tr>
      <w:bookmarkEnd w:id="1"/>
      <w:bookmarkEnd w:id="8"/>
      <w:tr w:rsidR="00691C94" w:rsidRPr="0037415F" w14:paraId="54FDCF36" w14:textId="77777777" w:rsidTr="00C34B0B">
        <w:tblPrEx>
          <w:jc w:val="center"/>
        </w:tblPrEx>
        <w:trPr>
          <w:cantSplit/>
          <w:jc w:val="center"/>
        </w:trPr>
        <w:tc>
          <w:tcPr>
            <w:tcW w:w="1560" w:type="dxa"/>
            <w:gridSpan w:val="2"/>
            <w:tcBorders>
              <w:top w:val="single" w:sz="6" w:space="0" w:color="auto"/>
              <w:bottom w:val="single" w:sz="6" w:space="0" w:color="auto"/>
            </w:tcBorders>
          </w:tcPr>
          <w:p w14:paraId="5414C31C" w14:textId="77777777" w:rsidR="00691C94" w:rsidRPr="008F7104" w:rsidRDefault="00691C94" w:rsidP="00691C94">
            <w:pPr>
              <w:rPr>
                <w:b/>
                <w:bCs/>
              </w:rPr>
            </w:pPr>
            <w:r w:rsidRPr="008F7104">
              <w:rPr>
                <w:b/>
                <w:bCs/>
              </w:rPr>
              <w:t>Contact:</w:t>
            </w:r>
          </w:p>
        </w:tc>
        <w:tc>
          <w:tcPr>
            <w:tcW w:w="3969" w:type="dxa"/>
            <w:gridSpan w:val="2"/>
            <w:tcBorders>
              <w:top w:val="single" w:sz="6" w:space="0" w:color="auto"/>
              <w:bottom w:val="single" w:sz="6" w:space="0" w:color="auto"/>
            </w:tcBorders>
          </w:tcPr>
          <w:p w14:paraId="3B8DDD8B" w14:textId="3BC57CBB" w:rsidR="00691C94" w:rsidRPr="002F45E1" w:rsidRDefault="002125D9" w:rsidP="00691C94">
            <w:pPr>
              <w:rPr>
                <w:lang w:val="de-DE"/>
              </w:rPr>
            </w:pPr>
            <w:sdt>
              <w:sdtPr>
                <w:rPr>
                  <w:lang w:val="de-DE"/>
                </w:rPr>
                <w:alias w:val="ContactNameOrgCountry"/>
                <w:tag w:val="ContactNameOrgCountry"/>
                <w:id w:val="-450624836"/>
                <w:placeholder>
                  <w:docPart w:val="B83B1DB948E34C538D1C0FE920AD6F8A"/>
                </w:placeholder>
                <w:text w:multiLine="1"/>
              </w:sdtPr>
              <w:sdtEndPr/>
              <w:sdtContent>
                <w:r w:rsidR="002F45E1" w:rsidRPr="002F45E1">
                  <w:rPr>
                    <w:lang w:val="de-DE"/>
                  </w:rPr>
                  <w:t>Sebastian Möller</w:t>
                </w:r>
                <w:r w:rsidR="00691C94" w:rsidRPr="002F45E1">
                  <w:rPr>
                    <w:lang w:val="de-DE"/>
                  </w:rPr>
                  <w:br/>
                </w:r>
                <w:r w:rsidR="002F45E1" w:rsidRPr="002F45E1">
                  <w:rPr>
                    <w:lang w:val="de-DE"/>
                  </w:rPr>
                  <w:t>Technische Universität Berlin</w:t>
                </w:r>
                <w:r w:rsidR="00691C94" w:rsidRPr="002F45E1">
                  <w:rPr>
                    <w:lang w:val="de-DE"/>
                  </w:rPr>
                  <w:br/>
                </w:r>
                <w:r w:rsidR="002F45E1" w:rsidRPr="002F45E1">
                  <w:rPr>
                    <w:lang w:val="de-DE"/>
                  </w:rPr>
                  <w:t>Germany</w:t>
                </w:r>
              </w:sdtContent>
            </w:sdt>
          </w:p>
        </w:tc>
        <w:sdt>
          <w:sdtPr>
            <w:alias w:val="ContactTelFaxEmail"/>
            <w:tag w:val="ContactTelFaxEmail"/>
            <w:id w:val="-1400744340"/>
            <w:placeholder>
              <w:docPart w:val="07782924B77D4DFBA735CF55B079A719"/>
            </w:placeholder>
          </w:sdtPr>
          <w:sdtEndPr/>
          <w:sdtContent>
            <w:tc>
              <w:tcPr>
                <w:tcW w:w="4111" w:type="dxa"/>
                <w:gridSpan w:val="2"/>
                <w:tcBorders>
                  <w:top w:val="single" w:sz="6" w:space="0" w:color="auto"/>
                  <w:bottom w:val="single" w:sz="6" w:space="0" w:color="auto"/>
                </w:tcBorders>
              </w:tcPr>
              <w:p w14:paraId="4C78E534" w14:textId="2DB533D9" w:rsidR="00691C94" w:rsidRDefault="00691C94" w:rsidP="00691C94">
                <w:r>
                  <w:t>Tel: +</w:t>
                </w:r>
                <w:r w:rsidR="002F45E1">
                  <w:t>49 30 8353 58465</w:t>
                </w:r>
                <w:r>
                  <w:br/>
                  <w:t>Fax: +</w:t>
                </w:r>
                <w:r w:rsidR="002F45E1">
                  <w:t>49 30 8353 58409</w:t>
                </w:r>
                <w:r>
                  <w:br/>
                  <w:t xml:space="preserve">E-mail: </w:t>
                </w:r>
                <w:r w:rsidR="002F45E1">
                  <w:t>sebastian.moeller@tu-berlin.de</w:t>
                </w:r>
              </w:p>
            </w:tc>
          </w:sdtContent>
        </w:sdt>
      </w:tr>
    </w:tbl>
    <w:p w14:paraId="1AA96A45" w14:textId="77777777" w:rsidR="0089088E" w:rsidRPr="001E3DF0" w:rsidRDefault="0089088E" w:rsidP="0089088E">
      <w:pPr>
        <w:rPr>
          <w:lang w:val="de-D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C3C9F">
            <w:pPr>
              <w:rPr>
                <w:b/>
                <w:bCs/>
              </w:rPr>
            </w:pPr>
            <w:r w:rsidRPr="008F7104">
              <w:rPr>
                <w:b/>
                <w:bCs/>
              </w:rPr>
              <w:t>Keywords:</w:t>
            </w:r>
          </w:p>
        </w:tc>
        <w:tc>
          <w:tcPr>
            <w:tcW w:w="8222" w:type="dxa"/>
          </w:tcPr>
          <w:p w14:paraId="75E3B1EF" w14:textId="437559FE" w:rsidR="0089088E" w:rsidRDefault="003D2678" w:rsidP="00EC3C9F">
            <w:r>
              <w:t xml:space="preserve">Quality prediction; perceptual quality dimensions; noisiness; </w:t>
            </w:r>
            <w:r w:rsidR="00D779E8">
              <w:t xml:space="preserve">directness; spectral </w:t>
            </w:r>
            <w:r>
              <w:t>coloration; discontinuity; loudness</w:t>
            </w:r>
          </w:p>
        </w:tc>
      </w:tr>
      <w:tr w:rsidR="0089088E" w:rsidRPr="0037415F" w14:paraId="7D0F8B1C" w14:textId="77777777" w:rsidTr="00D57D7F">
        <w:trPr>
          <w:cantSplit/>
          <w:jc w:val="center"/>
        </w:trPr>
        <w:tc>
          <w:tcPr>
            <w:tcW w:w="1418" w:type="dxa"/>
          </w:tcPr>
          <w:p w14:paraId="72CA09B8" w14:textId="77777777" w:rsidR="0089088E" w:rsidRPr="008F7104" w:rsidRDefault="0089088E" w:rsidP="00EC3C9F">
            <w:pPr>
              <w:rPr>
                <w:b/>
                <w:bCs/>
              </w:rPr>
            </w:pPr>
            <w:r w:rsidRPr="008F7104">
              <w:rPr>
                <w:b/>
                <w:bCs/>
              </w:rPr>
              <w:t>Abstract:</w:t>
            </w:r>
          </w:p>
        </w:tc>
        <w:tc>
          <w:tcPr>
            <w:tcW w:w="8222" w:type="dxa"/>
          </w:tcPr>
          <w:p w14:paraId="4BE3CBD5" w14:textId="47EEDC39" w:rsidR="0089088E" w:rsidRDefault="0000705F" w:rsidP="00EC3C9F">
            <w:r>
              <w:t>This contribution provides a first draft text for the future Recommendation P.AMD describing models to predict perceptual dimensions of degradations linked to the overall speech quality in narrowband to fullband telecommunication scenarios. The models aim at providing more detailed information about individual quality dimensions as additional information to the P.863 overall MOS. Perceptual dimensions of degradations may originate from all speech processing components usually considered for telecommunications in clean and noisy conditions. The models predict these dimensions as they are assessed in a listening-only test context.</w:t>
            </w:r>
            <w:r>
              <w:br/>
              <w:t>In contrast to what was stated in the Requirement Specification, there is only one fullband mode for P.AMD. This mode is compatible with the fullband mode of P.863.</w:t>
            </w:r>
          </w:p>
        </w:tc>
      </w:tr>
    </w:tbl>
    <w:p w14:paraId="58589E1E" w14:textId="7B2A27FA" w:rsidR="0089088E" w:rsidRDefault="0089088E" w:rsidP="0089088E"/>
    <w:p w14:paraId="7DDD8D77" w14:textId="31D6D9ED" w:rsidR="002F45E1" w:rsidRPr="00EC2A42" w:rsidRDefault="002F45E1" w:rsidP="002F45E1">
      <w:pPr>
        <w:pStyle w:val="RecNo"/>
      </w:pPr>
      <w:r w:rsidRPr="00EC2A42">
        <w:t xml:space="preserve">Recommendation </w:t>
      </w:r>
      <w:r>
        <w:t xml:space="preserve">ITU-T </w:t>
      </w:r>
      <w:r w:rsidR="003D2678">
        <w:t>P.AMD</w:t>
      </w:r>
    </w:p>
    <w:p w14:paraId="3789055E" w14:textId="0C68BECF" w:rsidR="002F45E1" w:rsidRPr="0043786F" w:rsidRDefault="007313F5" w:rsidP="002F45E1">
      <w:pPr>
        <w:pStyle w:val="Rectitle"/>
      </w:pPr>
      <w:r w:rsidRPr="007313F5">
        <w:t>Extension of P.863 for multi-dimensional assessment of degradations</w:t>
      </w:r>
      <w:r>
        <w:br/>
      </w:r>
      <w:r w:rsidRPr="007313F5">
        <w:t>in telephony speech signals up to full-band</w:t>
      </w:r>
    </w:p>
    <w:p w14:paraId="1E9FB9CC" w14:textId="77777777" w:rsidR="002F45E1" w:rsidRPr="00EC2A42" w:rsidRDefault="002F45E1" w:rsidP="002F45E1">
      <w:pPr>
        <w:pStyle w:val="Headingb"/>
      </w:pPr>
      <w:r w:rsidRPr="00EC2A42">
        <w:t>Summary</w:t>
      </w:r>
    </w:p>
    <w:p w14:paraId="26543F3A" w14:textId="0798FB07" w:rsidR="00435E48" w:rsidRDefault="00D70F6A" w:rsidP="009219E5">
      <w:pPr>
        <w:jc w:val="both"/>
      </w:pPr>
      <w:r w:rsidRPr="002F027B">
        <w:t>Recommendation ITU-T P.</w:t>
      </w:r>
      <w:r>
        <w:t>AMD</w:t>
      </w:r>
      <w:r w:rsidRPr="002F027B">
        <w:t xml:space="preserve"> describes </w:t>
      </w:r>
      <w:r>
        <w:t>a set of models</w:t>
      </w:r>
      <w:r w:rsidRPr="002F027B">
        <w:t xml:space="preserve"> for predicting </w:t>
      </w:r>
      <w:r>
        <w:t xml:space="preserve">perceptual dimensions of degradations linked to the </w:t>
      </w:r>
      <w:r w:rsidRPr="002F027B">
        <w:t>overall speech quality</w:t>
      </w:r>
      <w:r>
        <w:t xml:space="preserve"> from narrowband (NB) (300 to 3 </w:t>
      </w:r>
      <w:r w:rsidRPr="002F027B">
        <w:t>400</w:t>
      </w:r>
      <w:r>
        <w:t> Hz) to fullband (FB) (20 to 20 </w:t>
      </w:r>
      <w:r w:rsidRPr="002F027B">
        <w:t>000 Hz) telecommunication scenarios</w:t>
      </w:r>
      <w:r>
        <w:t xml:space="preserve">. </w:t>
      </w:r>
      <w:r w:rsidR="00435E48">
        <w:t>The predictions target user judgments on four perceptual dimensions,</w:t>
      </w:r>
      <w:r w:rsidRPr="002F027B">
        <w:t xml:space="preserve"> as </w:t>
      </w:r>
      <w:r w:rsidR="00435E48">
        <w:t>obtained in a subjective test described in Annex I to this Recommendation</w:t>
      </w:r>
      <w:r w:rsidRPr="002F027B">
        <w:t>.</w:t>
      </w:r>
    </w:p>
    <w:p w14:paraId="70A787FF" w14:textId="296CCA24" w:rsidR="002F45E1" w:rsidRPr="00EC2A42" w:rsidRDefault="00435E48" w:rsidP="009219E5">
      <w:pPr>
        <w:jc w:val="both"/>
      </w:pPr>
      <w:r>
        <w:t xml:space="preserve">The models described in this Recommendation are partially based on internal parameters of the model given in ITU-T Rec. P.863. </w:t>
      </w:r>
      <w:r w:rsidR="00D70F6A" w:rsidRPr="002F027B">
        <w:t xml:space="preserve">This Recommendation presents a </w:t>
      </w:r>
      <w:r>
        <w:t>detailed description of all model parts which are not contained in ITU-T Rec. P.863.</w:t>
      </w:r>
      <w:r w:rsidR="00D70F6A" w:rsidRPr="002F027B">
        <w:t xml:space="preserve"> A conformance testing procedure is also specified in Annex </w:t>
      </w:r>
      <w:r w:rsidR="00EF08ED">
        <w:t>B</w:t>
      </w:r>
      <w:r w:rsidR="00EF08ED" w:rsidRPr="002F027B">
        <w:t xml:space="preserve"> </w:t>
      </w:r>
      <w:r w:rsidR="00D70F6A" w:rsidRPr="002F027B">
        <w:t>to allow a user to validate that an alternative implementation of the model</w:t>
      </w:r>
      <w:r>
        <w:t>s</w:t>
      </w:r>
      <w:r w:rsidR="00D70F6A" w:rsidRPr="002F027B">
        <w:t xml:space="preserve"> is correct.</w:t>
      </w:r>
    </w:p>
    <w:p w14:paraId="66192703" w14:textId="77777777" w:rsidR="002F45E1" w:rsidRPr="00EC2A42" w:rsidRDefault="002F45E1" w:rsidP="002F45E1">
      <w:pPr>
        <w:pStyle w:val="Headingb"/>
      </w:pPr>
      <w:r w:rsidRPr="00EC2A42">
        <w:lastRenderedPageBreak/>
        <w:t>Keywords</w:t>
      </w:r>
    </w:p>
    <w:p w14:paraId="6DFA9526" w14:textId="19A6314A" w:rsidR="002F45E1" w:rsidRPr="00EC2A42" w:rsidRDefault="000151A9" w:rsidP="002F45E1">
      <w:r>
        <w:t>Quality prediction; perceptual quality dimensions; noisiness; directness; spectral coloration; discontinuity; loudness</w:t>
      </w:r>
    </w:p>
    <w:p w14:paraId="4138C4B2" w14:textId="77777777" w:rsidR="002F45E1" w:rsidRPr="00EC2A42" w:rsidRDefault="002F45E1" w:rsidP="002F45E1">
      <w:pPr>
        <w:pStyle w:val="Headingb"/>
      </w:pPr>
      <w:r w:rsidRPr="00EC2A42">
        <w:t>Introduction</w:t>
      </w:r>
    </w:p>
    <w:p w14:paraId="39DEBE1A" w14:textId="1FFA5BE3" w:rsidR="002F45E1" w:rsidRDefault="000A135D" w:rsidP="005A30C8">
      <w:pPr>
        <w:jc w:val="both"/>
      </w:pPr>
      <w:r>
        <w:t>ITU-</w:t>
      </w:r>
      <w:r w:rsidR="000151A9">
        <w:t>T</w:t>
      </w:r>
      <w:r>
        <w:t xml:space="preserve"> Recommendation P.AMD describes a set of four models predicting perceptual dimensions of degradations linked to the overall speech quality in narrowband to fullband telecommunication scenarios. In contrast to the model described in ITU-T Rec. P.863, the aim is not to predict a one-dimensional score for the overall quality, but rather to decompose the </w:t>
      </w:r>
      <w:r w:rsidR="00EC3C9F">
        <w:t xml:space="preserve">perceived </w:t>
      </w:r>
      <w:r>
        <w:t xml:space="preserve">quality into four perceptual dimensions, termed </w:t>
      </w:r>
      <w:r w:rsidR="00FE1238">
        <w:t>“</w:t>
      </w:r>
      <w:r>
        <w:t>coloration</w:t>
      </w:r>
      <w:r w:rsidR="00FE1238">
        <w:t>”</w:t>
      </w:r>
      <w:r>
        <w:t xml:space="preserve">, </w:t>
      </w:r>
      <w:r w:rsidR="00FE1238">
        <w:t>“</w:t>
      </w:r>
      <w:r>
        <w:t>discontinuity</w:t>
      </w:r>
      <w:r w:rsidR="00FE1238">
        <w:t>”</w:t>
      </w:r>
      <w:r>
        <w:t xml:space="preserve">, </w:t>
      </w:r>
      <w:r w:rsidR="00FE1238">
        <w:t>“</w:t>
      </w:r>
      <w:r>
        <w:t>noisiness</w:t>
      </w:r>
      <w:r w:rsidR="00FE1238">
        <w:t>”</w:t>
      </w:r>
      <w:r>
        <w:t xml:space="preserve">, and </w:t>
      </w:r>
      <w:r w:rsidR="00FE1238">
        <w:t>“</w:t>
      </w:r>
      <w:r>
        <w:t>sub-optimum loudness</w:t>
      </w:r>
      <w:r w:rsidR="00FE1238">
        <w:t>”</w:t>
      </w:r>
      <w:r>
        <w:t>.</w:t>
      </w:r>
      <w:r w:rsidR="000151A9">
        <w:t xml:space="preserve"> The targeted dimensions reflect user judgments obtained in listening-only tests carried out in accordance to Annex </w:t>
      </w:r>
      <w:r w:rsidR="00EF08ED">
        <w:t xml:space="preserve">A </w:t>
      </w:r>
      <w:r w:rsidR="000151A9">
        <w:t>of this Recommendation; in contrast to the seven dimensions listed in ITU-T Rec. P.806, four perceptual dimensions are targeted here.</w:t>
      </w:r>
    </w:p>
    <w:p w14:paraId="6CF8DE9F" w14:textId="2BEB2FE7" w:rsidR="000151A9" w:rsidRPr="00EC2A42" w:rsidRDefault="000151A9" w:rsidP="005A30C8">
      <w:pPr>
        <w:jc w:val="both"/>
      </w:pPr>
      <w:r>
        <w:t>The models partially make use of internal parameters of the P.863 model; thus, the implementation of the models should be performed in accordance with that Recommendation.</w:t>
      </w:r>
    </w:p>
    <w:p w14:paraId="312FB254" w14:textId="77777777" w:rsidR="002F45E1" w:rsidRPr="00EC2A42" w:rsidRDefault="002F45E1" w:rsidP="002F45E1">
      <w:pPr>
        <w:pStyle w:val="Heading1"/>
      </w:pPr>
      <w:r w:rsidRPr="00EC2A42">
        <w:t>1</w:t>
      </w:r>
      <w:r w:rsidRPr="00EC2A42">
        <w:tab/>
        <w:t>Scope</w:t>
      </w:r>
    </w:p>
    <w:p w14:paraId="0DD913EA" w14:textId="13726CCD" w:rsidR="002F45E1" w:rsidRDefault="0043786F" w:rsidP="005A30C8">
      <w:pPr>
        <w:jc w:val="both"/>
      </w:pPr>
      <w:r>
        <w:t>The purpose of the models described in this recommendation is to predict perceptual dimensions of degradations linked to the overall speech quality in narrowband</w:t>
      </w:r>
      <w:r w:rsidR="00347519">
        <w:t xml:space="preserve"> to fullband</w:t>
      </w:r>
      <w:r>
        <w:t xml:space="preserve"> telecommunication scenarios. The models aim at providing </w:t>
      </w:r>
      <w:r w:rsidRPr="0098496A">
        <w:t>more detailed information about individual quality dimensions as additional information to the P.</w:t>
      </w:r>
      <w:r>
        <w:t>863</w:t>
      </w:r>
      <w:r w:rsidRPr="0098496A">
        <w:t xml:space="preserve"> overall MOS.</w:t>
      </w:r>
      <w:r>
        <w:t xml:space="preserve"> Perceptual dimensions of degradations may originate from all speech processing components usually considered for telecommunications in clean and noisy conditions. The models predict these dimensions as they are assessed in a listening-only test context</w:t>
      </w:r>
      <w:r w:rsidR="007F0E48">
        <w:t>, in accordance with Annex I to this Recommendation.</w:t>
      </w:r>
    </w:p>
    <w:p w14:paraId="28749099" w14:textId="5EBCF867" w:rsidR="00AD1969" w:rsidRDefault="00AD1969" w:rsidP="005A30C8">
      <w:pPr>
        <w:jc w:val="both"/>
      </w:pPr>
      <w:r>
        <w:t xml:space="preserve">In contrast to ITU-T Recommendation P.863, the models </w:t>
      </w:r>
      <w:r w:rsidR="007F0E48">
        <w:t xml:space="preserve">described in this Recommendation </w:t>
      </w:r>
      <w:r>
        <w:t>show only one operational mode, in which degraded</w:t>
      </w:r>
      <w:r w:rsidR="007F0E48">
        <w:t xml:space="preserve"> speech samples are scored against a fullband reference signal and predict the perceptual dimension scores on a corresponding scale.</w:t>
      </w:r>
      <w:r>
        <w:t xml:space="preserve"> The models provide an estimation of the “</w:t>
      </w:r>
      <w:r w:rsidR="00F3519B">
        <w:t>C</w:t>
      </w:r>
      <w:r>
        <w:t>oloration”, “</w:t>
      </w:r>
      <w:r w:rsidR="00F3519B">
        <w:t>D</w:t>
      </w:r>
      <w:r>
        <w:t>iscontinuity”, “</w:t>
      </w:r>
      <w:r w:rsidR="00F3519B">
        <w:t>N</w:t>
      </w:r>
      <w:r>
        <w:t>oisiness” and “</w:t>
      </w:r>
      <w:r w:rsidR="00F3519B">
        <w:t>S</w:t>
      </w:r>
      <w:r>
        <w:t xml:space="preserve">ub-optimum </w:t>
      </w:r>
      <w:r w:rsidR="00F3519B">
        <w:t>L</w:t>
      </w:r>
      <w:r>
        <w:t>oudness” of the degraded speech sample.</w:t>
      </w:r>
      <w:r w:rsidR="007313F5">
        <w:t xml:space="preserve"> These four dimensions are not identical to the seven dimensions listed in ITU-T Rec. P.806</w:t>
      </w:r>
      <w:r w:rsidR="00EF08ED">
        <w:t>. Instead, the four dimensions predicted by the models described in this Recommendation target subjective judgments obtained in a test carried out according to Annex A.</w:t>
      </w:r>
    </w:p>
    <w:p w14:paraId="1BCBE9CF" w14:textId="77777777" w:rsidR="00F3519B" w:rsidRDefault="00F3519B" w:rsidP="005A30C8">
      <w:pPr>
        <w:jc w:val="both"/>
      </w:pPr>
      <w:r>
        <w:t xml:space="preserve">The term </w:t>
      </w:r>
      <w:r>
        <w:rPr>
          <w:i/>
        </w:rPr>
        <w:t>'telecommunication scenario'</w:t>
      </w:r>
      <w:r>
        <w:t xml:space="preserve"> as mentioned above covers all transmission technologies in today’s </w:t>
      </w:r>
    </w:p>
    <w:p w14:paraId="78D55DE6" w14:textId="77777777" w:rsidR="00F3519B" w:rsidRDefault="00F3519B" w:rsidP="005A30C8">
      <w:pPr>
        <w:numPr>
          <w:ilvl w:val="0"/>
          <w:numId w:val="13"/>
        </w:numPr>
        <w:tabs>
          <w:tab w:val="left" w:pos="794"/>
          <w:tab w:val="left" w:pos="1191"/>
          <w:tab w:val="left" w:pos="1588"/>
          <w:tab w:val="left" w:pos="1985"/>
        </w:tabs>
        <w:overflowPunct w:val="0"/>
        <w:autoSpaceDE w:val="0"/>
        <w:autoSpaceDN w:val="0"/>
        <w:adjustRightInd w:val="0"/>
        <w:jc w:val="both"/>
        <w:textAlignment w:val="baseline"/>
      </w:pPr>
      <w:r>
        <w:t xml:space="preserve">Public switched networks (e.g. fixed wire PSTN, GSM, WCDMA, CDMA, VoLTE, VoNR,…), </w:t>
      </w:r>
    </w:p>
    <w:p w14:paraId="2C802722" w14:textId="5F35E30E" w:rsidR="00F3519B" w:rsidRDefault="00F3519B" w:rsidP="005A30C8">
      <w:pPr>
        <w:numPr>
          <w:ilvl w:val="0"/>
          <w:numId w:val="13"/>
        </w:numPr>
        <w:tabs>
          <w:tab w:val="left" w:pos="794"/>
          <w:tab w:val="left" w:pos="1191"/>
          <w:tab w:val="left" w:pos="1588"/>
          <w:tab w:val="left" w:pos="1985"/>
        </w:tabs>
        <w:overflowPunct w:val="0"/>
        <w:autoSpaceDE w:val="0"/>
        <w:autoSpaceDN w:val="0"/>
        <w:adjustRightInd w:val="0"/>
        <w:jc w:val="both"/>
        <w:textAlignment w:val="baseline"/>
      </w:pPr>
      <w:r>
        <w:t xml:space="preserve">Push-over-Cellular, Voice over IP and PSTN-to-VoIP interconnections, </w:t>
      </w:r>
      <w:r w:rsidR="004539CE">
        <w:t>TETRA</w:t>
      </w:r>
      <w:r>
        <w:t xml:space="preserve"> and </w:t>
      </w:r>
    </w:p>
    <w:p w14:paraId="4B6A1074" w14:textId="77777777" w:rsidR="00F3519B" w:rsidRDefault="00F3519B" w:rsidP="005A30C8">
      <w:pPr>
        <w:numPr>
          <w:ilvl w:val="0"/>
          <w:numId w:val="13"/>
        </w:numPr>
        <w:tabs>
          <w:tab w:val="left" w:pos="794"/>
          <w:tab w:val="left" w:pos="1191"/>
          <w:tab w:val="left" w:pos="1588"/>
          <w:tab w:val="left" w:pos="1985"/>
        </w:tabs>
        <w:overflowPunct w:val="0"/>
        <w:autoSpaceDE w:val="0"/>
        <w:autoSpaceDN w:val="0"/>
        <w:adjustRightInd w:val="0"/>
        <w:jc w:val="both"/>
        <w:textAlignment w:val="baseline"/>
      </w:pPr>
      <w:r>
        <w:t>Commonly used speech processing components (e.g. codecs, noise reduction systems, adaptive gain control, comfort noise and other types of voice enhancement devices) and their combinations.</w:t>
      </w:r>
    </w:p>
    <w:p w14:paraId="3F060875" w14:textId="1751B6AA" w:rsidR="00F3519B" w:rsidRDefault="00F3519B" w:rsidP="005A30C8">
      <w:pPr>
        <w:jc w:val="both"/>
      </w:pPr>
      <w:r>
        <w:t>In addition to the commonly used ITU-T and ETSI speech codecs other coding technologies as defined by 3GPP2 and used in CDMA networks have been considered in the training and selection data. Further</w:t>
      </w:r>
      <w:r>
        <w:softHyphen/>
        <w:t xml:space="preserve">more, codecs used in broadcasting services with </w:t>
      </w:r>
      <w:r w:rsidR="00DF452D">
        <w:t>speech-based</w:t>
      </w:r>
      <w:r>
        <w:t xml:space="preserve"> </w:t>
      </w:r>
      <w:r w:rsidRPr="008815E6">
        <w:t xml:space="preserve">contents </w:t>
      </w:r>
      <w:r w:rsidR="008815E6" w:rsidRPr="008815E6">
        <w:t>have</w:t>
      </w:r>
      <w:r w:rsidRPr="008815E6">
        <w:t xml:space="preserve"> also be</w:t>
      </w:r>
      <w:r w:rsidR="008815E6" w:rsidRPr="008815E6">
        <w:t>en</w:t>
      </w:r>
      <w:r w:rsidRPr="008815E6">
        <w:t xml:space="preserve"> taken into account, as e.g</w:t>
      </w:r>
      <w:r>
        <w:t>. MP3 or AAC.</w:t>
      </w:r>
    </w:p>
    <w:p w14:paraId="62477798" w14:textId="5F6DD734" w:rsidR="00F3519B" w:rsidRDefault="00F3519B" w:rsidP="005A30C8">
      <w:pPr>
        <w:jc w:val="both"/>
      </w:pPr>
      <w:r>
        <w:t>Other technologies or components such as speech storage formats or non-telephony applications such as public safety networks or professional mobile radio connections have not been assessed for the described models, and are thus out of scope of the present Recommendation.</w:t>
      </w:r>
    </w:p>
    <w:p w14:paraId="13E5BE4F" w14:textId="4070A6D0" w:rsidR="00803025" w:rsidRPr="00F3519B" w:rsidRDefault="00803025" w:rsidP="005A30C8">
      <w:pPr>
        <w:jc w:val="both"/>
      </w:pPr>
      <w:r>
        <w:t xml:space="preserve">ITU-T Recommendation P.863 lists in Tables 1-4 test factors, coding technologies and applications to which that Recommendation applies, either in the sense that they have been included in the </w:t>
      </w:r>
      <w:r>
        <w:lastRenderedPageBreak/>
        <w:t xml:space="preserve">requirement specification and have been tested accordingly, that they are not intended to be used with, or that further investigation or validation is necessary. Unless specified otherwise in this Recommendation, the limitations in ITU-T Rec. P.863 also apply to the models specified in this Recommendation, as they are partially based on internal parameters of the P.863 model.  </w:t>
      </w:r>
    </w:p>
    <w:p w14:paraId="79C30515" w14:textId="2D18430E" w:rsidR="007F0E48" w:rsidRDefault="007F0E48" w:rsidP="005A30C8">
      <w:pPr>
        <w:jc w:val="both"/>
      </w:pPr>
      <w:r>
        <w:t xml:space="preserve">The consideration of the acoustical path to and from (acoustical insertion / acoustical capturing) an actually used terminal </w:t>
      </w:r>
      <w:r w:rsidR="00AD1969">
        <w:t xml:space="preserve">may affect the coloration and/or noisiness of the degraded signal, and </w:t>
      </w:r>
      <w:r>
        <w:t xml:space="preserve">is foreseen by the described model. The </w:t>
      </w:r>
      <w:r w:rsidR="00AD1969">
        <w:t xml:space="preserve">score targeted by the prediction of the model stems from a diotical </w:t>
      </w:r>
      <w:r>
        <w:t xml:space="preserve">presentation </w:t>
      </w:r>
      <w:r w:rsidR="00AD1969">
        <w:t>of</w:t>
      </w:r>
      <w:r>
        <w:t xml:space="preserve"> a mono-signal, meaning </w:t>
      </w:r>
      <w:r w:rsidR="00D07160">
        <w:t xml:space="preserve">that </w:t>
      </w:r>
      <w:r>
        <w:t>the same signal is played out at each ear</w:t>
      </w:r>
      <w:r w:rsidR="00AD1969">
        <w:t xml:space="preserve"> in the listening context which the model tries to predict.</w:t>
      </w:r>
    </w:p>
    <w:p w14:paraId="03AA7FB9" w14:textId="65E77A85" w:rsidR="007F0E48" w:rsidRDefault="00F3519B" w:rsidP="005A30C8">
      <w:pPr>
        <w:jc w:val="both"/>
      </w:pPr>
      <w:r>
        <w:t>D</w:t>
      </w:r>
      <w:r w:rsidR="007F0E48">
        <w:t xml:space="preserve">imensions of speech quality </w:t>
      </w:r>
      <w:r>
        <w:t xml:space="preserve">which cannot be assessed in a listening-only context, </w:t>
      </w:r>
      <w:r w:rsidR="007F0E48">
        <w:t>such as conversational aspects and talking quality</w:t>
      </w:r>
      <w:r>
        <w:t>,</w:t>
      </w:r>
      <w:r w:rsidR="007F0E48">
        <w:t xml:space="preserve"> are not within the scope of this Recommendation. The described model considers noises and their influence on perceptual quality dimensions in a listening-only context similar to the one described in P.800 (test cabinet specifications, etc.)</w:t>
      </w:r>
      <w:r w:rsidR="007F0E48" w:rsidRPr="00036326">
        <w:t xml:space="preserve">. The prediction of quality as it can be perceived in a noisy listening environment and the related binaural effects are not in the scope of </w:t>
      </w:r>
      <w:r>
        <w:t>this Recommendation</w:t>
      </w:r>
      <w:r w:rsidR="007F0E48" w:rsidRPr="00036326">
        <w:t>.</w:t>
      </w:r>
    </w:p>
    <w:p w14:paraId="2465E086" w14:textId="19BBAB98" w:rsidR="007F0E48" w:rsidRDefault="007F0E48" w:rsidP="005A30C8">
      <w:pPr>
        <w:jc w:val="both"/>
      </w:pPr>
      <w:r>
        <w:t xml:space="preserve">Non-steady, fluctuating noises can be seen as degradations on the Discontinuity scale. </w:t>
      </w:r>
      <w:r>
        <w:rPr>
          <w:rStyle w:val="FootnoteReference"/>
        </w:rPr>
        <w:footnoteReference w:id="1"/>
      </w:r>
    </w:p>
    <w:p w14:paraId="67B6A5F9" w14:textId="7228AA25" w:rsidR="007F0E48" w:rsidRPr="00EC2A42" w:rsidRDefault="007F0E48" w:rsidP="005A30C8">
      <w:pPr>
        <w:jc w:val="both"/>
      </w:pPr>
      <w:r>
        <w:t xml:space="preserve">As is the case for P.862 and P.863, the approach of </w:t>
      </w:r>
      <w:r w:rsidR="00DB71B1">
        <w:t xml:space="preserve">the models </w:t>
      </w:r>
      <w:r w:rsidR="0009419E">
        <w:t xml:space="preserve">described in this Recommendation </w:t>
      </w:r>
      <w:r>
        <w:t>is called ‘full-reference’ or ‘double-ended’, which means that the quality prediction is based on the comparison between an undistorted reference signal and the received signal to be scored.</w:t>
      </w:r>
    </w:p>
    <w:p w14:paraId="5BDDB1DA" w14:textId="77777777" w:rsidR="002F45E1" w:rsidRPr="00EC2A42" w:rsidRDefault="002F45E1" w:rsidP="002F45E1">
      <w:pPr>
        <w:pStyle w:val="Heading1"/>
      </w:pPr>
      <w:r w:rsidRPr="00EC2A42">
        <w:t>2</w:t>
      </w:r>
      <w:r w:rsidRPr="00EC2A42">
        <w:tab/>
        <w:t>References</w:t>
      </w:r>
    </w:p>
    <w:p w14:paraId="62FCDAB9" w14:textId="77777777" w:rsidR="002F45E1" w:rsidRPr="00EC2A42" w:rsidRDefault="002F45E1" w:rsidP="005A30C8">
      <w:pPr>
        <w:jc w:val="both"/>
      </w:pPr>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A0DB18C" w14:textId="0CD1642F" w:rsidR="00803025" w:rsidRPr="00CC77FD" w:rsidRDefault="00803025" w:rsidP="00803025">
      <w:pPr>
        <w:pStyle w:val="Reftext"/>
        <w:tabs>
          <w:tab w:val="left" w:pos="1985"/>
        </w:tabs>
        <w:ind w:left="2127" w:hanging="2127"/>
      </w:pPr>
      <w:r w:rsidRPr="00CC77FD">
        <w:t>[ITU-T G.191]</w:t>
      </w:r>
      <w:r>
        <w:tab/>
      </w:r>
      <w:r w:rsidRPr="00CC77FD">
        <w:tab/>
        <w:t>Recommendation ITU-T G.191 (201</w:t>
      </w:r>
      <w:r w:rsidR="00DC705C">
        <w:t>9</w:t>
      </w:r>
      <w:r w:rsidRPr="00CC77FD">
        <w:t xml:space="preserve">), </w:t>
      </w:r>
      <w:r w:rsidRPr="00CC77FD">
        <w:rPr>
          <w:i/>
          <w:iCs/>
        </w:rPr>
        <w:t>Software tools for speech and audio coding standardization</w:t>
      </w:r>
      <w:r w:rsidRPr="00EC46E9">
        <w:rPr>
          <w:iCs/>
        </w:rPr>
        <w:t>.</w:t>
      </w:r>
    </w:p>
    <w:p w14:paraId="52963492" w14:textId="3C834404" w:rsidR="00E372CE" w:rsidRPr="00CC77FD" w:rsidRDefault="00E372CE" w:rsidP="00E372CE">
      <w:pPr>
        <w:pStyle w:val="Reftext"/>
        <w:tabs>
          <w:tab w:val="left" w:pos="1985"/>
        </w:tabs>
        <w:ind w:left="2127" w:hanging="2127"/>
      </w:pPr>
      <w:r w:rsidRPr="00CC77FD">
        <w:t xml:space="preserve">[ITU-T </w:t>
      </w:r>
      <w:r>
        <w:t>O.41</w:t>
      </w:r>
      <w:r w:rsidRPr="00CC77FD">
        <w:t>]</w:t>
      </w:r>
      <w:r w:rsidRPr="00CC77FD">
        <w:tab/>
      </w:r>
      <w:r>
        <w:tab/>
      </w:r>
      <w:r w:rsidRPr="00CC77FD">
        <w:t xml:space="preserve">Recommendation ITU-T </w:t>
      </w:r>
      <w:r>
        <w:t>O.41 (1994</w:t>
      </w:r>
      <w:r w:rsidRPr="00CC77FD">
        <w:t xml:space="preserve">), </w:t>
      </w:r>
      <w:r w:rsidRPr="00E372CE">
        <w:rPr>
          <w:i/>
          <w:iCs/>
        </w:rPr>
        <w:t>Psophometer for use on telephone-type circuits</w:t>
      </w:r>
      <w:r w:rsidRPr="00EC46E9">
        <w:rPr>
          <w:iCs/>
        </w:rPr>
        <w:t>.</w:t>
      </w:r>
    </w:p>
    <w:p w14:paraId="0A6128D2" w14:textId="77777777" w:rsidR="00803025" w:rsidRPr="00CC77FD" w:rsidRDefault="00803025" w:rsidP="00803025">
      <w:pPr>
        <w:pStyle w:val="Reftext"/>
        <w:tabs>
          <w:tab w:val="left" w:pos="1985"/>
        </w:tabs>
        <w:ind w:left="2127" w:hanging="2127"/>
      </w:pPr>
      <w:r w:rsidRPr="00CC77FD">
        <w:t>[ITU-T P.10]</w:t>
      </w:r>
      <w:r w:rsidRPr="00CC77FD">
        <w:tab/>
      </w:r>
      <w:r>
        <w:tab/>
      </w:r>
      <w:r w:rsidRPr="00CC77FD">
        <w:t>Recommendation ITU-T P.10/G.100 (20</w:t>
      </w:r>
      <w:r>
        <w:t>17</w:t>
      </w:r>
      <w:r w:rsidRPr="00CC77FD">
        <w:t xml:space="preserve">), </w:t>
      </w:r>
      <w:r w:rsidRPr="00CC77FD">
        <w:rPr>
          <w:i/>
          <w:iCs/>
        </w:rPr>
        <w:t>Vocabulary for performance and quality of service</w:t>
      </w:r>
      <w:r w:rsidRPr="00EC46E9">
        <w:rPr>
          <w:iCs/>
        </w:rPr>
        <w:t>.</w:t>
      </w:r>
    </w:p>
    <w:p w14:paraId="4C67C0E0" w14:textId="0D0412B5" w:rsidR="00803025" w:rsidRPr="00CC77FD" w:rsidRDefault="00803025" w:rsidP="00803025">
      <w:pPr>
        <w:pStyle w:val="Reftext"/>
        <w:tabs>
          <w:tab w:val="left" w:pos="1985"/>
        </w:tabs>
        <w:ind w:left="2127" w:hanging="2127"/>
      </w:pPr>
      <w:r w:rsidRPr="00CC77FD">
        <w:t>[ITU-T P.56]</w:t>
      </w:r>
      <w:r w:rsidRPr="00CC77FD">
        <w:tab/>
      </w:r>
      <w:r>
        <w:tab/>
      </w:r>
      <w:r w:rsidRPr="00CC77FD">
        <w:t>Recommendation ITU-T P.56 (</w:t>
      </w:r>
      <w:r w:rsidR="00DC705C">
        <w:t>2011</w:t>
      </w:r>
      <w:r w:rsidRPr="003844E9">
        <w:t>),</w:t>
      </w:r>
      <w:r w:rsidRPr="00CC77FD">
        <w:rPr>
          <w:i/>
          <w:iCs/>
        </w:rPr>
        <w:t xml:space="preserve"> Objective measurement of active speech level</w:t>
      </w:r>
      <w:r w:rsidRPr="00EC46E9">
        <w:rPr>
          <w:iCs/>
        </w:rPr>
        <w:t>.</w:t>
      </w:r>
    </w:p>
    <w:p w14:paraId="435F413E" w14:textId="77777777" w:rsidR="00803025" w:rsidRPr="00CC77FD" w:rsidRDefault="00803025" w:rsidP="00803025">
      <w:pPr>
        <w:pStyle w:val="Reftext"/>
        <w:tabs>
          <w:tab w:val="left" w:pos="1985"/>
        </w:tabs>
        <w:ind w:left="2127" w:hanging="2127"/>
      </w:pPr>
      <w:r w:rsidRPr="00CC77FD">
        <w:t>[ITU-T P.340]</w:t>
      </w:r>
      <w:r w:rsidRPr="00CC77FD">
        <w:tab/>
      </w:r>
      <w:r>
        <w:tab/>
      </w:r>
      <w:r w:rsidRPr="00CC77FD">
        <w:t xml:space="preserve">Recommendation ITU-T P.340 (2000), </w:t>
      </w:r>
      <w:r w:rsidRPr="00CC77FD">
        <w:rPr>
          <w:i/>
          <w:iCs/>
        </w:rPr>
        <w:t>Transmission characteristics and speech quality parameters of hands-free terminals</w:t>
      </w:r>
      <w:r w:rsidRPr="00EC46E9">
        <w:rPr>
          <w:iCs/>
        </w:rPr>
        <w:t>.</w:t>
      </w:r>
    </w:p>
    <w:p w14:paraId="745BB1E9" w14:textId="12E8BEEB" w:rsidR="00803025" w:rsidRPr="00CC77FD" w:rsidRDefault="00803025" w:rsidP="00803025">
      <w:pPr>
        <w:pStyle w:val="Reftext"/>
        <w:tabs>
          <w:tab w:val="left" w:pos="1985"/>
        </w:tabs>
        <w:ind w:left="2127" w:hanging="2127"/>
      </w:pPr>
      <w:r w:rsidRPr="00CC77FD">
        <w:t>[ITU-T P.581]</w:t>
      </w:r>
      <w:r w:rsidRPr="00CC77FD">
        <w:tab/>
      </w:r>
      <w:r>
        <w:tab/>
      </w:r>
      <w:r w:rsidRPr="00CC77FD">
        <w:t>Recommendation ITU-T P.581 (</w:t>
      </w:r>
      <w:r w:rsidR="00DC705C">
        <w:t>2014</w:t>
      </w:r>
      <w:r w:rsidRPr="00CC77FD">
        <w:t xml:space="preserve">), </w:t>
      </w:r>
      <w:r w:rsidR="00DC705C" w:rsidRPr="00DC705C">
        <w:rPr>
          <w:i/>
          <w:iCs/>
        </w:rPr>
        <w:t>Use of head and torso simulator for hands-free and handset terminal testing</w:t>
      </w:r>
      <w:r w:rsidRPr="00EC46E9">
        <w:rPr>
          <w:iCs/>
        </w:rPr>
        <w:t>.</w:t>
      </w:r>
    </w:p>
    <w:p w14:paraId="7CC52749" w14:textId="77777777" w:rsidR="00803025" w:rsidRPr="00CC77FD" w:rsidRDefault="00803025" w:rsidP="00803025">
      <w:pPr>
        <w:pStyle w:val="Reftext"/>
        <w:tabs>
          <w:tab w:val="left" w:pos="1985"/>
        </w:tabs>
        <w:ind w:left="2127" w:hanging="2127"/>
      </w:pPr>
      <w:r w:rsidRPr="00CC77FD">
        <w:lastRenderedPageBreak/>
        <w:t>[ITU-T P.800]</w:t>
      </w:r>
      <w:r w:rsidRPr="00CC77FD">
        <w:tab/>
      </w:r>
      <w:r>
        <w:tab/>
      </w:r>
      <w:r w:rsidRPr="00CC77FD">
        <w:t xml:space="preserve">Recommendation ITU-T P.800 (1996), </w:t>
      </w:r>
      <w:r w:rsidRPr="00CC77FD">
        <w:rPr>
          <w:i/>
          <w:iCs/>
        </w:rPr>
        <w:t>Methods for subjective determination of transmission quality</w:t>
      </w:r>
      <w:r w:rsidRPr="00EC46E9">
        <w:rPr>
          <w:iCs/>
        </w:rPr>
        <w:t>.</w:t>
      </w:r>
    </w:p>
    <w:p w14:paraId="016789EA" w14:textId="4CA3DBFE" w:rsidR="00803025" w:rsidRPr="00803025" w:rsidRDefault="00803025" w:rsidP="00803025">
      <w:pPr>
        <w:pStyle w:val="Reftext"/>
        <w:tabs>
          <w:tab w:val="left" w:pos="1985"/>
        </w:tabs>
        <w:ind w:left="2127" w:hanging="2127"/>
      </w:pPr>
      <w:r>
        <w:rPr>
          <w:iCs/>
        </w:rPr>
        <w:t>[ITU-T P.806]</w:t>
      </w:r>
      <w:r>
        <w:rPr>
          <w:iCs/>
        </w:rPr>
        <w:tab/>
      </w:r>
      <w:r>
        <w:rPr>
          <w:iCs/>
        </w:rPr>
        <w:tab/>
        <w:t xml:space="preserve">Recommendation ITU-T P.806 (2014), </w:t>
      </w:r>
      <w:r w:rsidRPr="00803025">
        <w:rPr>
          <w:i/>
        </w:rPr>
        <w:t>A subjective quality test methodology using multiple rating scales</w:t>
      </w:r>
      <w:r>
        <w:rPr>
          <w:i/>
        </w:rPr>
        <w:t>.</w:t>
      </w:r>
    </w:p>
    <w:p w14:paraId="113251AF" w14:textId="00DAE7FC" w:rsidR="00803025" w:rsidRDefault="00803025" w:rsidP="00803025">
      <w:pPr>
        <w:pStyle w:val="Reftext"/>
        <w:tabs>
          <w:tab w:val="left" w:pos="1985"/>
        </w:tabs>
        <w:ind w:left="2127" w:hanging="2127"/>
        <w:rPr>
          <w:iCs/>
        </w:rPr>
      </w:pPr>
      <w:r w:rsidRPr="00CC77FD">
        <w:t>[ITU-T P.830]</w:t>
      </w:r>
      <w:r w:rsidRPr="00CC77FD">
        <w:tab/>
      </w:r>
      <w:r>
        <w:tab/>
      </w:r>
      <w:r w:rsidRPr="00CC77FD">
        <w:t>Recommendation ITU-T P.830 (1996</w:t>
      </w:r>
      <w:r w:rsidRPr="00CC77FD">
        <w:rPr>
          <w:i/>
          <w:iCs/>
        </w:rPr>
        <w:t>), Subjective performance assessment of telephone-band and wideband digital codecs</w:t>
      </w:r>
      <w:r w:rsidRPr="00EC46E9">
        <w:rPr>
          <w:iCs/>
        </w:rPr>
        <w:t>.</w:t>
      </w:r>
    </w:p>
    <w:p w14:paraId="69024E50" w14:textId="7E2294CB" w:rsidR="009323E3" w:rsidRPr="009323E3" w:rsidRDefault="009323E3" w:rsidP="00803025">
      <w:pPr>
        <w:pStyle w:val="Reftext"/>
        <w:tabs>
          <w:tab w:val="left" w:pos="1985"/>
        </w:tabs>
        <w:ind w:left="2127" w:hanging="2127"/>
      </w:pPr>
      <w:r>
        <w:rPr>
          <w:iCs/>
        </w:rPr>
        <w:t>[ITU-T P.863]</w:t>
      </w:r>
      <w:r>
        <w:rPr>
          <w:iCs/>
        </w:rPr>
        <w:tab/>
      </w:r>
      <w:r>
        <w:rPr>
          <w:iCs/>
        </w:rPr>
        <w:tab/>
        <w:t xml:space="preserve">Recommendation ITU-T P.863 (2018), </w:t>
      </w:r>
      <w:r w:rsidRPr="009323E3">
        <w:rPr>
          <w:i/>
        </w:rPr>
        <w:t>Perceptual objective listening quality prediction</w:t>
      </w:r>
      <w:r>
        <w:rPr>
          <w:iCs/>
        </w:rPr>
        <w:t>.</w:t>
      </w:r>
    </w:p>
    <w:p w14:paraId="35F0B287" w14:textId="163B059E" w:rsidR="00AA313E" w:rsidRPr="009323E3" w:rsidRDefault="00AA313E" w:rsidP="00AA313E">
      <w:pPr>
        <w:pStyle w:val="Reftext"/>
        <w:tabs>
          <w:tab w:val="left" w:pos="1985"/>
        </w:tabs>
        <w:ind w:left="2127" w:hanging="2127"/>
      </w:pPr>
      <w:r>
        <w:rPr>
          <w:iCs/>
        </w:rPr>
        <w:t>[ITU-T P.863.1]</w:t>
      </w:r>
      <w:r>
        <w:rPr>
          <w:iCs/>
        </w:rPr>
        <w:tab/>
      </w:r>
      <w:r>
        <w:rPr>
          <w:iCs/>
        </w:rPr>
        <w:tab/>
        <w:t xml:space="preserve">Recommendation ITU-T P.863 (2019), </w:t>
      </w:r>
      <w:r w:rsidRPr="00AA313E">
        <w:rPr>
          <w:i/>
        </w:rPr>
        <w:t>Application guide for Recommendation ITU-T P.863</w:t>
      </w:r>
      <w:r>
        <w:rPr>
          <w:iCs/>
        </w:rPr>
        <w:t>.</w:t>
      </w:r>
    </w:p>
    <w:p w14:paraId="0F051643" w14:textId="77777777" w:rsidR="002F45E1" w:rsidRPr="00EC2A42" w:rsidRDefault="002F45E1" w:rsidP="002F45E1">
      <w:pPr>
        <w:pStyle w:val="Heading1"/>
      </w:pPr>
      <w:r w:rsidRPr="00EC2A42">
        <w:t>3</w:t>
      </w:r>
      <w:r w:rsidRPr="00EC2A42">
        <w:tab/>
        <w:t>Definitions</w:t>
      </w:r>
    </w:p>
    <w:p w14:paraId="47BEFDD9" w14:textId="77777777" w:rsidR="002F45E1" w:rsidRPr="00EC2A42" w:rsidRDefault="002F45E1" w:rsidP="002F45E1">
      <w:pPr>
        <w:pStyle w:val="Heading2"/>
      </w:pPr>
      <w:r w:rsidRPr="00EC2A42">
        <w:t>3.1</w:t>
      </w:r>
      <w:r w:rsidRPr="00EC2A42">
        <w:tab/>
        <w:t>Terms defined elsewhere</w:t>
      </w:r>
    </w:p>
    <w:p w14:paraId="0696EE9C" w14:textId="77777777" w:rsidR="009323E3" w:rsidRDefault="009323E3" w:rsidP="009323E3">
      <w:r>
        <w:t>This Recommendation uses the terms defined in [ITU-T P.10].</w:t>
      </w:r>
    </w:p>
    <w:p w14:paraId="573FB44F" w14:textId="77777777" w:rsidR="002F45E1" w:rsidRPr="00EC2A42" w:rsidRDefault="002F45E1" w:rsidP="002F45E1">
      <w:pPr>
        <w:pStyle w:val="Heading1"/>
      </w:pPr>
      <w:r w:rsidRPr="00EC2A42">
        <w:t>4</w:t>
      </w:r>
      <w:r w:rsidRPr="00EC2A42">
        <w:tab/>
        <w:t>Abbreviations and acronyms</w:t>
      </w:r>
    </w:p>
    <w:p w14:paraId="41F5222D" w14:textId="77777777" w:rsidR="002F45E1" w:rsidRPr="00EC2A42" w:rsidRDefault="002F45E1" w:rsidP="002F45E1">
      <w:r w:rsidRPr="00EC2A42">
        <w:t>This Recommendation uses the following abbreviations and acronyms:</w:t>
      </w:r>
    </w:p>
    <w:p w14:paraId="519418B2" w14:textId="77777777" w:rsidR="009323E3" w:rsidRDefault="009323E3" w:rsidP="009323E3">
      <w:r>
        <w:t>3GPP2</w:t>
      </w:r>
      <w:r>
        <w:tab/>
      </w:r>
      <w:r>
        <w:tab/>
        <w:t>3rd Generation Partnership Project 2</w:t>
      </w:r>
    </w:p>
    <w:p w14:paraId="236CB4DF" w14:textId="77777777" w:rsidR="009323E3" w:rsidRDefault="009323E3" w:rsidP="009323E3">
      <w:r>
        <w:t>AAC</w:t>
      </w:r>
      <w:r>
        <w:tab/>
      </w:r>
      <w:r>
        <w:tab/>
        <w:t>Advanced Audio Coding</w:t>
      </w:r>
    </w:p>
    <w:p w14:paraId="3277913A" w14:textId="492A8EBD" w:rsidR="009323E3" w:rsidRDefault="009323E3" w:rsidP="009323E3">
      <w:r>
        <w:t>ACR</w:t>
      </w:r>
      <w:r>
        <w:tab/>
      </w:r>
      <w:r>
        <w:tab/>
        <w:t>Absolute Category Rating</w:t>
      </w:r>
    </w:p>
    <w:p w14:paraId="00B2CB32" w14:textId="3E55AA9E" w:rsidR="00614ED5" w:rsidRDefault="00614ED5" w:rsidP="009323E3">
      <w:r>
        <w:t>ASL</w:t>
      </w:r>
      <w:r>
        <w:tab/>
      </w:r>
      <w:r>
        <w:tab/>
        <w:t>Active Speech Level</w:t>
      </w:r>
    </w:p>
    <w:p w14:paraId="72C7B9EA" w14:textId="2E540045" w:rsidR="009323E3" w:rsidRDefault="009323E3" w:rsidP="009323E3">
      <w:r>
        <w:t>CDMA</w:t>
      </w:r>
      <w:r>
        <w:tab/>
        <w:t>Code Division Multiple Access</w:t>
      </w:r>
    </w:p>
    <w:p w14:paraId="343A7C9C" w14:textId="77777777" w:rsidR="009323E3" w:rsidRDefault="009323E3" w:rsidP="009323E3">
      <w:r>
        <w:t>ERP</w:t>
      </w:r>
      <w:r>
        <w:tab/>
      </w:r>
      <w:r>
        <w:tab/>
        <w:t>Ear Reference Point</w:t>
      </w:r>
    </w:p>
    <w:p w14:paraId="24A1CA9C" w14:textId="77777777" w:rsidR="009323E3" w:rsidRDefault="009323E3" w:rsidP="009323E3">
      <w:pPr>
        <w:rPr>
          <w:lang w:val="en-US"/>
        </w:rPr>
      </w:pPr>
      <w:r>
        <w:rPr>
          <w:lang w:val="en-US"/>
        </w:rPr>
        <w:t>FB</w:t>
      </w:r>
      <w:r>
        <w:rPr>
          <w:lang w:val="en-US"/>
        </w:rPr>
        <w:tab/>
      </w:r>
      <w:r>
        <w:rPr>
          <w:lang w:val="en-US"/>
        </w:rPr>
        <w:tab/>
        <w:t>Fullband</w:t>
      </w:r>
    </w:p>
    <w:p w14:paraId="01BD131F" w14:textId="77777777" w:rsidR="009323E3" w:rsidRDefault="009323E3" w:rsidP="009323E3">
      <w:r>
        <w:t>GSM</w:t>
      </w:r>
      <w:r>
        <w:tab/>
      </w:r>
      <w:r>
        <w:tab/>
        <w:t>Global System for Mobile Communications</w:t>
      </w:r>
    </w:p>
    <w:p w14:paraId="4D93438F" w14:textId="1DBA6814" w:rsidR="009323E3" w:rsidRDefault="009323E3" w:rsidP="009323E3">
      <w:r>
        <w:t>HATS</w:t>
      </w:r>
      <w:r>
        <w:tab/>
      </w:r>
      <w:r>
        <w:tab/>
        <w:t>Head And Torso Simulator</w:t>
      </w:r>
    </w:p>
    <w:p w14:paraId="13377F51" w14:textId="70095FAD" w:rsidR="00D60F14" w:rsidRDefault="00D60F14" w:rsidP="009323E3">
      <w:r>
        <w:t>HFRP</w:t>
      </w:r>
      <w:r>
        <w:tab/>
      </w:r>
      <w:r>
        <w:tab/>
        <w:t>Hands Free Reference Point</w:t>
      </w:r>
    </w:p>
    <w:p w14:paraId="744694ED" w14:textId="5C3803E9" w:rsidR="009323E3" w:rsidRDefault="009323E3" w:rsidP="009323E3">
      <w:r>
        <w:t>IP</w:t>
      </w:r>
      <w:r>
        <w:tab/>
      </w:r>
      <w:r>
        <w:tab/>
        <w:t>Internet Protocol</w:t>
      </w:r>
    </w:p>
    <w:p w14:paraId="6BFAEFA3" w14:textId="15DB1511" w:rsidR="004539CE" w:rsidRDefault="004539CE" w:rsidP="009323E3">
      <w:r>
        <w:t>ISDN</w:t>
      </w:r>
      <w:r>
        <w:tab/>
      </w:r>
      <w:r>
        <w:tab/>
        <w:t>Integrated Services Digital Network</w:t>
      </w:r>
    </w:p>
    <w:p w14:paraId="01D64589" w14:textId="77777777" w:rsidR="009323E3" w:rsidRDefault="009323E3" w:rsidP="009323E3">
      <w:r>
        <w:t>LTE</w:t>
      </w:r>
      <w:r>
        <w:tab/>
      </w:r>
      <w:r>
        <w:tab/>
        <w:t>Long Term Evolution</w:t>
      </w:r>
    </w:p>
    <w:p w14:paraId="14363FBC" w14:textId="430D3C3D" w:rsidR="009323E3" w:rsidRDefault="009323E3" w:rsidP="009323E3">
      <w:r>
        <w:t>MOS</w:t>
      </w:r>
      <w:r>
        <w:tab/>
      </w:r>
      <w:r>
        <w:tab/>
        <w:t>Mean Opinion Score</w:t>
      </w:r>
    </w:p>
    <w:p w14:paraId="6DCCC0C8" w14:textId="7ECE4850" w:rsidR="00614ED5" w:rsidRDefault="00614ED5" w:rsidP="009323E3">
      <w:r>
        <w:t>MOS-C</w:t>
      </w:r>
      <w:r>
        <w:tab/>
        <w:t>Mean Opinion Score for the Coloration Dimension</w:t>
      </w:r>
    </w:p>
    <w:p w14:paraId="4AB91B60" w14:textId="79BFA46E" w:rsidR="00614ED5" w:rsidRDefault="00614ED5" w:rsidP="009323E3">
      <w:r>
        <w:t>MOS-D</w:t>
      </w:r>
      <w:r>
        <w:tab/>
        <w:t>Mean Opinion Score for the Discontinuity Dimension</w:t>
      </w:r>
    </w:p>
    <w:p w14:paraId="4814102A" w14:textId="37A60832" w:rsidR="00614ED5" w:rsidRDefault="00614ED5" w:rsidP="009323E3">
      <w:r>
        <w:t>MOS-L</w:t>
      </w:r>
      <w:r>
        <w:tab/>
        <w:t>Mean Opinion Score for the Sub-optimum Loudness Dimension</w:t>
      </w:r>
    </w:p>
    <w:p w14:paraId="77952939" w14:textId="56BD5ADC" w:rsidR="00614ED5" w:rsidRDefault="00614ED5" w:rsidP="009323E3">
      <w:r>
        <w:t>MOS-N</w:t>
      </w:r>
      <w:r>
        <w:tab/>
        <w:t>Mean Opinion Score for the Noisiness Dimension</w:t>
      </w:r>
    </w:p>
    <w:p w14:paraId="78D2F099" w14:textId="77777777" w:rsidR="009323E3" w:rsidRPr="00D57DE8" w:rsidRDefault="009323E3" w:rsidP="009323E3">
      <w:pPr>
        <w:rPr>
          <w:lang w:val="en-US"/>
        </w:rPr>
      </w:pPr>
      <w:r w:rsidRPr="00D57DE8">
        <w:rPr>
          <w:lang w:val="en-US"/>
        </w:rPr>
        <w:t>MP3</w:t>
      </w:r>
      <w:r w:rsidRPr="00D57DE8">
        <w:rPr>
          <w:lang w:val="en-US"/>
        </w:rPr>
        <w:tab/>
      </w:r>
      <w:r w:rsidRPr="00D57DE8">
        <w:rPr>
          <w:lang w:val="en-US"/>
        </w:rPr>
        <w:tab/>
        <w:t>MPEG-1 audio layer 3</w:t>
      </w:r>
    </w:p>
    <w:p w14:paraId="4F651744" w14:textId="1A02D049" w:rsidR="009323E3" w:rsidRDefault="009323E3" w:rsidP="009323E3">
      <w:pPr>
        <w:rPr>
          <w:lang w:val="en-US"/>
        </w:rPr>
      </w:pPr>
      <w:r w:rsidRPr="00D57DE8">
        <w:rPr>
          <w:lang w:val="en-US"/>
        </w:rPr>
        <w:t>NB</w:t>
      </w:r>
      <w:r w:rsidRPr="00D57DE8">
        <w:rPr>
          <w:lang w:val="en-US"/>
        </w:rPr>
        <w:tab/>
      </w:r>
      <w:r w:rsidRPr="00D57DE8">
        <w:rPr>
          <w:lang w:val="en-US"/>
        </w:rPr>
        <w:tab/>
        <w:t>Narrowband</w:t>
      </w:r>
    </w:p>
    <w:p w14:paraId="01673F60" w14:textId="4604E8B0" w:rsidR="009323E3" w:rsidRDefault="009323E3" w:rsidP="009323E3">
      <w:r>
        <w:t>PCM</w:t>
      </w:r>
      <w:r>
        <w:tab/>
      </w:r>
      <w:r>
        <w:tab/>
        <w:t>Pulse Code Modulation</w:t>
      </w:r>
    </w:p>
    <w:p w14:paraId="455F7138" w14:textId="760DABAB" w:rsidR="00D60F14" w:rsidRDefault="00D60F14" w:rsidP="009323E3">
      <w:r>
        <w:lastRenderedPageBreak/>
        <w:t>PSD</w:t>
      </w:r>
      <w:r>
        <w:tab/>
      </w:r>
      <w:r>
        <w:tab/>
        <w:t>Power Spectral Density</w:t>
      </w:r>
    </w:p>
    <w:p w14:paraId="3B4B6DF7" w14:textId="77777777" w:rsidR="009323E3" w:rsidRDefault="009323E3" w:rsidP="009323E3">
      <w:r>
        <w:t>PSTN</w:t>
      </w:r>
      <w:r>
        <w:tab/>
      </w:r>
      <w:r>
        <w:tab/>
        <w:t>Public Switched Telephone Network</w:t>
      </w:r>
    </w:p>
    <w:p w14:paraId="57C66124" w14:textId="6D222162" w:rsidR="009323E3" w:rsidRDefault="004539CE" w:rsidP="009323E3">
      <w:r>
        <w:t>RMSE</w:t>
      </w:r>
      <w:r w:rsidR="009323E3">
        <w:tab/>
      </w:r>
      <w:r w:rsidR="009323E3">
        <w:tab/>
        <w:t>Root Mean Square Error</w:t>
      </w:r>
    </w:p>
    <w:p w14:paraId="647522C6" w14:textId="77777777" w:rsidR="009323E3" w:rsidRDefault="009323E3" w:rsidP="009323E3">
      <w:r>
        <w:t>SNR</w:t>
      </w:r>
      <w:r>
        <w:tab/>
      </w:r>
      <w:r>
        <w:tab/>
        <w:t>Signal-to-Noise Ratio</w:t>
      </w:r>
    </w:p>
    <w:p w14:paraId="7CC40288" w14:textId="77777777" w:rsidR="009323E3" w:rsidRDefault="009323E3" w:rsidP="009323E3">
      <w:r>
        <w:t>SPL</w:t>
      </w:r>
      <w:r>
        <w:tab/>
      </w:r>
      <w:r>
        <w:tab/>
        <w:t>Sound Pressure Level</w:t>
      </w:r>
    </w:p>
    <w:p w14:paraId="146E9CF8" w14:textId="77777777" w:rsidR="009323E3" w:rsidRDefault="009323E3" w:rsidP="009323E3">
      <w:r>
        <w:t>SWB</w:t>
      </w:r>
      <w:r>
        <w:tab/>
      </w:r>
      <w:r>
        <w:tab/>
        <w:t>Super-wideband</w:t>
      </w:r>
    </w:p>
    <w:p w14:paraId="7288A045" w14:textId="269EFFC0" w:rsidR="009323E3" w:rsidRDefault="009323E3" w:rsidP="009323E3">
      <w:r>
        <w:t>TETRA</w:t>
      </w:r>
      <w:r>
        <w:tab/>
        <w:t>Terrestrial Trunked Radio</w:t>
      </w:r>
    </w:p>
    <w:p w14:paraId="030E8F77" w14:textId="6AB5197F" w:rsidR="009323E3" w:rsidRDefault="009323E3" w:rsidP="009323E3">
      <w:r>
        <w:t>VoIP</w:t>
      </w:r>
      <w:r>
        <w:tab/>
      </w:r>
      <w:r>
        <w:tab/>
        <w:t>Voice over IP</w:t>
      </w:r>
    </w:p>
    <w:p w14:paraId="409FFA59" w14:textId="1427B171" w:rsidR="004539CE" w:rsidRDefault="004539CE" w:rsidP="009323E3">
      <w:r>
        <w:t>VoLTE</w:t>
      </w:r>
      <w:r>
        <w:tab/>
        <w:t>Voice over LTE</w:t>
      </w:r>
    </w:p>
    <w:p w14:paraId="60A273E9" w14:textId="77777777" w:rsidR="009323E3" w:rsidRDefault="009323E3" w:rsidP="009323E3">
      <w:r>
        <w:t>WB</w:t>
      </w:r>
      <w:r>
        <w:tab/>
      </w:r>
      <w:r>
        <w:tab/>
        <w:t>Wideband</w:t>
      </w:r>
    </w:p>
    <w:p w14:paraId="5345ADE1" w14:textId="77777777" w:rsidR="009323E3" w:rsidRDefault="009323E3" w:rsidP="009323E3">
      <w:r>
        <w:t>WCDMA</w:t>
      </w:r>
      <w:r>
        <w:tab/>
        <w:t>Wideband Code Division Multiple Access</w:t>
      </w:r>
    </w:p>
    <w:p w14:paraId="56017746" w14:textId="77777777" w:rsidR="002F45E1" w:rsidRPr="00EC2A42" w:rsidRDefault="002F45E1" w:rsidP="002F45E1">
      <w:pPr>
        <w:pStyle w:val="Heading1"/>
      </w:pPr>
      <w:r w:rsidRPr="00EC2A42">
        <w:t>5</w:t>
      </w:r>
      <w:r w:rsidRPr="00EC2A42">
        <w:tab/>
        <w:t>Conventions</w:t>
      </w:r>
    </w:p>
    <w:p w14:paraId="26349B6A" w14:textId="77777777" w:rsidR="009323E3" w:rsidRDefault="009323E3" w:rsidP="009323E3">
      <w:r>
        <w:t>This Recommendation does not use specific conventions.</w:t>
      </w:r>
    </w:p>
    <w:p w14:paraId="4F1E2B7F" w14:textId="0AC422D5" w:rsidR="002F45E1" w:rsidRPr="00EC2A42" w:rsidRDefault="002F45E1" w:rsidP="002F45E1">
      <w:pPr>
        <w:pStyle w:val="Heading1"/>
      </w:pPr>
      <w:r w:rsidRPr="00EC2A42">
        <w:t>6</w:t>
      </w:r>
      <w:r w:rsidRPr="00EC2A42">
        <w:tab/>
      </w:r>
      <w:r w:rsidR="00992CCB">
        <w:t>Overview of the models</w:t>
      </w:r>
    </w:p>
    <w:p w14:paraId="605E92A3" w14:textId="5E18D63E" w:rsidR="005A10F4" w:rsidRDefault="007B545C" w:rsidP="005A30C8">
      <w:pPr>
        <w:jc w:val="both"/>
      </w:pPr>
      <w:r>
        <w:t>The models described in this Recommendation provide estimations of individual perceptual dimensions, which allow diagnostic information to be obtained from speech signals.</w:t>
      </w:r>
      <w:r w:rsidR="005A10F4">
        <w:t xml:space="preserve"> The four dimensions covered by the models of this Recommendation are:</w:t>
      </w:r>
    </w:p>
    <w:p w14:paraId="6C00FA01" w14:textId="63647A0A" w:rsidR="005A10F4" w:rsidRPr="004E2172" w:rsidRDefault="005A10F4" w:rsidP="005A30C8">
      <w:pPr>
        <w:numPr>
          <w:ilvl w:val="0"/>
          <w:numId w:val="15"/>
        </w:numPr>
        <w:tabs>
          <w:tab w:val="clear" w:pos="795"/>
          <w:tab w:val="left" w:pos="794"/>
          <w:tab w:val="left" w:pos="1191"/>
          <w:tab w:val="left" w:pos="1588"/>
          <w:tab w:val="left" w:pos="1985"/>
        </w:tabs>
        <w:overflowPunct w:val="0"/>
        <w:autoSpaceDE w:val="0"/>
        <w:autoSpaceDN w:val="0"/>
        <w:adjustRightInd w:val="0"/>
        <w:jc w:val="both"/>
        <w:textAlignment w:val="baseline"/>
        <w:rPr>
          <w:lang w:val="en-US"/>
        </w:rPr>
      </w:pPr>
      <w:r w:rsidRPr="00036326">
        <w:rPr>
          <w:lang w:val="en-US"/>
        </w:rPr>
        <w:t xml:space="preserve">Coloration </w:t>
      </w:r>
      <w:r w:rsidRPr="004E2172">
        <w:rPr>
          <w:lang w:val="en-US"/>
        </w:rPr>
        <w:t>(</w:t>
      </w:r>
      <w:r>
        <w:rPr>
          <w:lang w:val="en-US"/>
        </w:rPr>
        <w:t xml:space="preserve">i.e. resulting from </w:t>
      </w:r>
      <w:r w:rsidRPr="004E2172">
        <w:rPr>
          <w:lang w:val="en-US"/>
        </w:rPr>
        <w:t>frequency response distortions</w:t>
      </w:r>
      <w:r>
        <w:rPr>
          <w:lang w:val="en-US"/>
        </w:rPr>
        <w:t>, e.g. bandwidth restrictions and coloration introduced by transducers</w:t>
      </w:r>
      <w:r w:rsidRPr="004E2172">
        <w:rPr>
          <w:lang w:val="en-US"/>
        </w:rPr>
        <w:t>)</w:t>
      </w:r>
    </w:p>
    <w:p w14:paraId="7C83D918" w14:textId="77777777" w:rsidR="005A10F4" w:rsidRDefault="005A10F4" w:rsidP="005A30C8">
      <w:pPr>
        <w:numPr>
          <w:ilvl w:val="0"/>
          <w:numId w:val="15"/>
        </w:numPr>
        <w:tabs>
          <w:tab w:val="clear" w:pos="795"/>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Noisiness (e.g. resulting from additive and multiplicative noise)</w:t>
      </w:r>
    </w:p>
    <w:p w14:paraId="692C5ABD" w14:textId="1B0B80D2" w:rsidR="005A10F4" w:rsidRDefault="005A10F4" w:rsidP="005A30C8">
      <w:pPr>
        <w:numPr>
          <w:ilvl w:val="0"/>
          <w:numId w:val="15"/>
        </w:numPr>
        <w:tabs>
          <w:tab w:val="clear" w:pos="795"/>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Discontinuity (e.g. resulting from time localized and time-varying degradations)</w:t>
      </w:r>
    </w:p>
    <w:p w14:paraId="2E847642" w14:textId="757A71A5" w:rsidR="005A10F4" w:rsidRPr="005A10F4" w:rsidRDefault="005A10F4" w:rsidP="005A30C8">
      <w:pPr>
        <w:numPr>
          <w:ilvl w:val="0"/>
          <w:numId w:val="15"/>
        </w:numPr>
        <w:tabs>
          <w:tab w:val="clear" w:pos="795"/>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Sub-optimum Loudness (e.g. impact of overall play back level)</w:t>
      </w:r>
    </w:p>
    <w:p w14:paraId="69E8FC6C" w14:textId="2A5B103C" w:rsidR="005A10F4" w:rsidRDefault="007B545C" w:rsidP="005A30C8">
      <w:pPr>
        <w:jc w:val="both"/>
      </w:pPr>
      <w:r>
        <w:t>Each perceptual dimension is related to – but not congruent with – technical causes which might lead to the respective perceptual effect.</w:t>
      </w:r>
      <w:r w:rsidR="005A10F4">
        <w:t xml:space="preserve"> For example, discontinuity may result from packet losses, but also from time-varying background noises. Similarly, coloration might be caused by a narrowband codec, but also stem from the send-side or receive-side terminal device.</w:t>
      </w:r>
    </w:p>
    <w:p w14:paraId="7314F3C4" w14:textId="41F14F7A" w:rsidR="007B545C" w:rsidRDefault="005A10F4" w:rsidP="005A30C8">
      <w:pPr>
        <w:jc w:val="both"/>
      </w:pPr>
      <w:r>
        <w:t>The four dimensions have been extracted from subjective tests with the aim to cover most of the degradations present in current and near future telecommunication scenarios</w:t>
      </w:r>
      <w:r w:rsidR="00305B4B">
        <w:t>, see [Wältermann 2012]</w:t>
      </w:r>
      <w:r>
        <w:t xml:space="preserve">. </w:t>
      </w:r>
      <w:r w:rsidR="007B545C">
        <w:t xml:space="preserve">By performing two types of multidimensional analyses (similarity judgments with subsequent multidimensional scaling, as well as semantic differential scaling with subsequent principle component analysis), a set of three perceptual dimensions </w:t>
      </w:r>
      <w:r>
        <w:t xml:space="preserve">(Coloration, Discontinuity and </w:t>
      </w:r>
      <w:r w:rsidR="007E567C">
        <w:t>Noisiness</w:t>
      </w:r>
      <w:r>
        <w:t xml:space="preserve">) </w:t>
      </w:r>
      <w:r w:rsidR="007B545C">
        <w:t>has been extracted which have proven to be rather orthogonal to each other. As the corresponding perceptual experiments have been carried out mostly with level-equalized signals, a fourth</w:t>
      </w:r>
      <w:r>
        <w:t xml:space="preserve"> dimension “Sub-optimum Loudness” has been added later to account for degradations which stem from a non-optimum listening level. This dimension is expected to not be orthogonal to the three other dimensions.</w:t>
      </w:r>
    </w:p>
    <w:p w14:paraId="03BE3D78" w14:textId="6182CAAB" w:rsidR="00AA313E" w:rsidRPr="004974CA" w:rsidRDefault="00AA313E" w:rsidP="005A30C8">
      <w:pPr>
        <w:jc w:val="both"/>
      </w:pPr>
      <w:r w:rsidRPr="004974CA">
        <w:t>The model for estimating “Coloration”</w:t>
      </w:r>
      <w:r w:rsidRPr="004974CA">
        <w:rPr>
          <w:lang w:val="en-US"/>
        </w:rPr>
        <w:t xml:space="preserve"> is derived from t</w:t>
      </w:r>
      <w:r w:rsidR="0083279C">
        <w:rPr>
          <w:lang w:val="en-US"/>
        </w:rPr>
        <w:t>wo</w:t>
      </w:r>
      <w:r w:rsidRPr="004974CA">
        <w:rPr>
          <w:lang w:val="en-US"/>
        </w:rPr>
        <w:t xml:space="preserve"> [ITU-T </w:t>
      </w:r>
      <w:r w:rsidRPr="000677F1">
        <w:t xml:space="preserve">P.863] </w:t>
      </w:r>
      <w:r w:rsidR="0083279C">
        <w:t xml:space="preserve">indicators, a </w:t>
      </w:r>
      <w:r w:rsidRPr="004974CA">
        <w:t>frequency indicator combined with a second type of indicator that quantifies the overall disturbance in the time-frequency plane.</w:t>
      </w:r>
    </w:p>
    <w:p w14:paraId="308468DB" w14:textId="392C20B2" w:rsidR="00E45E31" w:rsidRPr="00614ED5" w:rsidRDefault="00E45E31" w:rsidP="005A30C8">
      <w:pPr>
        <w:jc w:val="both"/>
        <w:rPr>
          <w:highlight w:val="yellow"/>
        </w:rPr>
      </w:pPr>
      <w:r w:rsidRPr="00614ED5">
        <w:lastRenderedPageBreak/>
        <w:t xml:space="preserve">The model for estimating “Noisiness” is based on </w:t>
      </w:r>
      <w:r w:rsidR="00E007DB" w:rsidRPr="004974CA">
        <w:t>two</w:t>
      </w:r>
      <w:r w:rsidRPr="004974CA">
        <w:t xml:space="preserve"> indicators</w:t>
      </w:r>
      <w:r>
        <w:t xml:space="preserve"> that </w:t>
      </w:r>
      <w:r w:rsidR="00E007DB">
        <w:t>assess the presence of noise in the degraded signal and a third indicator that models the impact of the ASL on the perceived noisiness</w:t>
      </w:r>
      <w:r>
        <w:t xml:space="preserve">. The first indicator quantifies the amount of background noise in the degraded signal, the second indicator evaluates the presence of noise on the active speech parts by means of spectral entropy, and the third indicator weights the impact of the previous two indicators on the </w:t>
      </w:r>
      <w:r w:rsidR="006F4229">
        <w:t xml:space="preserve">perceived </w:t>
      </w:r>
      <w:r w:rsidR="00E007DB">
        <w:t>noisiness according to the deviation of the ASL from the nominal level (-26dB</w:t>
      </w:r>
      <w:r w:rsidR="007657A6">
        <w:t>ov</w:t>
      </w:r>
      <w:r w:rsidR="00E007DB">
        <w:t>).</w:t>
      </w:r>
    </w:p>
    <w:p w14:paraId="39F1E59A" w14:textId="45F44B33" w:rsidR="006408DC" w:rsidRDefault="006408DC" w:rsidP="005A30C8">
      <w:pPr>
        <w:jc w:val="both"/>
      </w:pPr>
      <w:r w:rsidRPr="00614ED5">
        <w:t xml:space="preserve">The model for estimating “Discontinuity” </w:t>
      </w:r>
      <w:r w:rsidRPr="004974CA">
        <w:t xml:space="preserve">is a combination of three </w:t>
      </w:r>
      <w:r w:rsidRPr="000677F1">
        <w:rPr>
          <w:lang w:val="en-US"/>
        </w:rPr>
        <w:t xml:space="preserve">[ITU-T </w:t>
      </w:r>
      <w:r w:rsidRPr="00EF0C15">
        <w:t>P.863] indicators, two</w:t>
      </w:r>
      <w:r>
        <w:t xml:space="preserve"> noisiness indicators and another indicator that quantifies </w:t>
      </w:r>
      <w:r w:rsidRPr="00850B38">
        <w:t>overall added part of the disturbance in the time-frequency plane</w:t>
      </w:r>
      <w:r>
        <w:t>.</w:t>
      </w:r>
    </w:p>
    <w:p w14:paraId="7A5A6936" w14:textId="4F8CEE67" w:rsidR="00AA313E" w:rsidRDefault="00AA313E" w:rsidP="005A30C8">
      <w:pPr>
        <w:jc w:val="both"/>
      </w:pPr>
      <w:r w:rsidRPr="009D0FD2">
        <w:t xml:space="preserve">The model for estimating “Sub-optimum Loudness” </w:t>
      </w:r>
      <w:r w:rsidR="00FC580A" w:rsidRPr="009D0FD2">
        <w:t>is based mainly on the power in active speech parts in the degraded signal. This information is combined with a second indicator that quantifies the presence of gain variations and models their negative impact on the perceived optimal l</w:t>
      </w:r>
      <w:r w:rsidR="00FC580A" w:rsidRPr="00EA785E">
        <w:t>oudness.</w:t>
      </w:r>
    </w:p>
    <w:p w14:paraId="301B0D0C" w14:textId="1DC88263" w:rsidR="005E3758" w:rsidRDefault="00070DDF" w:rsidP="005A30C8">
      <w:pPr>
        <w:pStyle w:val="Heading2"/>
        <w:jc w:val="both"/>
      </w:pPr>
      <w:r>
        <w:t>6.1</w:t>
      </w:r>
      <w:r>
        <w:tab/>
        <w:t>Model characteristics</w:t>
      </w:r>
    </w:p>
    <w:p w14:paraId="6CE531B4" w14:textId="1C929611" w:rsidR="00070DDF" w:rsidRDefault="00A16639" w:rsidP="005A30C8">
      <w:pPr>
        <w:pStyle w:val="Heading2"/>
        <w:numPr>
          <w:ilvl w:val="2"/>
          <w:numId w:val="23"/>
        </w:numPr>
        <w:jc w:val="both"/>
      </w:pPr>
      <w:r>
        <w:t>Input s</w:t>
      </w:r>
      <w:r w:rsidR="00070DDF">
        <w:t>ignal characteristics</w:t>
      </w:r>
    </w:p>
    <w:p w14:paraId="126EB9CD" w14:textId="77777777" w:rsidR="00070DDF" w:rsidRDefault="00070DDF" w:rsidP="005A30C8">
      <w:pPr>
        <w:widowControl w:val="0"/>
        <w:tabs>
          <w:tab w:val="left" w:pos="794"/>
          <w:tab w:val="left" w:pos="1191"/>
          <w:tab w:val="left" w:pos="1588"/>
          <w:tab w:val="left" w:pos="1985"/>
        </w:tabs>
        <w:jc w:val="both"/>
      </w:pPr>
      <w:r>
        <w:rPr>
          <w:rFonts w:eastAsia="Times New Roman"/>
          <w:iCs/>
          <w:szCs w:val="20"/>
          <w:lang w:eastAsia="en-US"/>
        </w:rPr>
        <w:t>Input signals to the models are s</w:t>
      </w:r>
      <w:r w:rsidR="005E3758">
        <w:rPr>
          <w:color w:val="000000"/>
        </w:rPr>
        <w:t>tandard PCM 16 bit linear, Intel byte order, RAW format</w:t>
      </w:r>
      <w:r>
        <w:rPr>
          <w:color w:val="000000"/>
        </w:rPr>
        <w:t xml:space="preserve"> speech files. </w:t>
      </w:r>
      <w:r>
        <w:t>A sampling frequency of 48kHz for reference and captured signals is required. Both the reference and the degraded signal have to be mono signals.</w:t>
      </w:r>
    </w:p>
    <w:p w14:paraId="4366817B" w14:textId="4CA347FF" w:rsidR="005E3758" w:rsidRDefault="005E3758" w:rsidP="005A30C8">
      <w:pPr>
        <w:widowControl w:val="0"/>
        <w:tabs>
          <w:tab w:val="left" w:pos="794"/>
          <w:tab w:val="left" w:pos="1191"/>
          <w:tab w:val="left" w:pos="1588"/>
          <w:tab w:val="left" w:pos="1985"/>
        </w:tabs>
        <w:jc w:val="both"/>
      </w:pPr>
      <w:r>
        <w:t>Acoustical recordings have to be done using HATS with diffuse field equalisation</w:t>
      </w:r>
      <w:r w:rsidR="00070DDF">
        <w:t>, as specified in the table below.</w:t>
      </w:r>
    </w:p>
    <w:p w14:paraId="4E822B84" w14:textId="77777777" w:rsidR="005E3758" w:rsidRDefault="005E3758" w:rsidP="005A30C8">
      <w:pPr>
        <w:jc w:val="both"/>
      </w:pPr>
    </w:p>
    <w:tbl>
      <w:tblPr>
        <w:tblpPr w:leftFromText="180" w:rightFromText="180" w:vertAnchor="text" w:horzAnchor="margin" w:tblpX="108" w:tblpY="-2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8"/>
        <w:gridCol w:w="1176"/>
        <w:gridCol w:w="1224"/>
        <w:gridCol w:w="1566"/>
        <w:gridCol w:w="2160"/>
        <w:gridCol w:w="1901"/>
      </w:tblGrid>
      <w:tr w:rsidR="005E3758" w14:paraId="28B87C9E" w14:textId="77777777" w:rsidTr="00614ED5">
        <w:tc>
          <w:tcPr>
            <w:tcW w:w="1688" w:type="dxa"/>
          </w:tcPr>
          <w:p w14:paraId="72CC4D01" w14:textId="77777777" w:rsidR="005E3758" w:rsidRDefault="005E3758" w:rsidP="005A30C8">
            <w:pPr>
              <w:jc w:val="both"/>
              <w:rPr>
                <w:i/>
              </w:rPr>
            </w:pPr>
            <w:r>
              <w:rPr>
                <w:i/>
              </w:rPr>
              <w:t>Test condition</w:t>
            </w:r>
          </w:p>
        </w:tc>
        <w:tc>
          <w:tcPr>
            <w:tcW w:w="1176" w:type="dxa"/>
          </w:tcPr>
          <w:p w14:paraId="22B30857" w14:textId="77777777" w:rsidR="005E3758" w:rsidRDefault="005E3758" w:rsidP="005A30C8">
            <w:pPr>
              <w:jc w:val="both"/>
              <w:rPr>
                <w:i/>
                <w:sz w:val="22"/>
                <w:szCs w:val="22"/>
              </w:rPr>
            </w:pPr>
            <w:r>
              <w:rPr>
                <w:i/>
                <w:sz w:val="22"/>
                <w:szCs w:val="22"/>
              </w:rPr>
              <w:t>Recording</w:t>
            </w:r>
          </w:p>
        </w:tc>
        <w:tc>
          <w:tcPr>
            <w:tcW w:w="1224" w:type="dxa"/>
          </w:tcPr>
          <w:p w14:paraId="4953B783" w14:textId="77777777" w:rsidR="005E3758" w:rsidRDefault="005E3758" w:rsidP="005A30C8">
            <w:pPr>
              <w:jc w:val="both"/>
              <w:rPr>
                <w:i/>
              </w:rPr>
            </w:pPr>
            <w:r>
              <w:rPr>
                <w:i/>
              </w:rPr>
              <w:t>Reference signal</w:t>
            </w:r>
          </w:p>
        </w:tc>
        <w:tc>
          <w:tcPr>
            <w:tcW w:w="1566" w:type="dxa"/>
          </w:tcPr>
          <w:p w14:paraId="2BB4087D" w14:textId="77777777" w:rsidR="005E3758" w:rsidRDefault="005E3758" w:rsidP="005A30C8">
            <w:pPr>
              <w:jc w:val="both"/>
              <w:rPr>
                <w:i/>
              </w:rPr>
            </w:pPr>
            <w:r>
              <w:rPr>
                <w:i/>
              </w:rPr>
              <w:t>Captured degraded signal</w:t>
            </w:r>
          </w:p>
        </w:tc>
        <w:tc>
          <w:tcPr>
            <w:tcW w:w="2160" w:type="dxa"/>
          </w:tcPr>
          <w:p w14:paraId="34B66C77" w14:textId="77777777" w:rsidR="005E3758" w:rsidRDefault="005E3758" w:rsidP="005A30C8">
            <w:pPr>
              <w:jc w:val="both"/>
              <w:rPr>
                <w:i/>
              </w:rPr>
            </w:pPr>
            <w:r>
              <w:rPr>
                <w:i/>
              </w:rPr>
              <w:t>Signal presentation in LOT</w:t>
            </w:r>
          </w:p>
        </w:tc>
        <w:tc>
          <w:tcPr>
            <w:tcW w:w="1901" w:type="dxa"/>
          </w:tcPr>
          <w:p w14:paraId="556BEEE4" w14:textId="41A2FCF7" w:rsidR="005E3758" w:rsidRDefault="0009419E" w:rsidP="005A30C8">
            <w:pPr>
              <w:jc w:val="both"/>
              <w:rPr>
                <w:i/>
              </w:rPr>
            </w:pPr>
            <w:r>
              <w:rPr>
                <w:i/>
              </w:rPr>
              <w:t>D</w:t>
            </w:r>
            <w:r w:rsidR="005E3758">
              <w:rPr>
                <w:i/>
              </w:rPr>
              <w:t>egraded signal</w:t>
            </w:r>
            <w:r>
              <w:rPr>
                <w:i/>
              </w:rPr>
              <w:t xml:space="preserve"> for the models</w:t>
            </w:r>
          </w:p>
        </w:tc>
      </w:tr>
      <w:tr w:rsidR="005E3758" w14:paraId="7704926E" w14:textId="77777777" w:rsidTr="00614ED5">
        <w:tc>
          <w:tcPr>
            <w:tcW w:w="1688" w:type="dxa"/>
          </w:tcPr>
          <w:p w14:paraId="4891806E" w14:textId="77777777" w:rsidR="005E3758" w:rsidRDefault="005E3758" w:rsidP="005A30C8">
            <w:pPr>
              <w:jc w:val="both"/>
              <w:rPr>
                <w:sz w:val="20"/>
              </w:rPr>
            </w:pPr>
            <w:r>
              <w:rPr>
                <w:sz w:val="20"/>
              </w:rPr>
              <w:t>Super-wideband</w:t>
            </w:r>
          </w:p>
        </w:tc>
        <w:tc>
          <w:tcPr>
            <w:tcW w:w="1176" w:type="dxa"/>
          </w:tcPr>
          <w:p w14:paraId="10F8DD4C" w14:textId="77777777" w:rsidR="005E3758" w:rsidRDefault="005E3758" w:rsidP="005A30C8">
            <w:pPr>
              <w:jc w:val="both"/>
              <w:rPr>
                <w:sz w:val="20"/>
              </w:rPr>
            </w:pPr>
            <w:r>
              <w:rPr>
                <w:i/>
                <w:sz w:val="20"/>
              </w:rPr>
              <w:t>Electr.</w:t>
            </w:r>
          </w:p>
        </w:tc>
        <w:tc>
          <w:tcPr>
            <w:tcW w:w="1224" w:type="dxa"/>
          </w:tcPr>
          <w:p w14:paraId="364E5E36" w14:textId="77777777" w:rsidR="005E3758" w:rsidRDefault="005E3758" w:rsidP="005A30C8">
            <w:pPr>
              <w:jc w:val="both"/>
              <w:rPr>
                <w:sz w:val="20"/>
              </w:rPr>
            </w:pPr>
            <w:r>
              <w:rPr>
                <w:sz w:val="20"/>
              </w:rPr>
              <w:t>48kHz mono</w:t>
            </w:r>
          </w:p>
        </w:tc>
        <w:tc>
          <w:tcPr>
            <w:tcW w:w="1566" w:type="dxa"/>
          </w:tcPr>
          <w:p w14:paraId="778120E5" w14:textId="77777777" w:rsidR="005E3758" w:rsidRDefault="005E3758" w:rsidP="005A30C8">
            <w:pPr>
              <w:jc w:val="both"/>
              <w:rPr>
                <w:sz w:val="20"/>
              </w:rPr>
            </w:pPr>
            <w:r>
              <w:rPr>
                <w:sz w:val="20"/>
              </w:rPr>
              <w:t>48kHz mono</w:t>
            </w:r>
            <w:r>
              <w:rPr>
                <w:sz w:val="20"/>
              </w:rPr>
              <w:br/>
            </w:r>
          </w:p>
        </w:tc>
        <w:tc>
          <w:tcPr>
            <w:tcW w:w="2160" w:type="dxa"/>
          </w:tcPr>
          <w:p w14:paraId="2FD7E4E2" w14:textId="3B7E3A88" w:rsidR="005E3758" w:rsidRDefault="005E3758" w:rsidP="005A30C8">
            <w:pPr>
              <w:jc w:val="both"/>
              <w:rPr>
                <w:sz w:val="20"/>
              </w:rPr>
            </w:pPr>
            <w:r>
              <w:rPr>
                <w:sz w:val="20"/>
              </w:rPr>
              <w:t>48</w:t>
            </w:r>
            <w:r w:rsidR="00751B8C">
              <w:rPr>
                <w:sz w:val="20"/>
              </w:rPr>
              <w:t>kHz mono over both</w:t>
            </w:r>
            <w:r>
              <w:rPr>
                <w:sz w:val="20"/>
              </w:rPr>
              <w:t xml:space="preserve"> ears </w:t>
            </w:r>
          </w:p>
        </w:tc>
        <w:tc>
          <w:tcPr>
            <w:tcW w:w="1901" w:type="dxa"/>
          </w:tcPr>
          <w:p w14:paraId="087476F7" w14:textId="77777777" w:rsidR="005E3758" w:rsidRDefault="005E3758" w:rsidP="005A30C8">
            <w:pPr>
              <w:jc w:val="both"/>
              <w:rPr>
                <w:sz w:val="20"/>
              </w:rPr>
            </w:pPr>
            <w:r>
              <w:rPr>
                <w:sz w:val="20"/>
              </w:rPr>
              <w:t>48kHz mono</w:t>
            </w:r>
          </w:p>
        </w:tc>
      </w:tr>
      <w:tr w:rsidR="005E3758" w14:paraId="0DFE0A82" w14:textId="77777777" w:rsidTr="00614ED5">
        <w:tc>
          <w:tcPr>
            <w:tcW w:w="1688" w:type="dxa"/>
          </w:tcPr>
          <w:p w14:paraId="057288B7" w14:textId="77777777" w:rsidR="005E3758" w:rsidRDefault="005E3758" w:rsidP="005A30C8">
            <w:pPr>
              <w:jc w:val="both"/>
              <w:rPr>
                <w:sz w:val="20"/>
              </w:rPr>
            </w:pPr>
            <w:r>
              <w:rPr>
                <w:sz w:val="20"/>
              </w:rPr>
              <w:t>Super-wideband Narrowband</w:t>
            </w:r>
          </w:p>
        </w:tc>
        <w:tc>
          <w:tcPr>
            <w:tcW w:w="1176" w:type="dxa"/>
          </w:tcPr>
          <w:p w14:paraId="15F3869C" w14:textId="77777777" w:rsidR="005E3758" w:rsidRDefault="005E3758" w:rsidP="005A30C8">
            <w:pPr>
              <w:jc w:val="both"/>
              <w:rPr>
                <w:sz w:val="20"/>
              </w:rPr>
            </w:pPr>
            <w:r>
              <w:rPr>
                <w:i/>
                <w:sz w:val="20"/>
              </w:rPr>
              <w:t>Acoust.</w:t>
            </w:r>
          </w:p>
        </w:tc>
        <w:tc>
          <w:tcPr>
            <w:tcW w:w="1224" w:type="dxa"/>
          </w:tcPr>
          <w:p w14:paraId="3A7FD601" w14:textId="77777777" w:rsidR="005E3758" w:rsidRDefault="005E3758" w:rsidP="005A30C8">
            <w:pPr>
              <w:jc w:val="both"/>
              <w:rPr>
                <w:i/>
                <w:sz w:val="20"/>
              </w:rPr>
            </w:pPr>
            <w:r>
              <w:rPr>
                <w:sz w:val="20"/>
              </w:rPr>
              <w:t>48kHz mono</w:t>
            </w:r>
          </w:p>
        </w:tc>
        <w:tc>
          <w:tcPr>
            <w:tcW w:w="1566" w:type="dxa"/>
          </w:tcPr>
          <w:p w14:paraId="5541BB34" w14:textId="77777777" w:rsidR="005E3758" w:rsidRDefault="005E3758" w:rsidP="005A30C8">
            <w:pPr>
              <w:jc w:val="both"/>
              <w:rPr>
                <w:i/>
                <w:sz w:val="20"/>
              </w:rPr>
            </w:pPr>
            <w:r>
              <w:rPr>
                <w:sz w:val="20"/>
              </w:rPr>
              <w:t>48kHz mono</w:t>
            </w:r>
          </w:p>
        </w:tc>
        <w:tc>
          <w:tcPr>
            <w:tcW w:w="2160" w:type="dxa"/>
          </w:tcPr>
          <w:p w14:paraId="55B7A7BC" w14:textId="7A24ADDC" w:rsidR="005E3758" w:rsidRDefault="005E3758" w:rsidP="005A30C8">
            <w:pPr>
              <w:jc w:val="both"/>
              <w:rPr>
                <w:i/>
                <w:sz w:val="20"/>
              </w:rPr>
            </w:pPr>
            <w:r>
              <w:rPr>
                <w:sz w:val="20"/>
              </w:rPr>
              <w:t xml:space="preserve">48kHz </w:t>
            </w:r>
            <w:r w:rsidR="00751B8C">
              <w:rPr>
                <w:sz w:val="20"/>
              </w:rPr>
              <w:t>mono over both</w:t>
            </w:r>
            <w:r>
              <w:rPr>
                <w:sz w:val="20"/>
              </w:rPr>
              <w:t xml:space="preserve"> ears </w:t>
            </w:r>
          </w:p>
        </w:tc>
        <w:tc>
          <w:tcPr>
            <w:tcW w:w="1901" w:type="dxa"/>
          </w:tcPr>
          <w:p w14:paraId="01AABC14" w14:textId="77777777" w:rsidR="005E3758" w:rsidRDefault="005E3758" w:rsidP="005A30C8">
            <w:pPr>
              <w:jc w:val="both"/>
              <w:rPr>
                <w:i/>
                <w:sz w:val="20"/>
              </w:rPr>
            </w:pPr>
            <w:r>
              <w:rPr>
                <w:sz w:val="20"/>
              </w:rPr>
              <w:t>48kHz mono</w:t>
            </w:r>
          </w:p>
        </w:tc>
      </w:tr>
      <w:tr w:rsidR="005E3758" w14:paraId="77E86815" w14:textId="77777777" w:rsidTr="00614ED5">
        <w:tc>
          <w:tcPr>
            <w:tcW w:w="1688" w:type="dxa"/>
          </w:tcPr>
          <w:p w14:paraId="65E5DC64" w14:textId="77777777" w:rsidR="005E3758" w:rsidRDefault="005E3758" w:rsidP="005A30C8">
            <w:pPr>
              <w:jc w:val="both"/>
              <w:rPr>
                <w:sz w:val="20"/>
              </w:rPr>
            </w:pPr>
            <w:r>
              <w:rPr>
                <w:sz w:val="20"/>
              </w:rPr>
              <w:t>Narrowband</w:t>
            </w:r>
          </w:p>
        </w:tc>
        <w:tc>
          <w:tcPr>
            <w:tcW w:w="1176" w:type="dxa"/>
          </w:tcPr>
          <w:p w14:paraId="3E44DDE4" w14:textId="77777777" w:rsidR="005E3758" w:rsidRDefault="005E3758" w:rsidP="005A30C8">
            <w:pPr>
              <w:jc w:val="both"/>
              <w:rPr>
                <w:sz w:val="20"/>
              </w:rPr>
            </w:pPr>
            <w:r>
              <w:rPr>
                <w:i/>
                <w:sz w:val="20"/>
              </w:rPr>
              <w:t>Electr.</w:t>
            </w:r>
          </w:p>
        </w:tc>
        <w:tc>
          <w:tcPr>
            <w:tcW w:w="1224" w:type="dxa"/>
          </w:tcPr>
          <w:p w14:paraId="73014D71" w14:textId="77777777" w:rsidR="005E3758" w:rsidRDefault="005E3758" w:rsidP="005A30C8">
            <w:pPr>
              <w:jc w:val="both"/>
              <w:rPr>
                <w:sz w:val="20"/>
              </w:rPr>
            </w:pPr>
            <w:r>
              <w:rPr>
                <w:sz w:val="20"/>
              </w:rPr>
              <w:t>48kHz mono</w:t>
            </w:r>
          </w:p>
        </w:tc>
        <w:tc>
          <w:tcPr>
            <w:tcW w:w="1566" w:type="dxa"/>
          </w:tcPr>
          <w:p w14:paraId="1404CB2F" w14:textId="77777777" w:rsidR="005E3758" w:rsidRDefault="005E3758" w:rsidP="005A30C8">
            <w:pPr>
              <w:jc w:val="both"/>
              <w:rPr>
                <w:sz w:val="20"/>
              </w:rPr>
            </w:pPr>
            <w:r>
              <w:rPr>
                <w:sz w:val="20"/>
              </w:rPr>
              <w:t>8, 16, 48kHz mono</w:t>
            </w:r>
          </w:p>
        </w:tc>
        <w:tc>
          <w:tcPr>
            <w:tcW w:w="2160" w:type="dxa"/>
          </w:tcPr>
          <w:p w14:paraId="16F3898B" w14:textId="77C00121" w:rsidR="005E3758" w:rsidRDefault="005E3758" w:rsidP="005A30C8">
            <w:pPr>
              <w:jc w:val="both"/>
              <w:rPr>
                <w:sz w:val="20"/>
              </w:rPr>
            </w:pPr>
            <w:r>
              <w:rPr>
                <w:sz w:val="20"/>
              </w:rPr>
              <w:t>48</w:t>
            </w:r>
            <w:r w:rsidR="00751B8C">
              <w:rPr>
                <w:sz w:val="20"/>
              </w:rPr>
              <w:t>kHz mono over</w:t>
            </w:r>
            <w:r>
              <w:rPr>
                <w:sz w:val="20"/>
              </w:rPr>
              <w:t xml:space="preserve"> both ears </w:t>
            </w:r>
          </w:p>
        </w:tc>
        <w:tc>
          <w:tcPr>
            <w:tcW w:w="1901" w:type="dxa"/>
          </w:tcPr>
          <w:p w14:paraId="17F04735" w14:textId="77777777" w:rsidR="005E3758" w:rsidRDefault="005E3758" w:rsidP="005A30C8">
            <w:pPr>
              <w:jc w:val="both"/>
              <w:rPr>
                <w:sz w:val="20"/>
              </w:rPr>
            </w:pPr>
            <w:r>
              <w:rPr>
                <w:sz w:val="20"/>
              </w:rPr>
              <w:t>48kHz mono</w:t>
            </w:r>
          </w:p>
        </w:tc>
      </w:tr>
      <w:tr w:rsidR="005E3758" w14:paraId="52BD2697" w14:textId="77777777" w:rsidTr="00614ED5">
        <w:tc>
          <w:tcPr>
            <w:tcW w:w="1688" w:type="dxa"/>
          </w:tcPr>
          <w:p w14:paraId="29EDF7CC" w14:textId="77777777" w:rsidR="005E3758" w:rsidRDefault="005E3758" w:rsidP="005A30C8">
            <w:pPr>
              <w:jc w:val="both"/>
              <w:rPr>
                <w:sz w:val="20"/>
              </w:rPr>
            </w:pPr>
            <w:r>
              <w:rPr>
                <w:sz w:val="20"/>
              </w:rPr>
              <w:t>Wideband</w:t>
            </w:r>
          </w:p>
        </w:tc>
        <w:tc>
          <w:tcPr>
            <w:tcW w:w="1176" w:type="dxa"/>
          </w:tcPr>
          <w:p w14:paraId="294824DA" w14:textId="77777777" w:rsidR="005E3758" w:rsidRDefault="005E3758" w:rsidP="005A30C8">
            <w:pPr>
              <w:jc w:val="both"/>
              <w:rPr>
                <w:i/>
                <w:sz w:val="20"/>
              </w:rPr>
            </w:pPr>
            <w:r>
              <w:rPr>
                <w:i/>
                <w:sz w:val="20"/>
              </w:rPr>
              <w:t>Electr.</w:t>
            </w:r>
          </w:p>
        </w:tc>
        <w:tc>
          <w:tcPr>
            <w:tcW w:w="1224" w:type="dxa"/>
          </w:tcPr>
          <w:p w14:paraId="4FBA8D92" w14:textId="77777777" w:rsidR="005E3758" w:rsidRDefault="005E3758" w:rsidP="005A30C8">
            <w:pPr>
              <w:jc w:val="both"/>
              <w:rPr>
                <w:sz w:val="20"/>
              </w:rPr>
            </w:pPr>
            <w:r>
              <w:rPr>
                <w:sz w:val="20"/>
              </w:rPr>
              <w:t>48kHz mono</w:t>
            </w:r>
            <w:r>
              <w:rPr>
                <w:sz w:val="20"/>
              </w:rPr>
              <w:br/>
            </w:r>
          </w:p>
        </w:tc>
        <w:tc>
          <w:tcPr>
            <w:tcW w:w="1566" w:type="dxa"/>
          </w:tcPr>
          <w:p w14:paraId="42D5F3BA" w14:textId="77777777" w:rsidR="005E3758" w:rsidRDefault="005E3758" w:rsidP="005A30C8">
            <w:pPr>
              <w:jc w:val="both"/>
              <w:rPr>
                <w:sz w:val="20"/>
              </w:rPr>
            </w:pPr>
            <w:r>
              <w:rPr>
                <w:sz w:val="20"/>
              </w:rPr>
              <w:t>16kHz mono</w:t>
            </w:r>
            <w:r>
              <w:rPr>
                <w:sz w:val="20"/>
              </w:rPr>
              <w:br/>
              <w:t>(48kHz mono)</w:t>
            </w:r>
          </w:p>
        </w:tc>
        <w:tc>
          <w:tcPr>
            <w:tcW w:w="2160" w:type="dxa"/>
          </w:tcPr>
          <w:p w14:paraId="24F410AC" w14:textId="77777777" w:rsidR="005E3758" w:rsidRDefault="005E3758" w:rsidP="005A30C8">
            <w:pPr>
              <w:jc w:val="both"/>
              <w:rPr>
                <w:sz w:val="20"/>
              </w:rPr>
            </w:pPr>
            <w:r>
              <w:rPr>
                <w:i/>
                <w:sz w:val="20"/>
              </w:rPr>
              <w:t xml:space="preserve"> </w:t>
            </w:r>
            <w:r>
              <w:rPr>
                <w:sz w:val="20"/>
              </w:rPr>
              <w:t>48kHz mono over both ears</w:t>
            </w:r>
          </w:p>
        </w:tc>
        <w:tc>
          <w:tcPr>
            <w:tcW w:w="1901" w:type="dxa"/>
          </w:tcPr>
          <w:p w14:paraId="423051C1" w14:textId="77777777" w:rsidR="005E3758" w:rsidRDefault="005E3758" w:rsidP="005A30C8">
            <w:pPr>
              <w:jc w:val="both"/>
              <w:rPr>
                <w:sz w:val="20"/>
              </w:rPr>
            </w:pPr>
            <w:r>
              <w:rPr>
                <w:sz w:val="20"/>
              </w:rPr>
              <w:t>48kHz mono</w:t>
            </w:r>
          </w:p>
        </w:tc>
      </w:tr>
    </w:tbl>
    <w:p w14:paraId="53DE3155" w14:textId="2EECD974" w:rsidR="005E3758" w:rsidRDefault="005E3758" w:rsidP="005A30C8">
      <w:pPr>
        <w:jc w:val="both"/>
      </w:pPr>
      <w:r>
        <w:t xml:space="preserve">The measuring interface for </w:t>
      </w:r>
      <w:r w:rsidR="00A16639">
        <w:t>the models of this Recommendation</w:t>
      </w:r>
      <w:r>
        <w:t xml:space="preserve"> is either an electrical network termination point (or an equivalent) or the acoustical interface of the terminal using an artificial ear. </w:t>
      </w:r>
    </w:p>
    <w:p w14:paraId="28F9933D" w14:textId="46413F2E" w:rsidR="005E3758" w:rsidRDefault="005E3758" w:rsidP="005A30C8">
      <w:pPr>
        <w:tabs>
          <w:tab w:val="left" w:pos="794"/>
          <w:tab w:val="left" w:pos="1191"/>
          <w:tab w:val="left" w:pos="1588"/>
          <w:tab w:val="left" w:pos="1985"/>
        </w:tabs>
        <w:overflowPunct w:val="0"/>
        <w:autoSpaceDE w:val="0"/>
        <w:autoSpaceDN w:val="0"/>
        <w:adjustRightInd w:val="0"/>
        <w:jc w:val="both"/>
        <w:textAlignment w:val="baseline"/>
      </w:pPr>
      <w:r>
        <w:t>The receiving terminal is considered to have a flat frequency response. Therefore, for electrically captured signals the reference receiving model might be a flat response only. Since the acoustical (equalized) captured signal can also be assumed as “flat”, a different input filter for the model between acoustical and electrical recorded material is not necessary. Consequently, the model</w:t>
      </w:r>
      <w:r w:rsidR="00A16639">
        <w:t>s do not have</w:t>
      </w:r>
      <w:r>
        <w:t xml:space="preserve"> a “switch” between electrical and acoustical recordings. </w:t>
      </w:r>
    </w:p>
    <w:p w14:paraId="31C23DF0" w14:textId="37E21800" w:rsidR="00A16639" w:rsidRDefault="00A16639" w:rsidP="005A30C8">
      <w:pPr>
        <w:pStyle w:val="Heading2"/>
        <w:numPr>
          <w:ilvl w:val="2"/>
          <w:numId w:val="23"/>
        </w:numPr>
        <w:jc w:val="both"/>
      </w:pPr>
      <w:r>
        <w:t>Model output</w:t>
      </w:r>
    </w:p>
    <w:p w14:paraId="329FF808" w14:textId="4AFC789B" w:rsidR="005E3758" w:rsidRPr="00A16639" w:rsidRDefault="00A16639" w:rsidP="005A30C8">
      <w:pPr>
        <w:jc w:val="both"/>
        <w:rPr>
          <w:iCs/>
        </w:rPr>
      </w:pPr>
      <w:r w:rsidRPr="00A16639">
        <w:rPr>
          <w:iCs/>
        </w:rPr>
        <w:t xml:space="preserve">The output of the models </w:t>
      </w:r>
      <w:r>
        <w:rPr>
          <w:iCs/>
        </w:rPr>
        <w:t>is given in terms of estimated average scores for “Coloration” (MOS-C), Discontinuity” (MOS-D), “Noisiness” (MOS-N) and “Sub-optimum Loudness” (MOS-L).</w:t>
      </w:r>
    </w:p>
    <w:p w14:paraId="5E763F95" w14:textId="5A91BB22" w:rsidR="001F5FA9" w:rsidRDefault="001F5FA9" w:rsidP="005A30C8">
      <w:pPr>
        <w:pStyle w:val="Heading2"/>
        <w:numPr>
          <w:ilvl w:val="2"/>
          <w:numId w:val="23"/>
        </w:numPr>
        <w:jc w:val="both"/>
      </w:pPr>
      <w:r>
        <w:lastRenderedPageBreak/>
        <w:t>Scoring of background noise</w:t>
      </w:r>
    </w:p>
    <w:p w14:paraId="2FDB1709" w14:textId="108466F8" w:rsidR="005E3758" w:rsidRPr="000C7712" w:rsidRDefault="001F5FA9" w:rsidP="005A30C8">
      <w:pPr>
        <w:jc w:val="both"/>
      </w:pPr>
      <w:r>
        <w:t>N</w:t>
      </w:r>
      <w:r w:rsidR="005E3758">
        <w:t xml:space="preserve">oise at the sending side or inserted in the transmission chain </w:t>
      </w:r>
      <w:r>
        <w:t>is</w:t>
      </w:r>
      <w:r w:rsidR="005E3758">
        <w:t xml:space="preserve"> a </w:t>
      </w:r>
      <w:r>
        <w:t xml:space="preserve">perceptual degradation in terms of “Noisiness”, and is thus </w:t>
      </w:r>
      <w:r w:rsidR="00387BE1">
        <w:t>considered</w:t>
      </w:r>
      <w:r>
        <w:t xml:space="preserve"> in the predictions of the model. </w:t>
      </w:r>
      <w:r w:rsidR="005E3758" w:rsidRPr="000C7712">
        <w:t xml:space="preserve">The prediction of </w:t>
      </w:r>
      <w:r w:rsidR="005E3758">
        <w:t>perceptual quality dimensions</w:t>
      </w:r>
      <w:r w:rsidR="005E3758" w:rsidRPr="000C7712">
        <w:t xml:space="preserve"> as it can be perceived in a noisy listening environment and the related binaural effects are not in the scope of</w:t>
      </w:r>
      <w:r>
        <w:t xml:space="preserve"> this Recommendation.</w:t>
      </w:r>
    </w:p>
    <w:p w14:paraId="030F90A9" w14:textId="6E4CAD4B" w:rsidR="005E3758" w:rsidRDefault="005E3758" w:rsidP="005A30C8">
      <w:pPr>
        <w:jc w:val="both"/>
      </w:pPr>
      <w:r w:rsidRPr="000C7712">
        <w:t xml:space="preserve">There are test cases where the bandwidth of the background noise exceeds the bandwidth of the </w:t>
      </w:r>
      <w:r w:rsidR="001F5FA9">
        <w:t>speech</w:t>
      </w:r>
      <w:r w:rsidRPr="000C7712">
        <w:t xml:space="preserve"> signal significantly</w:t>
      </w:r>
      <w:r w:rsidR="001F5FA9">
        <w:t>,</w:t>
      </w:r>
      <w:r w:rsidRPr="000C7712">
        <w:t xml:space="preserve"> and contributes a perceptible amount of energy outside the voice band (i.e. narrowband voice superimposed with super-wideband noise signals).</w:t>
      </w:r>
      <w:r>
        <w:rPr>
          <w:rStyle w:val="FootnoteReference"/>
        </w:rPr>
        <w:footnoteReference w:id="2"/>
      </w:r>
      <w:r w:rsidRPr="000C7712">
        <w:t xml:space="preserve"> </w:t>
      </w:r>
      <w:r w:rsidR="001F5FA9">
        <w:t>Corresponding speech</w:t>
      </w:r>
      <w:r w:rsidRPr="000C7712">
        <w:t xml:space="preserve"> samples do not violate the </w:t>
      </w:r>
      <w:r w:rsidR="001F5FA9">
        <w:t>application of this Recommendation,</w:t>
      </w:r>
      <w:r w:rsidRPr="000C7712">
        <w:t xml:space="preserve"> but were not tested yet.</w:t>
      </w:r>
    </w:p>
    <w:p w14:paraId="28E508CE" w14:textId="367DE60C" w:rsidR="001F5FA9" w:rsidRDefault="001F5FA9" w:rsidP="005A30C8">
      <w:pPr>
        <w:pStyle w:val="Heading2"/>
        <w:numPr>
          <w:ilvl w:val="2"/>
          <w:numId w:val="23"/>
        </w:numPr>
        <w:jc w:val="both"/>
      </w:pPr>
      <w:r>
        <w:t>Scoring of temporal clipping</w:t>
      </w:r>
    </w:p>
    <w:p w14:paraId="6DB7A008" w14:textId="492405F3" w:rsidR="005E3758" w:rsidRDefault="001F5FA9" w:rsidP="005A30C8">
      <w:pPr>
        <w:jc w:val="both"/>
      </w:pPr>
      <w:r>
        <w:t xml:space="preserve">Depending on the set-up and instructions given in an Absolute Category Rating (ACR) test with speech signals affected by temporal clipping, </w:t>
      </w:r>
      <w:r w:rsidR="005E3758">
        <w:t xml:space="preserve">inconsistent scores </w:t>
      </w:r>
      <w:r>
        <w:t xml:space="preserve">may be obtained </w:t>
      </w:r>
      <w:r w:rsidR="005E3758">
        <w:t>if speech is partially missing. The scores might be too optimistic in certain cases, e.g. if whole words, phrases or sentences are missed</w:t>
      </w:r>
      <w:r>
        <w:t>, or more pessimistic, in case that the missing words are not perceivable by the listener</w:t>
      </w:r>
      <w:r w:rsidR="005E3758">
        <w:t xml:space="preserve">. </w:t>
      </w:r>
      <w:r w:rsidR="00EE1570">
        <w:t>The model scores for “Discontinuity” mostly reflect speech signals where</w:t>
      </w:r>
      <w:r w:rsidR="005E3758">
        <w:t xml:space="preserve"> missed voice is clearly perceptible in an ACR context</w:t>
      </w:r>
      <w:r w:rsidR="00EE1570">
        <w:t>, but still</w:t>
      </w:r>
      <w:r w:rsidR="005E3758">
        <w:t xml:space="preserve"> without having the reference signal for comparison</w:t>
      </w:r>
      <w:r w:rsidR="00EE1570">
        <w:t xml:space="preserve"> (as it is an ACR context). </w:t>
      </w:r>
    </w:p>
    <w:p w14:paraId="2201D568" w14:textId="77777777" w:rsidR="00992CCB" w:rsidRDefault="00992CCB" w:rsidP="005A30C8">
      <w:pPr>
        <w:pStyle w:val="Heading1"/>
        <w:jc w:val="both"/>
      </w:pPr>
      <w:bookmarkStart w:id="9" w:name="_Toc288222426"/>
      <w:bookmarkStart w:id="10" w:name="_Toc288222899"/>
      <w:bookmarkStart w:id="11" w:name="_Toc289262618"/>
      <w:bookmarkStart w:id="12" w:name="_Toc295130581"/>
      <w:bookmarkStart w:id="13" w:name="_Toc295394466"/>
      <w:bookmarkStart w:id="14" w:name="_Toc297536452"/>
      <w:bookmarkStart w:id="15" w:name="_Toc400716246"/>
      <w:bookmarkStart w:id="16" w:name="_Toc400955737"/>
      <w:bookmarkStart w:id="17" w:name="_Toc408903949"/>
      <w:bookmarkStart w:id="18" w:name="_Toc412445362"/>
      <w:bookmarkStart w:id="19" w:name="_Toc512410690"/>
      <w:bookmarkStart w:id="20" w:name="_Toc514142708"/>
      <w:r>
        <w:t>7</w:t>
      </w:r>
      <w:r>
        <w:tab/>
        <w:t>Comparison between objective and subjective scores</w:t>
      </w:r>
      <w:bookmarkEnd w:id="9"/>
      <w:bookmarkEnd w:id="10"/>
      <w:bookmarkEnd w:id="11"/>
      <w:bookmarkEnd w:id="12"/>
      <w:bookmarkEnd w:id="13"/>
      <w:bookmarkEnd w:id="14"/>
      <w:bookmarkEnd w:id="15"/>
      <w:bookmarkEnd w:id="16"/>
      <w:bookmarkEnd w:id="17"/>
      <w:bookmarkEnd w:id="18"/>
      <w:bookmarkEnd w:id="19"/>
      <w:bookmarkEnd w:id="20"/>
    </w:p>
    <w:p w14:paraId="090F6B9C" w14:textId="05D5B17A" w:rsidR="00BA047D" w:rsidRDefault="00992CCB" w:rsidP="005A30C8">
      <w:pPr>
        <w:keepNext/>
        <w:keepLines/>
        <w:jc w:val="both"/>
      </w:pPr>
      <w:r>
        <w:t>[ITU-T P.863] describes in Section 7 how a comparison between objective (predicted) scores and subjective scores should be performed, however for the judgment of the overall quality, and the resulting Mean Opinion Score (MOS). The same</w:t>
      </w:r>
      <w:r w:rsidR="00BA047D">
        <w:t xml:space="preserve"> principles apply here, but for the prediction of perceptual dimensions scores related to “Coloration”, “Discontinuity”, “Noisiness” and “Sub-optimum Loudness”, and their corresponding averages</w:t>
      </w:r>
      <w:r w:rsidR="00EE4A3E">
        <w:t xml:space="preserve"> MOS-C, MOS-D, MOS-N and MOS-L</w:t>
      </w:r>
      <w:r w:rsidR="00044A72">
        <w:t>.</w:t>
      </w:r>
    </w:p>
    <w:p w14:paraId="3FD0ABD9" w14:textId="77777777" w:rsidR="00BA047D" w:rsidRDefault="00BA047D" w:rsidP="005A30C8">
      <w:pPr>
        <w:pStyle w:val="Heading1"/>
        <w:jc w:val="both"/>
      </w:pPr>
      <w:bookmarkStart w:id="21" w:name="_Toc288222427"/>
      <w:bookmarkStart w:id="22" w:name="_Toc288222900"/>
      <w:bookmarkStart w:id="23" w:name="_Toc289262619"/>
      <w:bookmarkStart w:id="24" w:name="_Toc295130582"/>
      <w:bookmarkStart w:id="25" w:name="_Toc295394467"/>
      <w:bookmarkStart w:id="26" w:name="_Toc297536453"/>
      <w:bookmarkStart w:id="27" w:name="_Toc400716247"/>
      <w:bookmarkStart w:id="28" w:name="_Toc400955738"/>
      <w:bookmarkStart w:id="29" w:name="_Toc408903950"/>
      <w:bookmarkStart w:id="30" w:name="_Toc412445363"/>
      <w:bookmarkStart w:id="31" w:name="_Toc512410691"/>
      <w:bookmarkStart w:id="32" w:name="_Toc514142709"/>
      <w:r>
        <w:t>8</w:t>
      </w:r>
      <w:r>
        <w:tab/>
        <w:t>Speech material</w:t>
      </w:r>
      <w:bookmarkEnd w:id="21"/>
      <w:bookmarkEnd w:id="22"/>
      <w:bookmarkEnd w:id="23"/>
      <w:bookmarkEnd w:id="24"/>
      <w:bookmarkEnd w:id="25"/>
      <w:bookmarkEnd w:id="26"/>
      <w:bookmarkEnd w:id="27"/>
      <w:bookmarkEnd w:id="28"/>
      <w:bookmarkEnd w:id="29"/>
      <w:bookmarkEnd w:id="30"/>
      <w:bookmarkEnd w:id="31"/>
      <w:bookmarkEnd w:id="32"/>
    </w:p>
    <w:p w14:paraId="717FF889" w14:textId="29B08FC2" w:rsidR="002859AD" w:rsidRDefault="002859AD" w:rsidP="005A30C8">
      <w:pPr>
        <w:jc w:val="both"/>
      </w:pPr>
      <w:r>
        <w:t>ITU-T P.863 defines in detail the characteristics of speech samples to be structured and used for instrumental (objective) measures when measuring at the electrical interface. With modifications this method can be also used for the acoustical path.</w:t>
      </w:r>
    </w:p>
    <w:p w14:paraId="7587BCC5" w14:textId="502534FD" w:rsidR="000F686E" w:rsidRPr="000F686E" w:rsidRDefault="000F686E" w:rsidP="005A30C8">
      <w:pPr>
        <w:jc w:val="both"/>
        <w:rPr>
          <w:color w:val="000000"/>
        </w:rPr>
      </w:pPr>
      <w:r>
        <w:rPr>
          <w:color w:val="000000"/>
        </w:rPr>
        <w:t>The temporal structure given in Section 7 of ITU-T P.863.1 should be also applied for the models described in this Recommendation. The models described in this Recommendation operate on speech material that follows the rules given in P.863.1 and should put no restrictions on the reference and degraded speech file other than those used in P.863.1.</w:t>
      </w:r>
    </w:p>
    <w:p w14:paraId="09F8F271" w14:textId="6A6397CA" w:rsidR="002859AD" w:rsidRDefault="002859AD" w:rsidP="005A30C8">
      <w:pPr>
        <w:pStyle w:val="Heading2"/>
        <w:jc w:val="both"/>
      </w:pPr>
      <w:bookmarkStart w:id="33" w:name="_Toc280623892"/>
      <w:r>
        <w:t>8.1</w:t>
      </w:r>
      <w:r>
        <w:tab/>
      </w:r>
      <w:bookmarkEnd w:id="33"/>
      <w:r w:rsidRPr="002859AD">
        <w:t>Input / reference speech material</w:t>
      </w:r>
      <w:r>
        <w:t xml:space="preserve"> </w:t>
      </w:r>
    </w:p>
    <w:p w14:paraId="32B62924" w14:textId="3ED873C1" w:rsidR="002859AD" w:rsidRDefault="002859AD" w:rsidP="005A30C8">
      <w:pPr>
        <w:jc w:val="both"/>
      </w:pPr>
      <w:r>
        <w:rPr>
          <w:i/>
        </w:rPr>
        <w:t xml:space="preserve">Reference speech </w:t>
      </w:r>
      <w:r>
        <w:t>or</w:t>
      </w:r>
      <w:r>
        <w:rPr>
          <w:i/>
        </w:rPr>
        <w:t xml:space="preserve"> reference signal</w:t>
      </w:r>
      <w:r>
        <w:t xml:space="preserve"> is the original speech signal without any degradation. This should be recorded and stored in conformance with Recommendation P.830. In the case of an acoustical sending path, this signal is used for feeding the artificial mouth. This speech signal is used by the </w:t>
      </w:r>
      <w:r w:rsidR="0009419E">
        <w:t>model</w:t>
      </w:r>
      <w:r>
        <w:t xml:space="preserve"> algorithm</w:t>
      </w:r>
      <w:r w:rsidR="00614E16">
        <w:t>s</w:t>
      </w:r>
      <w:r>
        <w:t xml:space="preserve"> as a reference against which the effects of the system under test are revealed.</w:t>
      </w:r>
      <w:r w:rsidR="00513959">
        <w:t xml:space="preserve"> The reference signal should fulfil the requirements as defined for fullband signals in ITU-T Recommendation P.10.</w:t>
      </w:r>
      <w:r>
        <w:t xml:space="preserve"> </w:t>
      </w:r>
    </w:p>
    <w:p w14:paraId="11552186" w14:textId="40DF07D1" w:rsidR="002859AD" w:rsidRDefault="002859AD" w:rsidP="005A30C8">
      <w:pPr>
        <w:jc w:val="both"/>
      </w:pPr>
      <w:r>
        <w:lastRenderedPageBreak/>
        <w:t>In the case of an electrical insertion, this reference signal is also given to a terminal model, which may reflect narrowband</w:t>
      </w:r>
      <w:r w:rsidR="00614E16">
        <w:t xml:space="preserve">, </w:t>
      </w:r>
      <w:r>
        <w:t xml:space="preserve">super-wideband </w:t>
      </w:r>
      <w:r w:rsidR="00614E16">
        <w:t xml:space="preserve">or fullband </w:t>
      </w:r>
      <w:r>
        <w:t>behaviour of the terminal</w:t>
      </w:r>
      <w:r w:rsidR="00EE013E">
        <w:rPr>
          <w:rStyle w:val="FootnoteReference"/>
        </w:rPr>
        <w:footnoteReference w:id="3"/>
      </w:r>
      <w:r>
        <w:t xml:space="preserve"> to be modelled. For insertion to proprietary interface, a pre-filtering can be applied. It may follow the guidelines described in P.862.3 for those filters. </w:t>
      </w:r>
    </w:p>
    <w:p w14:paraId="09F3C42F" w14:textId="326FC8A7" w:rsidR="002859AD" w:rsidRDefault="002859AD" w:rsidP="005A30C8">
      <w:pPr>
        <w:numPr>
          <w:ilvl w:val="0"/>
          <w:numId w:val="13"/>
        </w:numPr>
        <w:tabs>
          <w:tab w:val="left" w:pos="794"/>
          <w:tab w:val="left" w:pos="1191"/>
          <w:tab w:val="left" w:pos="1588"/>
          <w:tab w:val="left" w:pos="1985"/>
        </w:tabs>
        <w:overflowPunct w:val="0"/>
        <w:autoSpaceDE w:val="0"/>
        <w:autoSpaceDN w:val="0"/>
        <w:adjustRightInd w:val="0"/>
        <w:jc w:val="both"/>
        <w:textAlignment w:val="baseline"/>
      </w:pPr>
      <w:r>
        <w:t xml:space="preserve">The room used for recording reference material must have a reverberation time below 300ms above 200Hz (e.g. an anechoic chamber). Recordings must be made using omni-directional microphones. The distance to the microphone must be approximately 10cm. Background noise must be below 30dBSPL(A). Speech signals will be band pass filtered to 20Hz </w:t>
      </w:r>
      <w:r w:rsidR="00614E16">
        <w:t>..</w:t>
      </w:r>
      <w:r>
        <w:t>.14kHz. Directional microphones are allowed on the condition that the frequency response is the same as with the before mentioned omni-directional microphones.</w:t>
      </w:r>
    </w:p>
    <w:p w14:paraId="67BA02E2" w14:textId="77777777" w:rsidR="002859AD" w:rsidRDefault="002859AD" w:rsidP="005A30C8">
      <w:pPr>
        <w:numPr>
          <w:ilvl w:val="0"/>
          <w:numId w:val="13"/>
        </w:numPr>
        <w:tabs>
          <w:tab w:val="left" w:pos="794"/>
          <w:tab w:val="left" w:pos="1191"/>
          <w:tab w:val="left" w:pos="1588"/>
          <w:tab w:val="left" w:pos="1985"/>
        </w:tabs>
        <w:overflowPunct w:val="0"/>
        <w:autoSpaceDE w:val="0"/>
        <w:autoSpaceDN w:val="0"/>
        <w:adjustRightInd w:val="0"/>
        <w:jc w:val="both"/>
        <w:textAlignment w:val="baseline"/>
      </w:pPr>
      <w:r>
        <w:t xml:space="preserve">The reference speech signals are sampled at 48kHz. </w:t>
      </w:r>
    </w:p>
    <w:p w14:paraId="660D80B3" w14:textId="78043C34" w:rsidR="002859AD" w:rsidRDefault="002859AD" w:rsidP="005A30C8">
      <w:pPr>
        <w:numPr>
          <w:ilvl w:val="0"/>
          <w:numId w:val="13"/>
        </w:numPr>
        <w:tabs>
          <w:tab w:val="left" w:pos="794"/>
          <w:tab w:val="left" w:pos="1191"/>
          <w:tab w:val="left" w:pos="1588"/>
          <w:tab w:val="left" w:pos="1985"/>
        </w:tabs>
        <w:overflowPunct w:val="0"/>
        <w:autoSpaceDE w:val="0"/>
        <w:autoSpaceDN w:val="0"/>
        <w:adjustRightInd w:val="0"/>
        <w:jc w:val="both"/>
        <w:textAlignment w:val="baseline"/>
      </w:pPr>
      <w:r>
        <w:t xml:space="preserve">In the case of narrowband test </w:t>
      </w:r>
      <w:r w:rsidR="00751B8C">
        <w:t>scenarios,</w:t>
      </w:r>
      <w:r>
        <w:t xml:space="preserve"> it is allowable to down-sample the reference signals to 8kHz in a second step for insertion in the test channel (e.g. ISDN/PSTN card). However, for </w:t>
      </w:r>
      <w:r w:rsidR="0009419E">
        <w:t>the models described in this Recommendation</w:t>
      </w:r>
      <w:r>
        <w:t xml:space="preserve"> the reference has to be made available as a 48kHz sampled reference as the test scenario is to be scored in a </w:t>
      </w:r>
      <w:r w:rsidR="00EE4A3E">
        <w:t>fullband</w:t>
      </w:r>
      <w:r>
        <w:t xml:space="preserve"> context. </w:t>
      </w:r>
    </w:p>
    <w:p w14:paraId="2F0F42BF" w14:textId="3C1FA006" w:rsidR="002859AD" w:rsidRDefault="002859AD" w:rsidP="005A30C8">
      <w:pPr>
        <w:jc w:val="both"/>
      </w:pPr>
      <w:r>
        <w:t xml:space="preserve">The reference signal may be further processed before it is inserted in the transmission channel by either adding noises for testing noisy speech or by individual pre-filtering to achieve proper insertion characteristics for customized or proprietary insertion points such as headset connectors (see also ITU-T P.862.3. Section 9.1). These processing steps are considered part of the system under test, but the reference signal for </w:t>
      </w:r>
      <w:r w:rsidR="0009419E">
        <w:t>the models described in this Recommendation</w:t>
      </w:r>
      <w:r>
        <w:t xml:space="preserve"> remains unprocessed as described above. </w:t>
      </w:r>
    </w:p>
    <w:p w14:paraId="77806C8E" w14:textId="22348CFE" w:rsidR="002859AD" w:rsidRDefault="002859AD" w:rsidP="005A30C8">
      <w:pPr>
        <w:jc w:val="both"/>
      </w:pPr>
      <w:bookmarkStart w:id="34" w:name="_Toc150488029"/>
      <w:bookmarkStart w:id="35" w:name="_Toc150488127"/>
      <w:bookmarkStart w:id="36" w:name="_Toc150505103"/>
      <w:bookmarkStart w:id="37" w:name="_Toc150506516"/>
      <w:bookmarkStart w:id="38" w:name="_Toc151543414"/>
      <w:bookmarkStart w:id="39" w:name="_Toc157165831"/>
      <w:bookmarkStart w:id="40" w:name="_Toc157165887"/>
      <w:bookmarkStart w:id="41" w:name="_Toc182630188"/>
      <w:bookmarkStart w:id="42" w:name="_Toc189032954"/>
      <w:bookmarkStart w:id="43" w:name="_Toc191049037"/>
      <w:r>
        <w:t xml:space="preserve">Note: The consequences of these definitions and proposals are that each captured sequence will be measured against a flat and noise-free reference in the case of narrow-band and super wideband applications. If the actually used insertion path is not flat, this deviation will be </w:t>
      </w:r>
      <w:r w:rsidR="00751B8C">
        <w:t>considered</w:t>
      </w:r>
      <w:r>
        <w:t xml:space="preserve"> by the model</w:t>
      </w:r>
      <w:r w:rsidR="00614E16">
        <w:t>s</w:t>
      </w:r>
      <w:bookmarkEnd w:id="34"/>
      <w:bookmarkEnd w:id="35"/>
      <w:bookmarkEnd w:id="36"/>
      <w:bookmarkEnd w:id="37"/>
      <w:bookmarkEnd w:id="38"/>
      <w:bookmarkEnd w:id="39"/>
      <w:bookmarkEnd w:id="40"/>
      <w:bookmarkEnd w:id="41"/>
      <w:bookmarkEnd w:id="42"/>
      <w:bookmarkEnd w:id="43"/>
      <w:r w:rsidR="00271B5C">
        <w:t>.</w:t>
      </w:r>
    </w:p>
    <w:p w14:paraId="14D17541" w14:textId="77777777" w:rsidR="002859AD" w:rsidRDefault="002859AD" w:rsidP="005A30C8">
      <w:pPr>
        <w:jc w:val="both"/>
      </w:pPr>
      <w:r>
        <w:t xml:space="preserve">Acoustical insertion applies to handset or hands-free devices. The test setup has to follow the P.340 and/or P.581 or other realistic use cases. Potential differences in the presentation level are allowed and are part of the test conditions. </w:t>
      </w:r>
    </w:p>
    <w:p w14:paraId="428C0738" w14:textId="07659018" w:rsidR="002859AD" w:rsidRDefault="002859AD" w:rsidP="005A30C8">
      <w:pPr>
        <w:jc w:val="both"/>
      </w:pPr>
      <w:r>
        <w:t xml:space="preserve">Note: Some artificial mouth’ are not specified above 10kHz. However, since potential problems in the frequency response or other types of degradations are part of the auditory test and the objective evaluation, this limitation does not affect the evaluation of </w:t>
      </w:r>
      <w:r w:rsidR="0009419E">
        <w:t>the models described in this Recommendation.</w:t>
      </w:r>
    </w:p>
    <w:p w14:paraId="4B7718D8" w14:textId="144287CA" w:rsidR="00614E16" w:rsidRDefault="00614E16" w:rsidP="005A30C8">
      <w:pPr>
        <w:pStyle w:val="Heading2"/>
        <w:jc w:val="both"/>
      </w:pPr>
      <w:bookmarkStart w:id="44" w:name="_Ref151543113"/>
      <w:bookmarkStart w:id="45" w:name="_Toc151543415"/>
      <w:bookmarkStart w:id="46" w:name="_Toc157165832"/>
      <w:bookmarkStart w:id="47" w:name="_Toc157165888"/>
      <w:bookmarkStart w:id="48" w:name="_Toc280623889"/>
      <w:r>
        <w:t>8.2</w:t>
      </w:r>
      <w:r>
        <w:tab/>
        <w:t>Degraded</w:t>
      </w:r>
      <w:r w:rsidRPr="002859AD">
        <w:t xml:space="preserve"> speech material</w:t>
      </w:r>
      <w:r>
        <w:t xml:space="preserve"> </w:t>
      </w:r>
    </w:p>
    <w:bookmarkEnd w:id="44"/>
    <w:bookmarkEnd w:id="45"/>
    <w:bookmarkEnd w:id="46"/>
    <w:bookmarkEnd w:id="47"/>
    <w:bookmarkEnd w:id="48"/>
    <w:p w14:paraId="732A4119" w14:textId="77777777" w:rsidR="002859AD" w:rsidRDefault="002859AD" w:rsidP="005A30C8">
      <w:pPr>
        <w:jc w:val="both"/>
      </w:pPr>
      <w:r>
        <w:rPr>
          <w:i/>
        </w:rPr>
        <w:t xml:space="preserve">Degraded speech </w:t>
      </w:r>
      <w:r>
        <w:t xml:space="preserve">or </w:t>
      </w:r>
      <w:r>
        <w:rPr>
          <w:i/>
        </w:rPr>
        <w:t>degraded</w:t>
      </w:r>
      <w:r>
        <w:t xml:space="preserve"> </w:t>
      </w:r>
      <w:r>
        <w:rPr>
          <w:i/>
        </w:rPr>
        <w:t>signal</w:t>
      </w:r>
      <w:r>
        <w:t xml:space="preserve"> is the </w:t>
      </w:r>
      <w:r>
        <w:rPr>
          <w:i/>
        </w:rPr>
        <w:t>reference speech</w:t>
      </w:r>
      <w:r>
        <w:t xml:space="preserve"> that has passed through the system under test and was captured either at the electrical interface or at the acoustical interface.</w:t>
      </w:r>
    </w:p>
    <w:p w14:paraId="3710473B" w14:textId="77777777" w:rsidR="002859AD" w:rsidRDefault="002859AD" w:rsidP="005A30C8">
      <w:pPr>
        <w:jc w:val="both"/>
      </w:pPr>
      <w:r>
        <w:t xml:space="preserve">Degraded signals have to be provided in mono and sampled at 48kHz. </w:t>
      </w:r>
    </w:p>
    <w:p w14:paraId="068972B0" w14:textId="77777777" w:rsidR="002859AD" w:rsidRDefault="002859AD" w:rsidP="005A30C8">
      <w:pPr>
        <w:jc w:val="both"/>
      </w:pPr>
      <w:r>
        <w:t>A diotic presentation (both ears receive the same mono signal) of the recordings in the auditory test is required.</w:t>
      </w:r>
    </w:p>
    <w:p w14:paraId="62016BA7" w14:textId="75CDB89C" w:rsidR="002859AD" w:rsidRPr="005A30C8" w:rsidRDefault="002859AD" w:rsidP="005A30C8">
      <w:pPr>
        <w:jc w:val="both"/>
      </w:pPr>
      <w:r w:rsidRPr="005A30C8">
        <w:t xml:space="preserve">All recordings to be used by </w:t>
      </w:r>
      <w:r w:rsidR="0009419E">
        <w:t>the models described in this Recommendation</w:t>
      </w:r>
      <w:r w:rsidRPr="005A30C8">
        <w:t xml:space="preserve"> </w:t>
      </w:r>
      <w:r w:rsidR="00CF4FFE" w:rsidRPr="005A30C8">
        <w:t xml:space="preserve">must not apply a filter after recording. </w:t>
      </w:r>
    </w:p>
    <w:p w14:paraId="6B8BDBD4" w14:textId="16DEF4C1" w:rsidR="002859AD" w:rsidRDefault="002859AD" w:rsidP="005A30C8">
      <w:pPr>
        <w:jc w:val="both"/>
      </w:pPr>
      <w:r w:rsidRPr="005A30C8">
        <w:t xml:space="preserve">It is recommended that speech signals presented in the auditory tests also be used as </w:t>
      </w:r>
      <w:r w:rsidRPr="005A30C8">
        <w:rPr>
          <w:i/>
        </w:rPr>
        <w:t>degraded speech</w:t>
      </w:r>
      <w:r w:rsidRPr="005A30C8">
        <w:t xml:space="preserve"> for the objective evaluation. That means signals given to </w:t>
      </w:r>
      <w:r w:rsidR="0009419E">
        <w:t>the models</w:t>
      </w:r>
      <w:r w:rsidRPr="005A30C8">
        <w:t xml:space="preserve"> for evaluation are the same as </w:t>
      </w:r>
      <w:r w:rsidRPr="005A30C8">
        <w:lastRenderedPageBreak/>
        <w:t xml:space="preserve">those used in the subjective test. For </w:t>
      </w:r>
      <w:r w:rsidR="00751B8C" w:rsidRPr="005A30C8">
        <w:t>example,</w:t>
      </w:r>
      <w:r w:rsidRPr="005A30C8">
        <w:t xml:space="preserve"> if a narrow-band condition is presented in the test </w:t>
      </w:r>
      <w:r w:rsidR="00CF4FFE" w:rsidRPr="005A30C8">
        <w:t xml:space="preserve">it should be upsampled to 48kHz before listening or analysing it by the model. </w:t>
      </w:r>
    </w:p>
    <w:p w14:paraId="6F7D3F03" w14:textId="1BED6411" w:rsidR="002859AD" w:rsidRDefault="002859AD" w:rsidP="005A30C8">
      <w:pPr>
        <w:jc w:val="both"/>
      </w:pPr>
      <w:r>
        <w:t xml:space="preserve">Differences in the duration of active speech (e.g. long muted speech intervals) have to be handled by the model. Disadvantages as described in draft ITU-T P.862.3 Section 8.1 should be avoided by </w:t>
      </w:r>
      <w:r w:rsidR="00AA2F51">
        <w:t>the model</w:t>
      </w:r>
      <w:r>
        <w:t>.</w:t>
      </w:r>
    </w:p>
    <w:p w14:paraId="32E73E9E" w14:textId="5C02CFCF" w:rsidR="002859AD" w:rsidRDefault="002859AD" w:rsidP="005A30C8">
      <w:pPr>
        <w:jc w:val="both"/>
      </w:pPr>
      <w:r>
        <w:t xml:space="preserve">Weak noise insertions in the capturing path should not require especially pre-processed </w:t>
      </w:r>
      <w:r>
        <w:rPr>
          <w:i/>
        </w:rPr>
        <w:t>reference signals</w:t>
      </w:r>
      <w:r>
        <w:t xml:space="preserve"> as described in draft ITU-T P.862.3 Section 7.10. Such weak noise insertions also have to be handled properly in the case of noise-free </w:t>
      </w:r>
      <w:r>
        <w:rPr>
          <w:i/>
        </w:rPr>
        <w:t xml:space="preserve">reference signals </w:t>
      </w:r>
      <w:r>
        <w:t xml:space="preserve">by </w:t>
      </w:r>
      <w:r w:rsidR="00AA2F51">
        <w:t>the model</w:t>
      </w:r>
      <w:r>
        <w:t xml:space="preserve"> itself.</w:t>
      </w:r>
    </w:p>
    <w:p w14:paraId="6C59F5DC" w14:textId="77777777" w:rsidR="002859AD" w:rsidRDefault="002859AD" w:rsidP="005A30C8">
      <w:pPr>
        <w:jc w:val="both"/>
      </w:pPr>
      <w:r>
        <w:t xml:space="preserve">Level variations are included as test cases. Those level differences will be restricted to a range of +6dB to –20dB relative to a nominal level of the test application (in case of electrical recording -26dBov or equivalent). All recordings have to include a digital level as well as the sound level used in the auditory test </w:t>
      </w:r>
      <w:r>
        <w:rPr>
          <w:color w:val="000000"/>
        </w:rPr>
        <w:t>for each database.</w:t>
      </w:r>
      <w:r>
        <w:t xml:space="preserve"> </w:t>
      </w:r>
    </w:p>
    <w:p w14:paraId="5239D72E" w14:textId="28365A49" w:rsidR="002859AD" w:rsidRDefault="002859AD" w:rsidP="005A30C8">
      <w:pPr>
        <w:jc w:val="both"/>
      </w:pPr>
      <w:r>
        <w:t>For all test signals delivered for super-wideband</w:t>
      </w:r>
      <w:r w:rsidR="00614E16">
        <w:t xml:space="preserve"> or fullband</w:t>
      </w:r>
      <w:r>
        <w:t>, a digital level of -26dBov (obtained with P.56) corresponds to the nominal presentation level (e.g. 73dB in case of diotic presentation). The actual presentation level can be directly derived from the P.56 level of the degraded signal. (e.g. a level of -34dBov corresponds to a presentation level 8dB below the nominal level).</w:t>
      </w:r>
    </w:p>
    <w:p w14:paraId="1000ED09" w14:textId="25B3A023" w:rsidR="002859AD" w:rsidRDefault="002859AD" w:rsidP="005A30C8">
      <w:pPr>
        <w:jc w:val="both"/>
      </w:pPr>
      <w:r>
        <w:t xml:space="preserve">The adjustment of the listening devices has to be done accordingly. Here the adjustment can be derived by playing out a calibration signal at -26dBov (recommended: speech like babble noise, spectrally shaped </w:t>
      </w:r>
      <w:r w:rsidRPr="00882BCA">
        <w:t>according P.50</w:t>
      </w:r>
      <w:r w:rsidR="00882BCA" w:rsidRPr="007657A6">
        <w:t>)</w:t>
      </w:r>
      <w:r w:rsidRPr="00882BCA">
        <w:t xml:space="preserve"> over</w:t>
      </w:r>
      <w:r>
        <w:t xml:space="preserve"> the listening device and adjusting the sound level at (A-Weighted) ERP by means of an artificial ear to the nominal level.</w:t>
      </w:r>
    </w:p>
    <w:p w14:paraId="429E999E" w14:textId="1CE09711" w:rsidR="00614E16" w:rsidRDefault="00614E16" w:rsidP="005A30C8">
      <w:pPr>
        <w:pStyle w:val="Heading2"/>
        <w:jc w:val="both"/>
      </w:pPr>
      <w:bookmarkStart w:id="49" w:name="_Toc151543416"/>
      <w:bookmarkStart w:id="50" w:name="_Toc157165833"/>
      <w:bookmarkStart w:id="51" w:name="_Toc157165889"/>
      <w:bookmarkStart w:id="52" w:name="_Toc280623890"/>
      <w:r>
        <w:t>8.3</w:t>
      </w:r>
      <w:r>
        <w:tab/>
        <w:t xml:space="preserve">Special Requirements for acoustically captured speech material </w:t>
      </w:r>
    </w:p>
    <w:bookmarkEnd w:id="49"/>
    <w:bookmarkEnd w:id="50"/>
    <w:bookmarkEnd w:id="51"/>
    <w:bookmarkEnd w:id="52"/>
    <w:p w14:paraId="14E01814" w14:textId="01E799FB" w:rsidR="002859AD" w:rsidRDefault="002859AD" w:rsidP="005A30C8">
      <w:pPr>
        <w:widowControl w:val="0"/>
        <w:jc w:val="both"/>
      </w:pPr>
      <w:r>
        <w:t xml:space="preserve">Acoustical recordings have to be conducted using diffuse field equalisation for the artificial ear. In the case of recordings in hands-free scenarios using a loudspeaker or a speakerphone, a complete Head-and-Torso-Simulator (HATS) has to be used. The playback device in the </w:t>
      </w:r>
      <w:r w:rsidR="007657A6">
        <w:t>fullband</w:t>
      </w:r>
      <w:r>
        <w:t xml:space="preserve"> listening test has to be a diffuse field equalized headphone in each case. </w:t>
      </w:r>
    </w:p>
    <w:p w14:paraId="740861BF" w14:textId="77777777" w:rsidR="002859AD" w:rsidRDefault="002859AD" w:rsidP="005A30C8">
      <w:pPr>
        <w:widowControl w:val="0"/>
        <w:jc w:val="both"/>
      </w:pPr>
      <w:r>
        <w:t xml:space="preserve">All acoustically recorded files have to be submitted in mono and sampled at 48kHz. The signals at the acoustical interface have to be recorded by a diffuse field equalized artificial ear. Only the signal recorded at one ear is required. </w:t>
      </w:r>
    </w:p>
    <w:p w14:paraId="009ADC38" w14:textId="77777777" w:rsidR="002859AD" w:rsidRDefault="002859AD" w:rsidP="005A30C8">
      <w:pPr>
        <w:widowControl w:val="0"/>
        <w:jc w:val="both"/>
      </w:pPr>
      <w:r>
        <w:t xml:space="preserve">A diffuse field equalized headphone also has to be used for presentation of such signals in the subjective test. The signal will be presented in diotically; this means that each ear of the subject receives the same (mono) signal. </w:t>
      </w:r>
    </w:p>
    <w:p w14:paraId="4FFEFF53" w14:textId="6EA6E106" w:rsidR="002859AD" w:rsidRDefault="002859AD" w:rsidP="005A30C8">
      <w:pPr>
        <w:jc w:val="both"/>
        <w:rPr>
          <w:color w:val="0000FF"/>
        </w:rPr>
      </w:pPr>
      <w:r>
        <w:t xml:space="preserve">In the case of an acoustically captured signal, the user terminal is part of the recording and will be scored as well. Obvious differences between different play-out levels (caused by the real receiving terminal should be </w:t>
      </w:r>
      <w:r w:rsidR="00751B8C">
        <w:t>considered</w:t>
      </w:r>
      <w:r>
        <w:t xml:space="preserve"> for the quality scoring in the </w:t>
      </w:r>
      <w:r w:rsidR="007657A6">
        <w:t>fullband</w:t>
      </w:r>
      <w:r>
        <w:t xml:space="preserve"> test scenarios. It is highly recommended that the acoustical recordings be presented in the subjective test with the actual sound levels used during recording. </w:t>
      </w:r>
    </w:p>
    <w:p w14:paraId="0495E8BA" w14:textId="77777777" w:rsidR="002859AD" w:rsidRDefault="002859AD" w:rsidP="005A30C8">
      <w:pPr>
        <w:jc w:val="both"/>
      </w:pPr>
      <w:r>
        <w:t xml:space="preserve">The level differences in a test will be restricted to a range of +6dB to –20dB relative to the nominal level of the test application. The nominal level is represented by an electrical level of -26dBov. This nominal level corresponds to 73dB (SPL) at each ear. </w:t>
      </w:r>
    </w:p>
    <w:p w14:paraId="060DD0C9" w14:textId="77777777" w:rsidR="002859AD" w:rsidRDefault="002859AD" w:rsidP="005A30C8">
      <w:pPr>
        <w:jc w:val="both"/>
      </w:pPr>
      <w:r>
        <w:t xml:space="preserve">The actual sound level presented in the listening test should correspond to the sound level during the acoustical recording. It may be necessary to record the settings of the acoustical capturing equipment. In a post-processing step the level of the captured signals can be adjusted so that an electrical signal of -26dBov is presented at 73dB (SPL) at each ear. </w:t>
      </w:r>
    </w:p>
    <w:p w14:paraId="5B0F5EBF" w14:textId="77777777" w:rsidR="002859AD" w:rsidRDefault="002859AD" w:rsidP="005A30C8">
      <w:pPr>
        <w:jc w:val="both"/>
      </w:pPr>
      <w:r>
        <w:t>The signals delivered into the database pool have to be levelled according to Section 2.2.2, where it is defined that a digital level of -26dBov corresponds to the nominal level.</w:t>
      </w:r>
    </w:p>
    <w:p w14:paraId="77B2BA46" w14:textId="63F45E49" w:rsidR="002859AD" w:rsidRDefault="002859AD" w:rsidP="005A30C8">
      <w:pPr>
        <w:jc w:val="both"/>
      </w:pPr>
      <w:r>
        <w:lastRenderedPageBreak/>
        <w:t xml:space="preserve">Note: The artificial ear is not specified above 12kHz. However, since potential problems in the frequency response or other types of degradations are part of the auditory test and the objective evaluation, this limitation does not affect the evaluation of </w:t>
      </w:r>
      <w:r w:rsidR="00AA2F51">
        <w:t>the model</w:t>
      </w:r>
      <w:r>
        <w:t>.</w:t>
      </w:r>
    </w:p>
    <w:p w14:paraId="1EA0F70F" w14:textId="77777777" w:rsidR="002859AD" w:rsidRDefault="002859AD" w:rsidP="005A30C8">
      <w:pPr>
        <w:jc w:val="both"/>
      </w:pPr>
      <w:r>
        <w:t xml:space="preserve">Note: Simulated acoustical recordings, where an electrically captured signal is convolved with an impulse response between the terminal (i.e. Hands Free Reference Point, HFRP) and the artificial ear, are allowed. In the same way, simulations of the acoustical insertion can be used.  </w:t>
      </w:r>
    </w:p>
    <w:p w14:paraId="0F1B5BB8" w14:textId="4D39ABA8" w:rsidR="00614E16" w:rsidRDefault="00614E16" w:rsidP="005A30C8">
      <w:pPr>
        <w:pStyle w:val="Heading2"/>
        <w:jc w:val="both"/>
      </w:pPr>
      <w:r>
        <w:t>8.4</w:t>
      </w:r>
      <w:r>
        <w:tab/>
        <w:t xml:space="preserve">Acoustical insertion / capture for loudspeaker phones </w:t>
      </w:r>
    </w:p>
    <w:p w14:paraId="728EC125" w14:textId="77777777" w:rsidR="002859AD" w:rsidRDefault="002859AD" w:rsidP="005A30C8">
      <w:pPr>
        <w:jc w:val="both"/>
      </w:pPr>
      <w:r>
        <w:t>The hands-free loudspeaker conditions may be recorded in different types of rooms or cars representative of hands-free telephony. Rooms as described in P.340 have to be considered as one type for test conditions considering hands-free loudspeakers. Those recordings may reflect a "normal office-type" room.</w:t>
      </w:r>
    </w:p>
    <w:p w14:paraId="69949F20" w14:textId="77777777" w:rsidR="002859AD" w:rsidRDefault="002859AD" w:rsidP="005A30C8">
      <w:pPr>
        <w:numPr>
          <w:ilvl w:val="0"/>
          <w:numId w:val="16"/>
        </w:numPr>
        <w:tabs>
          <w:tab w:val="left" w:pos="794"/>
          <w:tab w:val="left" w:pos="1191"/>
          <w:tab w:val="left" w:pos="1588"/>
          <w:tab w:val="left" w:pos="1985"/>
        </w:tabs>
        <w:overflowPunct w:val="0"/>
        <w:autoSpaceDE w:val="0"/>
        <w:autoSpaceDN w:val="0"/>
        <w:adjustRightInd w:val="0"/>
        <w:jc w:val="both"/>
        <w:textAlignment w:val="baseline"/>
      </w:pPr>
      <w:r>
        <w:t>Room size: The room size should be in a range between 2.5 x 3 m and 3.5 x 4 m. The room height should be between 2.20 m and 2.50 m.</w:t>
      </w:r>
    </w:p>
    <w:p w14:paraId="05A9840B" w14:textId="77777777" w:rsidR="002859AD" w:rsidRDefault="002859AD" w:rsidP="005A30C8">
      <w:pPr>
        <w:numPr>
          <w:ilvl w:val="0"/>
          <w:numId w:val="16"/>
        </w:numPr>
        <w:tabs>
          <w:tab w:val="left" w:pos="794"/>
          <w:tab w:val="left" w:pos="1191"/>
          <w:tab w:val="left" w:pos="1588"/>
          <w:tab w:val="left" w:pos="1985"/>
        </w:tabs>
        <w:overflowPunct w:val="0"/>
        <w:autoSpaceDE w:val="0"/>
        <w:autoSpaceDN w:val="0"/>
        <w:adjustRightInd w:val="0"/>
        <w:jc w:val="both"/>
        <w:textAlignment w:val="baseline"/>
      </w:pPr>
      <w:r>
        <w:t>Treatment of the room: The playback room should be equipped with a carpet on the floor and some acoustical damping in the ceiling as typically found in office rooms. A curtain should cover one or two walls in order to avoid strong reflections by hard surfaces in the room. The reverberation time of the room should be less than 0.7 s but higher than 0.2 s between 100 Hz and 8 kHz.</w:t>
      </w:r>
    </w:p>
    <w:p w14:paraId="533B3F4F" w14:textId="77777777" w:rsidR="002859AD" w:rsidRDefault="002859AD" w:rsidP="005A30C8">
      <w:pPr>
        <w:numPr>
          <w:ilvl w:val="0"/>
          <w:numId w:val="16"/>
        </w:numPr>
        <w:tabs>
          <w:tab w:val="left" w:pos="794"/>
          <w:tab w:val="left" w:pos="1191"/>
          <w:tab w:val="left" w:pos="1588"/>
          <w:tab w:val="left" w:pos="1985"/>
        </w:tabs>
        <w:overflowPunct w:val="0"/>
        <w:autoSpaceDE w:val="0"/>
        <w:autoSpaceDN w:val="0"/>
        <w:adjustRightInd w:val="0"/>
        <w:jc w:val="both"/>
        <w:textAlignment w:val="baseline"/>
      </w:pPr>
      <w:r>
        <w:t>Noise Floor: In order to reduce the influence of external noise, the noise floor measured in a room should be less than 30 dB SPL(A).</w:t>
      </w:r>
    </w:p>
    <w:p w14:paraId="7BFA9815" w14:textId="22E2953F" w:rsidR="00BA047D" w:rsidRDefault="00BA047D" w:rsidP="005A30C8">
      <w:pPr>
        <w:pStyle w:val="Heading1"/>
        <w:jc w:val="both"/>
      </w:pPr>
      <w:r>
        <w:t>9</w:t>
      </w:r>
      <w:r>
        <w:tab/>
        <w:t>Description of the model algorithms</w:t>
      </w:r>
    </w:p>
    <w:p w14:paraId="57A94687" w14:textId="213A862A" w:rsidR="00BA047D" w:rsidRDefault="00305B4B" w:rsidP="005A30C8">
      <w:pPr>
        <w:jc w:val="both"/>
        <w:rPr>
          <w:b/>
          <w:bCs/>
          <w:lang w:eastAsia="de-DE"/>
        </w:rPr>
      </w:pPr>
      <w:r w:rsidRPr="00305B4B">
        <w:rPr>
          <w:b/>
          <w:bCs/>
          <w:lang w:eastAsia="de-DE"/>
        </w:rPr>
        <w:t>9.1</w:t>
      </w:r>
      <w:r w:rsidRPr="00305B4B">
        <w:rPr>
          <w:b/>
          <w:bCs/>
          <w:lang w:eastAsia="de-DE"/>
        </w:rPr>
        <w:tab/>
        <w:t>Coloration model</w:t>
      </w:r>
    </w:p>
    <w:p w14:paraId="13FD712E" w14:textId="24F1F3DB" w:rsidR="006A71B6" w:rsidRDefault="006A71B6" w:rsidP="005A30C8">
      <w:pPr>
        <w:jc w:val="both"/>
      </w:pPr>
      <w:r w:rsidRPr="00AE5A4B">
        <w:t>The Coloration</w:t>
      </w:r>
      <w:r w:rsidRPr="00AE5A4B">
        <w:rPr>
          <w:lang w:val="en-US"/>
        </w:rPr>
        <w:t xml:space="preserve"> </w:t>
      </w:r>
      <w:r w:rsidR="0049197D">
        <w:rPr>
          <w:lang w:val="en-US"/>
        </w:rPr>
        <w:t>prediction combines</w:t>
      </w:r>
      <w:r w:rsidRPr="00AE5A4B">
        <w:rPr>
          <w:lang w:val="en-US"/>
        </w:rPr>
        <w:t xml:space="preserve"> t</w:t>
      </w:r>
      <w:r w:rsidR="0049197D">
        <w:rPr>
          <w:lang w:val="en-US"/>
        </w:rPr>
        <w:t>wo</w:t>
      </w:r>
      <w:r w:rsidRPr="00AE5A4B">
        <w:rPr>
          <w:lang w:val="en-US"/>
        </w:rPr>
        <w:t xml:space="preserve"> </w:t>
      </w:r>
      <w:r w:rsidR="0049197D">
        <w:rPr>
          <w:lang w:val="en-US"/>
        </w:rPr>
        <w:t xml:space="preserve">indicators of </w:t>
      </w:r>
      <w:r w:rsidRPr="00AE5A4B">
        <w:rPr>
          <w:lang w:val="en-US"/>
        </w:rPr>
        <w:t xml:space="preserve">[ITU-T </w:t>
      </w:r>
      <w:r w:rsidRPr="00AE5A4B">
        <w:t>P.863]</w:t>
      </w:r>
      <w:r w:rsidR="0049197D">
        <w:t>: the</w:t>
      </w:r>
      <w:r w:rsidRPr="00AE5A4B">
        <w:t xml:space="preserve"> frequency indicator </w:t>
      </w:r>
      <w:r w:rsidR="0049197D" w:rsidRPr="00AE5A4B">
        <w:rPr>
          <w:i/>
          <w:lang w:eastAsia="de-DE"/>
        </w:rPr>
        <w:t>predictedMosPureFrq</w:t>
      </w:r>
      <w:r w:rsidR="0049197D" w:rsidRPr="0049197D">
        <w:rPr>
          <w:lang w:eastAsia="de-DE"/>
        </w:rPr>
        <w:t xml:space="preserve"> </w:t>
      </w:r>
      <w:r w:rsidR="0049197D">
        <w:t>and</w:t>
      </w:r>
      <w:r w:rsidRPr="00AE5A4B">
        <w:t xml:space="preserve"> a second indicator </w:t>
      </w:r>
      <w:r w:rsidR="0049197D" w:rsidRPr="00AE5A4B">
        <w:rPr>
          <w:i/>
          <w:lang w:eastAsia="de-DE"/>
        </w:rPr>
        <w:t>d5s0t2</w:t>
      </w:r>
      <w:r w:rsidR="0049197D">
        <w:rPr>
          <w:i/>
          <w:lang w:eastAsia="de-DE"/>
        </w:rPr>
        <w:t xml:space="preserve"> </w:t>
      </w:r>
      <w:r w:rsidRPr="00AE5A4B">
        <w:t>that quantifies the overall disturbance in the time-frequency plane.</w:t>
      </w:r>
    </w:p>
    <w:p w14:paraId="68941FC8" w14:textId="1C9C7781" w:rsidR="0049197D" w:rsidRPr="00AE5A4B" w:rsidRDefault="0049197D" w:rsidP="005A30C8">
      <w:pPr>
        <w:jc w:val="both"/>
      </w:pPr>
      <w:r>
        <w:t xml:space="preserve">The model for </w:t>
      </w:r>
      <w:r w:rsidRPr="009D0FD2">
        <w:t xml:space="preserve">estimating </w:t>
      </w:r>
      <w:r>
        <w:t xml:space="preserve">the </w:t>
      </w:r>
      <w:r w:rsidRPr="00AE5A4B">
        <w:t>Coloration</w:t>
      </w:r>
      <w:r w:rsidRPr="009D0FD2">
        <w:t xml:space="preserve"> </w:t>
      </w:r>
      <w:r>
        <w:t>is a linear combination of the two indicators as:</w:t>
      </w:r>
    </w:p>
    <w:p w14:paraId="60B5F6D8" w14:textId="0B7D5774" w:rsidR="006A71B6" w:rsidRDefault="006F4229" w:rsidP="005A30C8">
      <w:pPr>
        <w:jc w:val="both"/>
        <w:rPr>
          <w:i/>
          <w:lang w:eastAsia="de-DE"/>
        </w:rPr>
      </w:pPr>
      <w:r>
        <w:rPr>
          <w:lang w:eastAsia="de-DE"/>
        </w:rPr>
        <w:t>MOS</w:t>
      </w:r>
      <w:r w:rsidR="00D60F14">
        <w:rPr>
          <w:lang w:eastAsia="de-DE"/>
        </w:rPr>
        <w:t>-</w:t>
      </w:r>
      <w:r>
        <w:rPr>
          <w:lang w:eastAsia="de-DE"/>
        </w:rPr>
        <w:t>C</w:t>
      </w:r>
      <w:r w:rsidR="0049197D" w:rsidRPr="0049197D">
        <w:rPr>
          <w:lang w:eastAsia="de-DE"/>
        </w:rPr>
        <w:t xml:space="preserve"> </w:t>
      </w:r>
      <w:r w:rsidR="004B594C">
        <w:rPr>
          <w:lang w:eastAsia="de-DE"/>
        </w:rPr>
        <w:t>=</w:t>
      </w:r>
      <w:r w:rsidR="0049197D" w:rsidRPr="0049197D">
        <w:rPr>
          <w:lang w:eastAsia="de-DE"/>
        </w:rPr>
        <w:t xml:space="preserve"> 1.39 + 0.675*</w:t>
      </w:r>
      <w:r w:rsidR="0049197D" w:rsidRPr="00D60F14">
        <w:rPr>
          <w:i/>
          <w:lang w:eastAsia="de-DE"/>
        </w:rPr>
        <w:t>predictedMosPureFrq</w:t>
      </w:r>
      <w:r w:rsidR="0049197D" w:rsidRPr="0049197D">
        <w:rPr>
          <w:lang w:eastAsia="de-DE"/>
        </w:rPr>
        <w:t xml:space="preserve"> - 0.0423*</w:t>
      </w:r>
      <w:r w:rsidR="0049197D" w:rsidRPr="00D60F14">
        <w:rPr>
          <w:i/>
          <w:lang w:eastAsia="de-DE"/>
        </w:rPr>
        <w:t>d5s0t2</w:t>
      </w:r>
    </w:p>
    <w:p w14:paraId="69464B5C" w14:textId="1638322C" w:rsidR="0049197D" w:rsidRDefault="0049197D" w:rsidP="005A30C8">
      <w:pPr>
        <w:jc w:val="both"/>
        <w:rPr>
          <w:lang w:eastAsia="de-DE"/>
        </w:rPr>
      </w:pPr>
      <w:r>
        <w:rPr>
          <w:lang w:eastAsia="de-DE"/>
        </w:rPr>
        <w:t xml:space="preserve">In the above formula the values for both indicators </w:t>
      </w:r>
      <w:r w:rsidRPr="00AE5A4B">
        <w:rPr>
          <w:i/>
          <w:lang w:eastAsia="de-DE"/>
        </w:rPr>
        <w:t>predictedMosPureFrq</w:t>
      </w:r>
      <w:r>
        <w:rPr>
          <w:i/>
          <w:lang w:eastAsia="de-DE"/>
        </w:rPr>
        <w:t xml:space="preserve"> </w:t>
      </w:r>
      <w:r w:rsidRPr="00D60F14">
        <w:rPr>
          <w:lang w:eastAsia="de-DE"/>
        </w:rPr>
        <w:t>and</w:t>
      </w:r>
      <w:r>
        <w:rPr>
          <w:i/>
          <w:lang w:eastAsia="de-DE"/>
        </w:rPr>
        <w:t xml:space="preserve"> </w:t>
      </w:r>
      <w:r w:rsidRPr="00AE5A4B">
        <w:rPr>
          <w:i/>
          <w:lang w:eastAsia="de-DE"/>
        </w:rPr>
        <w:t>d5s0t2</w:t>
      </w:r>
      <w:r>
        <w:rPr>
          <w:i/>
          <w:lang w:eastAsia="de-DE"/>
        </w:rPr>
        <w:t xml:space="preserve"> </w:t>
      </w:r>
      <w:r w:rsidRPr="00D60F14">
        <w:rPr>
          <w:lang w:eastAsia="de-DE"/>
        </w:rPr>
        <w:t>are limited</w:t>
      </w:r>
      <w:r>
        <w:rPr>
          <w:lang w:eastAsia="de-DE"/>
        </w:rPr>
        <w:t xml:space="preserve"> to avoid extreme </w:t>
      </w:r>
      <w:r w:rsidRPr="004974CA">
        <w:rPr>
          <w:lang w:eastAsia="de-DE"/>
        </w:rPr>
        <w:t>va</w:t>
      </w:r>
      <w:r w:rsidRPr="000677F1">
        <w:rPr>
          <w:lang w:eastAsia="de-DE"/>
        </w:rPr>
        <w:t>lues</w:t>
      </w:r>
      <w:r w:rsidR="00A02860">
        <w:rPr>
          <w:lang w:eastAsia="de-DE"/>
        </w:rPr>
        <w:t xml:space="preserve">. The maximum value for </w:t>
      </w:r>
      <w:r w:rsidR="00A02860" w:rsidRPr="00AE5A4B">
        <w:rPr>
          <w:i/>
          <w:lang w:eastAsia="de-DE"/>
        </w:rPr>
        <w:t>d5s0t2</w:t>
      </w:r>
      <w:r w:rsidR="00A02860">
        <w:rPr>
          <w:i/>
          <w:lang w:eastAsia="de-DE"/>
        </w:rPr>
        <w:t xml:space="preserve"> </w:t>
      </w:r>
      <w:r w:rsidR="00A02860">
        <w:rPr>
          <w:lang w:eastAsia="de-DE"/>
        </w:rPr>
        <w:t xml:space="preserve">is set to 40, while the minimum and maximum values for </w:t>
      </w:r>
      <w:r w:rsidR="00A02860" w:rsidRPr="00AE5A4B">
        <w:rPr>
          <w:i/>
          <w:lang w:eastAsia="de-DE"/>
        </w:rPr>
        <w:t>predictedMosPureFrq</w:t>
      </w:r>
      <w:r w:rsidR="00A02860" w:rsidRPr="0049197D">
        <w:rPr>
          <w:lang w:eastAsia="de-DE"/>
        </w:rPr>
        <w:t xml:space="preserve"> </w:t>
      </w:r>
      <w:r w:rsidR="00A02860">
        <w:rPr>
          <w:lang w:eastAsia="de-DE"/>
        </w:rPr>
        <w:t>are set to 2</w:t>
      </w:r>
      <w:r w:rsidR="009E71BA">
        <w:rPr>
          <w:lang w:eastAsia="de-DE"/>
        </w:rPr>
        <w:t>.0</w:t>
      </w:r>
      <w:r w:rsidR="00A02860">
        <w:rPr>
          <w:lang w:eastAsia="de-DE"/>
        </w:rPr>
        <w:t xml:space="preserve"> and 4.5 respectively. </w:t>
      </w:r>
    </w:p>
    <w:p w14:paraId="78777E95" w14:textId="58769394" w:rsidR="00A02860" w:rsidRPr="00D60F14" w:rsidRDefault="00A02860" w:rsidP="005A30C8">
      <w:pPr>
        <w:jc w:val="both"/>
        <w:rPr>
          <w:lang w:eastAsia="de-DE"/>
        </w:rPr>
      </w:pPr>
      <w:r>
        <w:rPr>
          <w:lang w:eastAsia="de-DE"/>
        </w:rPr>
        <w:t xml:space="preserve">The minimum and maximum values for the </w:t>
      </w:r>
      <w:r w:rsidR="007004A0">
        <w:rPr>
          <w:lang w:eastAsia="de-DE"/>
        </w:rPr>
        <w:t>C</w:t>
      </w:r>
      <w:r>
        <w:rPr>
          <w:lang w:eastAsia="de-DE"/>
        </w:rPr>
        <w:t>oloration prediction are set to 1</w:t>
      </w:r>
      <w:r w:rsidR="00F21192">
        <w:rPr>
          <w:lang w:eastAsia="de-DE"/>
        </w:rPr>
        <w:t>.0</w:t>
      </w:r>
      <w:r>
        <w:rPr>
          <w:lang w:eastAsia="de-DE"/>
        </w:rPr>
        <w:t xml:space="preserve"> and 4.75 MOS</w:t>
      </w:r>
      <w:r w:rsidR="00D60F14">
        <w:rPr>
          <w:lang w:eastAsia="de-DE"/>
        </w:rPr>
        <w:t>-C,</w:t>
      </w:r>
      <w:r>
        <w:rPr>
          <w:lang w:eastAsia="de-DE"/>
        </w:rPr>
        <w:t xml:space="preserve"> respectively.</w:t>
      </w:r>
    </w:p>
    <w:p w14:paraId="609C0E18" w14:textId="2A62AA4A" w:rsidR="00305B4B" w:rsidRDefault="00305B4B" w:rsidP="005A30C8">
      <w:pPr>
        <w:jc w:val="both"/>
        <w:rPr>
          <w:b/>
          <w:bCs/>
          <w:lang w:eastAsia="de-DE"/>
        </w:rPr>
      </w:pPr>
      <w:r w:rsidRPr="00305B4B">
        <w:rPr>
          <w:b/>
          <w:bCs/>
          <w:lang w:eastAsia="de-DE"/>
        </w:rPr>
        <w:t>9.2</w:t>
      </w:r>
      <w:r w:rsidRPr="00305B4B">
        <w:rPr>
          <w:b/>
          <w:bCs/>
          <w:lang w:eastAsia="de-DE"/>
        </w:rPr>
        <w:tab/>
        <w:t>Discontinuity model</w:t>
      </w:r>
    </w:p>
    <w:p w14:paraId="413A3F68" w14:textId="50725993" w:rsidR="004974CA" w:rsidRDefault="004974CA" w:rsidP="005A30C8">
      <w:pPr>
        <w:jc w:val="both"/>
      </w:pPr>
      <w:r w:rsidRPr="00D60F14">
        <w:rPr>
          <w:lang w:eastAsia="de-DE"/>
        </w:rPr>
        <w:t xml:space="preserve">The Discontinuity prediction combines </w:t>
      </w:r>
      <w:r w:rsidRPr="004974CA">
        <w:rPr>
          <w:lang w:val="en-US"/>
        </w:rPr>
        <w:t>th</w:t>
      </w:r>
      <w:r w:rsidRPr="000677F1">
        <w:rPr>
          <w:lang w:val="en-US"/>
        </w:rPr>
        <w:t>ree</w:t>
      </w:r>
      <w:r w:rsidRPr="00AE5A4B">
        <w:rPr>
          <w:lang w:val="en-US"/>
        </w:rPr>
        <w:t xml:space="preserve"> </w:t>
      </w:r>
      <w:r>
        <w:rPr>
          <w:lang w:val="en-US"/>
        </w:rPr>
        <w:t xml:space="preserve">indicators of </w:t>
      </w:r>
      <w:r w:rsidRPr="00AE5A4B">
        <w:rPr>
          <w:lang w:val="en-US"/>
        </w:rPr>
        <w:t xml:space="preserve">[ITU-T </w:t>
      </w:r>
      <w:r w:rsidRPr="00AE5A4B">
        <w:t>P.863]</w:t>
      </w:r>
      <w:r>
        <w:t>:</w:t>
      </w:r>
      <w:r w:rsidRPr="004974CA">
        <w:t xml:space="preserve"> </w:t>
      </w:r>
      <w:r>
        <w:t>two noisiness indicators (</w:t>
      </w:r>
      <w:r w:rsidRPr="00AE5A4B">
        <w:rPr>
          <w:i/>
          <w:lang w:eastAsia="de-DE"/>
        </w:rPr>
        <w:t>n011</w:t>
      </w:r>
      <w:r>
        <w:rPr>
          <w:i/>
          <w:lang w:eastAsia="de-DE"/>
        </w:rPr>
        <w:t xml:space="preserve"> </w:t>
      </w:r>
      <w:r w:rsidRPr="00D60F14">
        <w:rPr>
          <w:lang w:eastAsia="de-DE"/>
        </w:rPr>
        <w:t xml:space="preserve">and </w:t>
      </w:r>
      <w:r w:rsidRPr="00AE5A4B">
        <w:rPr>
          <w:i/>
          <w:lang w:eastAsia="de-DE"/>
        </w:rPr>
        <w:t>n000mosIntellCorrection</w:t>
      </w:r>
      <w:r>
        <w:t xml:space="preserve">) and another indicator </w:t>
      </w:r>
      <w:r w:rsidRPr="00AE5A4B">
        <w:rPr>
          <w:i/>
          <w:lang w:eastAsia="de-DE"/>
        </w:rPr>
        <w:t>a0s3t3</w:t>
      </w:r>
      <w:r>
        <w:t xml:space="preserve"> that quantifies </w:t>
      </w:r>
      <w:r w:rsidRPr="00850B38">
        <w:t>overall added part of the disturbance in the time-frequency plane</w:t>
      </w:r>
      <w:r>
        <w:t>.</w:t>
      </w:r>
    </w:p>
    <w:p w14:paraId="2D5C08EF" w14:textId="370E78EF" w:rsidR="004974CA" w:rsidRPr="00D60F14" w:rsidRDefault="004974CA" w:rsidP="005A30C8">
      <w:pPr>
        <w:jc w:val="both"/>
      </w:pPr>
      <w:r>
        <w:t xml:space="preserve">The model for </w:t>
      </w:r>
      <w:r w:rsidRPr="009D0FD2">
        <w:t xml:space="preserve">estimating </w:t>
      </w:r>
      <w:r>
        <w:t xml:space="preserve">the </w:t>
      </w:r>
      <w:r w:rsidRPr="00D60F14">
        <w:rPr>
          <w:lang w:eastAsia="de-DE"/>
        </w:rPr>
        <w:t xml:space="preserve">Discontinuity </w:t>
      </w:r>
      <w:r>
        <w:t>is a linear combination of the three indicators as:</w:t>
      </w:r>
    </w:p>
    <w:p w14:paraId="68D3F438" w14:textId="6E8C7E6C" w:rsidR="006A71B6" w:rsidRDefault="006F4229" w:rsidP="005A30C8">
      <w:pPr>
        <w:jc w:val="both"/>
        <w:rPr>
          <w:lang w:eastAsia="de-DE"/>
        </w:rPr>
      </w:pPr>
      <w:r>
        <w:rPr>
          <w:lang w:eastAsia="de-DE"/>
        </w:rPr>
        <w:t>MOS</w:t>
      </w:r>
      <w:r w:rsidR="00D60F14">
        <w:rPr>
          <w:lang w:eastAsia="de-DE"/>
        </w:rPr>
        <w:t>-</w:t>
      </w:r>
      <w:r>
        <w:rPr>
          <w:lang w:eastAsia="de-DE"/>
        </w:rPr>
        <w:t>D</w:t>
      </w:r>
      <w:r w:rsidR="006A71B6" w:rsidRPr="006A71B6">
        <w:rPr>
          <w:lang w:eastAsia="de-DE"/>
        </w:rPr>
        <w:t xml:space="preserve"> = 4.10 - 0.3</w:t>
      </w:r>
      <w:r w:rsidR="003D3D5D">
        <w:rPr>
          <w:lang w:eastAsia="de-DE"/>
        </w:rPr>
        <w:t>00</w:t>
      </w:r>
      <w:r w:rsidR="006A71B6" w:rsidRPr="006A71B6">
        <w:rPr>
          <w:lang w:eastAsia="de-DE"/>
        </w:rPr>
        <w:t>*</w:t>
      </w:r>
      <w:r w:rsidR="006A71B6" w:rsidRPr="00D60F14">
        <w:rPr>
          <w:i/>
          <w:lang w:eastAsia="de-DE"/>
        </w:rPr>
        <w:t>n011</w:t>
      </w:r>
      <w:r w:rsidR="006A71B6" w:rsidRPr="006A71B6">
        <w:rPr>
          <w:lang w:eastAsia="de-DE"/>
        </w:rPr>
        <w:t xml:space="preserve"> + 0.35</w:t>
      </w:r>
      <w:r w:rsidR="003D3D5D">
        <w:rPr>
          <w:lang w:eastAsia="de-DE"/>
        </w:rPr>
        <w:t>4</w:t>
      </w:r>
      <w:r w:rsidR="006A71B6" w:rsidRPr="006A71B6">
        <w:rPr>
          <w:lang w:eastAsia="de-DE"/>
        </w:rPr>
        <w:t>*</w:t>
      </w:r>
      <w:r w:rsidR="006A71B6" w:rsidRPr="00D60F14">
        <w:rPr>
          <w:i/>
          <w:lang w:eastAsia="de-DE"/>
        </w:rPr>
        <w:t>n000mosIntellCorrection</w:t>
      </w:r>
      <w:r w:rsidR="006A71B6" w:rsidRPr="006A71B6">
        <w:rPr>
          <w:lang w:eastAsia="de-DE"/>
        </w:rPr>
        <w:t xml:space="preserve"> - 0.11</w:t>
      </w:r>
      <w:r w:rsidR="003D3D5D">
        <w:rPr>
          <w:lang w:eastAsia="de-DE"/>
        </w:rPr>
        <w:t>1</w:t>
      </w:r>
      <w:r w:rsidR="006A71B6" w:rsidRPr="006A71B6">
        <w:rPr>
          <w:lang w:eastAsia="de-DE"/>
        </w:rPr>
        <w:t>*</w:t>
      </w:r>
      <w:r w:rsidR="006A71B6" w:rsidRPr="00D60F14">
        <w:rPr>
          <w:i/>
          <w:lang w:eastAsia="de-DE"/>
        </w:rPr>
        <w:t>a0s3t3</w:t>
      </w:r>
    </w:p>
    <w:p w14:paraId="470101A3" w14:textId="68260B57" w:rsidR="00EA4497" w:rsidRDefault="00EA4497" w:rsidP="005A30C8">
      <w:pPr>
        <w:jc w:val="both"/>
        <w:rPr>
          <w:lang w:eastAsia="de-DE"/>
        </w:rPr>
      </w:pPr>
      <w:r>
        <w:t xml:space="preserve">Upper limits have been used for two of the indicators used in the above formula. </w:t>
      </w:r>
      <w:r>
        <w:rPr>
          <w:lang w:eastAsia="de-DE"/>
        </w:rPr>
        <w:t xml:space="preserve">The maximum value for </w:t>
      </w:r>
      <w:r w:rsidRPr="00AE5A4B">
        <w:rPr>
          <w:i/>
          <w:lang w:eastAsia="de-DE"/>
        </w:rPr>
        <w:t>n011</w:t>
      </w:r>
      <w:r w:rsidRPr="00EA4497">
        <w:rPr>
          <w:lang w:eastAsia="de-DE"/>
        </w:rPr>
        <w:t xml:space="preserve"> </w:t>
      </w:r>
      <w:r>
        <w:rPr>
          <w:lang w:eastAsia="de-DE"/>
        </w:rPr>
        <w:t xml:space="preserve">is set to 25, while the maximum value for </w:t>
      </w:r>
      <w:r w:rsidRPr="00AE5A4B">
        <w:rPr>
          <w:i/>
          <w:lang w:eastAsia="de-DE"/>
        </w:rPr>
        <w:t>n000mosIntellCorrection</w:t>
      </w:r>
      <w:r w:rsidRPr="006A71B6">
        <w:rPr>
          <w:lang w:eastAsia="de-DE"/>
        </w:rPr>
        <w:t xml:space="preserve"> </w:t>
      </w:r>
      <w:r>
        <w:rPr>
          <w:lang w:eastAsia="de-DE"/>
        </w:rPr>
        <w:t>is set to 20.</w:t>
      </w:r>
    </w:p>
    <w:p w14:paraId="74F69DA1" w14:textId="5775FC9C" w:rsidR="00A02860" w:rsidRDefault="00A02860" w:rsidP="005A30C8">
      <w:pPr>
        <w:jc w:val="both"/>
        <w:rPr>
          <w:lang w:eastAsia="de-DE"/>
        </w:rPr>
      </w:pPr>
      <w:r>
        <w:rPr>
          <w:lang w:eastAsia="de-DE"/>
        </w:rPr>
        <w:t xml:space="preserve">The minimum and maximum values for the </w:t>
      </w:r>
      <w:r w:rsidR="007004A0">
        <w:rPr>
          <w:lang w:eastAsia="de-DE"/>
        </w:rPr>
        <w:t>D</w:t>
      </w:r>
      <w:r>
        <w:rPr>
          <w:lang w:eastAsia="de-DE"/>
        </w:rPr>
        <w:t>iscontinuity prediction are set to 1</w:t>
      </w:r>
      <w:r w:rsidR="00F21192">
        <w:rPr>
          <w:lang w:eastAsia="de-DE"/>
        </w:rPr>
        <w:t>.0</w:t>
      </w:r>
      <w:r>
        <w:rPr>
          <w:lang w:eastAsia="de-DE"/>
        </w:rPr>
        <w:t xml:space="preserve"> and 4.75 MOS</w:t>
      </w:r>
      <w:r w:rsidR="00D60F14">
        <w:rPr>
          <w:lang w:eastAsia="de-DE"/>
        </w:rPr>
        <w:t>-D,</w:t>
      </w:r>
      <w:r>
        <w:rPr>
          <w:lang w:eastAsia="de-DE"/>
        </w:rPr>
        <w:t xml:space="preserve"> respectively.</w:t>
      </w:r>
    </w:p>
    <w:p w14:paraId="22CFB748" w14:textId="3883AD8F" w:rsidR="00305B4B" w:rsidRDefault="00305B4B" w:rsidP="005A30C8">
      <w:pPr>
        <w:jc w:val="both"/>
        <w:rPr>
          <w:b/>
          <w:bCs/>
          <w:lang w:eastAsia="de-DE"/>
        </w:rPr>
      </w:pPr>
      <w:r w:rsidRPr="00305B4B">
        <w:rPr>
          <w:b/>
          <w:bCs/>
          <w:lang w:eastAsia="de-DE"/>
        </w:rPr>
        <w:lastRenderedPageBreak/>
        <w:t>9.3 Noisiness model</w:t>
      </w:r>
    </w:p>
    <w:p w14:paraId="6FC37465" w14:textId="1242555F" w:rsidR="00305B4B" w:rsidRDefault="00305B4B" w:rsidP="005A30C8">
      <w:pPr>
        <w:jc w:val="both"/>
        <w:rPr>
          <w:lang w:val="en-US"/>
        </w:rPr>
      </w:pPr>
      <w:r>
        <w:rPr>
          <w:lang w:val="en-US"/>
        </w:rPr>
        <w:t>The Noisiness prediction is based on t</w:t>
      </w:r>
      <w:r w:rsidR="00EC47C5">
        <w:rPr>
          <w:lang w:val="en-US"/>
        </w:rPr>
        <w:t>wo</w:t>
      </w:r>
      <w:r>
        <w:rPr>
          <w:lang w:val="en-US"/>
        </w:rPr>
        <w:t xml:space="preserve"> indicators that are calculated from the time-aligned spectrograms of [ITU-T P.863] and one indicator </w:t>
      </w:r>
      <w:r w:rsidR="00863C73">
        <w:rPr>
          <w:lang w:val="en-US"/>
        </w:rPr>
        <w:t xml:space="preserve">which models the impact of </w:t>
      </w:r>
      <w:r w:rsidR="00863C73">
        <w:t>level deviations from the nominal level (-26dBoV)</w:t>
      </w:r>
      <w:r w:rsidR="00EC47C5" w:rsidRPr="00AE5A4B">
        <w:t xml:space="preserve"> </w:t>
      </w:r>
      <w:r w:rsidR="00863C73">
        <w:t xml:space="preserve">of active speech parts in the </w:t>
      </w:r>
      <w:r w:rsidR="00EC47C5" w:rsidRPr="00AE5A4B">
        <w:t>degraded signal</w:t>
      </w:r>
      <w:r>
        <w:rPr>
          <w:lang w:val="en-US"/>
        </w:rPr>
        <w:t xml:space="preserve">. Principally, the first indicator </w:t>
      </w:r>
      <w:r w:rsidRPr="001E5506">
        <w:rPr>
          <w:i/>
          <w:lang w:val="en-US"/>
        </w:rPr>
        <w:t>BGN</w:t>
      </w:r>
      <w:r>
        <w:rPr>
          <w:lang w:val="en-US"/>
        </w:rPr>
        <w:t xml:space="preserve"> represents the background noise level with an ITU-T O.41 weighting. The </w:t>
      </w:r>
      <w:r w:rsidRPr="001E5506">
        <w:rPr>
          <w:i/>
          <w:lang w:val="en-US"/>
        </w:rPr>
        <w:t>SED</w:t>
      </w:r>
      <w:r>
        <w:rPr>
          <w:lang w:val="en-US"/>
        </w:rPr>
        <w:t xml:space="preserve"> represents the noisiness during speech, calculated as the distance between the spectral entropy of the reference and the degraded signal. The </w:t>
      </w:r>
      <w:r w:rsidR="00EC47C5">
        <w:rPr>
          <w:lang w:val="en-US"/>
        </w:rPr>
        <w:t xml:space="preserve">second </w:t>
      </w:r>
      <w:r>
        <w:rPr>
          <w:lang w:val="en-US"/>
        </w:rPr>
        <w:t xml:space="preserve">indicator </w:t>
      </w:r>
      <w:r w:rsidRPr="001E5506">
        <w:rPr>
          <w:i/>
          <w:lang w:val="en-US"/>
        </w:rPr>
        <w:t>SEDSTD</w:t>
      </w:r>
      <w:r>
        <w:rPr>
          <w:lang w:val="en-US"/>
        </w:rPr>
        <w:t xml:space="preserve"> is the standard deviation of </w:t>
      </w:r>
      <w:r w:rsidRPr="001E5506">
        <w:rPr>
          <w:i/>
          <w:lang w:val="en-US"/>
        </w:rPr>
        <w:t>SED</w:t>
      </w:r>
      <w:r>
        <w:rPr>
          <w:lang w:val="en-US"/>
        </w:rPr>
        <w:t xml:space="preserve"> over time. </w:t>
      </w:r>
      <w:r w:rsidR="00EC47C5">
        <w:rPr>
          <w:lang w:val="en-US"/>
        </w:rPr>
        <w:t>The third indicator</w:t>
      </w:r>
      <w:r w:rsidR="00863C73">
        <w:rPr>
          <w:lang w:val="en-US"/>
        </w:rPr>
        <w:t xml:space="preserve"> </w:t>
      </w:r>
      <w:r w:rsidR="00AB2A7B">
        <w:rPr>
          <w:lang w:val="en-US"/>
        </w:rPr>
        <w:t>is the</w:t>
      </w:r>
      <w:r w:rsidR="00863C73">
        <w:rPr>
          <w:lang w:val="en-US"/>
        </w:rPr>
        <w:t xml:space="preserve"> active speech level factor (ASLF) and it is derived from</w:t>
      </w:r>
      <w:r w:rsidR="00EC47C5">
        <w:rPr>
          <w:lang w:val="en-US"/>
        </w:rPr>
        <w:t xml:space="preserve"> </w:t>
      </w:r>
      <w:r w:rsidR="00EC47C5" w:rsidRPr="00AE5A4B">
        <w:rPr>
          <w:i/>
        </w:rPr>
        <w:t>logDISTAP</w:t>
      </w:r>
      <w:r w:rsidR="00EC47C5">
        <w:rPr>
          <w:i/>
        </w:rPr>
        <w:t xml:space="preserve"> </w:t>
      </w:r>
      <w:r w:rsidR="00863C73">
        <w:t>in</w:t>
      </w:r>
      <w:r w:rsidR="00EC47C5">
        <w:rPr>
          <w:i/>
        </w:rPr>
        <w:t xml:space="preserve"> </w:t>
      </w:r>
      <w:r w:rsidR="00EC47C5" w:rsidRPr="00EA785E">
        <w:rPr>
          <w:lang w:val="en-US"/>
        </w:rPr>
        <w:t>[ITU-T P.863]</w:t>
      </w:r>
      <w:r w:rsidR="00863C73">
        <w:rPr>
          <w:lang w:val="en-US"/>
        </w:rPr>
        <w:t xml:space="preserve">, which quantifies </w:t>
      </w:r>
      <w:r w:rsidR="00863C73" w:rsidRPr="00AE5A4B">
        <w:t>the power in active speech parts in the degraded signal</w:t>
      </w:r>
      <w:r w:rsidR="00863C73">
        <w:t>.</w:t>
      </w:r>
    </w:p>
    <w:p w14:paraId="22A145B0" w14:textId="0A34A10F" w:rsidR="00EC47C5" w:rsidRDefault="00EC47C5" w:rsidP="005A30C8">
      <w:pPr>
        <w:jc w:val="both"/>
        <w:rPr>
          <w:lang w:val="en-US"/>
        </w:rPr>
      </w:pPr>
      <w:r w:rsidRPr="00504EC0">
        <w:rPr>
          <w:lang w:val="en-US"/>
        </w:rPr>
        <w:t xml:space="preserve">The </w:t>
      </w:r>
      <w:r w:rsidRPr="00D60F14">
        <w:rPr>
          <w:i/>
          <w:lang w:val="en-US"/>
        </w:rPr>
        <w:t>BGN</w:t>
      </w:r>
      <w:r>
        <w:rPr>
          <w:lang w:val="en-US"/>
        </w:rPr>
        <w:t xml:space="preserve"> and </w:t>
      </w:r>
      <w:r w:rsidRPr="00D60F14">
        <w:rPr>
          <w:i/>
          <w:lang w:val="en-US"/>
        </w:rPr>
        <w:t>SEDSTD</w:t>
      </w:r>
      <w:r>
        <w:rPr>
          <w:lang w:val="en-US"/>
        </w:rPr>
        <w:t xml:space="preserve"> </w:t>
      </w:r>
      <w:r w:rsidRPr="00504EC0">
        <w:rPr>
          <w:lang w:val="en-US"/>
        </w:rPr>
        <w:t xml:space="preserve">indicators are </w:t>
      </w:r>
      <w:r w:rsidR="00863C73">
        <w:rPr>
          <w:lang w:val="en-US"/>
        </w:rPr>
        <w:t>weighted by the active speech level factor</w:t>
      </w:r>
      <w:r w:rsidR="00844207">
        <w:rPr>
          <w:lang w:val="en-US"/>
        </w:rPr>
        <w:t xml:space="preserve"> </w:t>
      </w:r>
      <w:r w:rsidR="00844207" w:rsidRPr="00D60F14">
        <w:rPr>
          <w:i/>
          <w:lang w:val="en-US"/>
        </w:rPr>
        <w:t>ASLF</w:t>
      </w:r>
      <w:r w:rsidR="00863C73">
        <w:rPr>
          <w:lang w:val="en-US"/>
        </w:rPr>
        <w:t xml:space="preserve"> and </w:t>
      </w:r>
      <w:r w:rsidRPr="00504EC0">
        <w:rPr>
          <w:lang w:val="en-US"/>
        </w:rPr>
        <w:t xml:space="preserve">mapped to the </w:t>
      </w:r>
      <w:r>
        <w:rPr>
          <w:lang w:val="en-US"/>
        </w:rPr>
        <w:t>MOS-N</w:t>
      </w:r>
      <w:r w:rsidRPr="00504EC0">
        <w:rPr>
          <w:lang w:val="en-US"/>
        </w:rPr>
        <w:t xml:space="preserve"> using a </w:t>
      </w:r>
      <w:r w:rsidR="00863C73">
        <w:rPr>
          <w:lang w:val="en-US"/>
        </w:rPr>
        <w:t>linear</w:t>
      </w:r>
      <w:r w:rsidRPr="00504EC0">
        <w:rPr>
          <w:lang w:val="en-US"/>
        </w:rPr>
        <w:t xml:space="preserve"> mapping</w:t>
      </w:r>
      <w:r w:rsidR="00863C73">
        <w:rPr>
          <w:lang w:val="en-US"/>
        </w:rPr>
        <w:t xml:space="preserve"> as:</w:t>
      </w:r>
    </w:p>
    <w:p w14:paraId="5F05A7B4" w14:textId="15C9135B" w:rsidR="00863C73" w:rsidRDefault="006F4229" w:rsidP="005A30C8">
      <w:pPr>
        <w:jc w:val="both"/>
        <w:rPr>
          <w:lang w:val="en-US"/>
        </w:rPr>
      </w:pPr>
      <w:r>
        <w:rPr>
          <w:lang w:val="en-US"/>
        </w:rPr>
        <w:t>MOS</w:t>
      </w:r>
      <w:r w:rsidR="00D60F14">
        <w:rPr>
          <w:lang w:val="en-US"/>
        </w:rPr>
        <w:t>-</w:t>
      </w:r>
      <w:r>
        <w:rPr>
          <w:lang w:val="en-US"/>
        </w:rPr>
        <w:t>N</w:t>
      </w:r>
      <w:r w:rsidR="00863C73" w:rsidRPr="00863C73">
        <w:rPr>
          <w:lang w:val="en-US"/>
        </w:rPr>
        <w:t xml:space="preserve"> = 4.4</w:t>
      </w:r>
      <w:r w:rsidR="00863C73">
        <w:rPr>
          <w:lang w:val="en-US"/>
        </w:rPr>
        <w:t>8</w:t>
      </w:r>
      <w:r w:rsidR="00863C73" w:rsidRPr="00863C73">
        <w:rPr>
          <w:lang w:val="en-US"/>
        </w:rPr>
        <w:t xml:space="preserve"> - </w:t>
      </w:r>
      <w:r w:rsidR="00863C73" w:rsidRPr="00D60F14">
        <w:rPr>
          <w:i/>
          <w:lang w:val="en-US"/>
        </w:rPr>
        <w:t>ASLF</w:t>
      </w:r>
      <w:r w:rsidR="00863C73" w:rsidRPr="00863C73">
        <w:rPr>
          <w:lang w:val="en-US"/>
        </w:rPr>
        <w:t xml:space="preserve"> * (6.4</w:t>
      </w:r>
      <w:r w:rsidR="00863C73">
        <w:rPr>
          <w:lang w:val="en-US"/>
        </w:rPr>
        <w:t>2</w:t>
      </w:r>
      <w:r w:rsidR="00863C73" w:rsidRPr="00863C73">
        <w:rPr>
          <w:lang w:val="en-US"/>
        </w:rPr>
        <w:t>*</w:t>
      </w:r>
      <w:r w:rsidR="00863C73" w:rsidRPr="00863C73">
        <w:rPr>
          <w:i/>
          <w:lang w:val="en-US"/>
        </w:rPr>
        <w:t xml:space="preserve"> </w:t>
      </w:r>
      <w:r w:rsidR="00863C73" w:rsidRPr="001E5506">
        <w:rPr>
          <w:i/>
          <w:lang w:val="en-US"/>
        </w:rPr>
        <w:t>BGN</w:t>
      </w:r>
      <w:r w:rsidR="00863C73">
        <w:rPr>
          <w:lang w:val="en-US"/>
        </w:rPr>
        <w:t xml:space="preserve"> </w:t>
      </w:r>
      <w:r w:rsidR="00863C73" w:rsidRPr="00863C73">
        <w:rPr>
          <w:lang w:val="en-US"/>
        </w:rPr>
        <w:t>+ 15.8</w:t>
      </w:r>
      <w:r w:rsidR="00863C73">
        <w:rPr>
          <w:lang w:val="en-US"/>
        </w:rPr>
        <w:t>6</w:t>
      </w:r>
      <w:r w:rsidR="00863C73" w:rsidRPr="00863C73">
        <w:rPr>
          <w:lang w:val="en-US"/>
        </w:rPr>
        <w:t>*</w:t>
      </w:r>
      <w:r w:rsidR="00863C73" w:rsidRPr="00863C73">
        <w:rPr>
          <w:i/>
          <w:lang w:val="en-US"/>
        </w:rPr>
        <w:t xml:space="preserve"> </w:t>
      </w:r>
      <w:r w:rsidR="00863C73" w:rsidRPr="001E5506">
        <w:rPr>
          <w:i/>
          <w:lang w:val="en-US"/>
        </w:rPr>
        <w:t>SEDSTD</w:t>
      </w:r>
      <w:r w:rsidR="00863C73" w:rsidRPr="00863C73">
        <w:rPr>
          <w:lang w:val="en-US"/>
        </w:rPr>
        <w:t>)</w:t>
      </w:r>
    </w:p>
    <w:p w14:paraId="0922511D" w14:textId="2F4E8BCB" w:rsidR="00EC47C5" w:rsidRDefault="00A02860" w:rsidP="005A30C8">
      <w:pPr>
        <w:jc w:val="both"/>
        <w:rPr>
          <w:lang w:eastAsia="de-DE"/>
        </w:rPr>
      </w:pPr>
      <w:r>
        <w:rPr>
          <w:lang w:eastAsia="de-DE"/>
        </w:rPr>
        <w:t xml:space="preserve">The minimum and maximum values for the </w:t>
      </w:r>
      <w:r w:rsidR="007004A0">
        <w:rPr>
          <w:lang w:eastAsia="de-DE"/>
        </w:rPr>
        <w:t>N</w:t>
      </w:r>
      <w:r>
        <w:rPr>
          <w:lang w:eastAsia="de-DE"/>
        </w:rPr>
        <w:t>oisiness prediction are set to 1</w:t>
      </w:r>
      <w:r w:rsidR="00F21192">
        <w:rPr>
          <w:lang w:eastAsia="de-DE"/>
        </w:rPr>
        <w:t>.0</w:t>
      </w:r>
      <w:r>
        <w:rPr>
          <w:lang w:eastAsia="de-DE"/>
        </w:rPr>
        <w:t xml:space="preserve"> and 4.75 MOS</w:t>
      </w:r>
      <w:r w:rsidR="00D60F14">
        <w:rPr>
          <w:lang w:eastAsia="de-DE"/>
        </w:rPr>
        <w:t>-N,</w:t>
      </w:r>
      <w:r>
        <w:rPr>
          <w:lang w:eastAsia="de-DE"/>
        </w:rPr>
        <w:t xml:space="preserve"> respectively.</w:t>
      </w:r>
    </w:p>
    <w:p w14:paraId="2082EFD2" w14:textId="404EA2AB" w:rsidR="005058C7" w:rsidRPr="00D60F14" w:rsidRDefault="005058C7" w:rsidP="005A30C8">
      <w:pPr>
        <w:jc w:val="both"/>
        <w:rPr>
          <w:lang w:eastAsia="de-DE"/>
        </w:rPr>
      </w:pPr>
      <w:r>
        <w:rPr>
          <w:lang w:eastAsia="de-DE"/>
        </w:rPr>
        <w:t xml:space="preserve">The </w:t>
      </w:r>
      <w:r w:rsidR="0002379D">
        <w:rPr>
          <w:lang w:eastAsia="de-DE"/>
        </w:rPr>
        <w:t>sub-</w:t>
      </w:r>
      <w:r>
        <w:rPr>
          <w:lang w:eastAsia="de-DE"/>
        </w:rPr>
        <w:t xml:space="preserve">sections below describe </w:t>
      </w:r>
      <w:r w:rsidR="0002379D">
        <w:rPr>
          <w:lang w:eastAsia="de-DE"/>
        </w:rPr>
        <w:t>the steps required to derive the three indicators used in the Noisiness prediction.</w:t>
      </w:r>
    </w:p>
    <w:p w14:paraId="3682BF7F" w14:textId="00AE27CB" w:rsidR="00305B4B" w:rsidRPr="00305B4B" w:rsidRDefault="00305B4B" w:rsidP="005A30C8">
      <w:pPr>
        <w:pStyle w:val="Headingib"/>
        <w:jc w:val="both"/>
        <w:rPr>
          <w:i w:val="0"/>
          <w:iCs/>
          <w:lang w:val="en-US" w:eastAsia="en-US"/>
        </w:rPr>
      </w:pPr>
      <w:r>
        <w:rPr>
          <w:i w:val="0"/>
          <w:iCs/>
          <w:lang w:val="en-US" w:eastAsia="en-US"/>
        </w:rPr>
        <w:t>9.3.1</w:t>
      </w:r>
      <w:r>
        <w:rPr>
          <w:i w:val="0"/>
          <w:iCs/>
          <w:lang w:val="en-US" w:eastAsia="en-US"/>
        </w:rPr>
        <w:tab/>
      </w:r>
      <w:r w:rsidRPr="00305B4B">
        <w:rPr>
          <w:i w:val="0"/>
          <w:iCs/>
          <w:lang w:val="en-US" w:eastAsia="en-US"/>
        </w:rPr>
        <w:t>Active/Inactive decision</w:t>
      </w:r>
    </w:p>
    <w:p w14:paraId="50F93EE8" w14:textId="591B6AAE" w:rsidR="00305B4B" w:rsidRDefault="00305B4B" w:rsidP="005A30C8">
      <w:pPr>
        <w:jc w:val="both"/>
        <w:rPr>
          <w:lang w:val="en-US"/>
        </w:rPr>
      </w:pPr>
      <w:r>
        <w:rPr>
          <w:lang w:val="en-US"/>
        </w:rPr>
        <w:t>To differentiate between background noise and noise on speech, the spectrogram frames are firstly divided into active and inactive frames. To this end, the short-term signal power is calculated from the reference spectrograms as the sum across all frequency bins. The short-term power is then simply compared to a fixed power threshold to differentiate between active and inactive frames.</w:t>
      </w:r>
      <w:r w:rsidR="0076736A">
        <w:rPr>
          <w:lang w:val="en-US"/>
        </w:rPr>
        <w:t xml:space="preserve"> In case no inactivate frames are found, the 10 frames with the least energy in the reference signal are marked as inactive (this may happen for nonconforming reference signals that do not contain a silent pause).</w:t>
      </w:r>
    </w:p>
    <w:p w14:paraId="65B6C604" w14:textId="11698388" w:rsidR="00305B4B" w:rsidRPr="00305B4B" w:rsidRDefault="00305B4B" w:rsidP="005A30C8">
      <w:pPr>
        <w:pStyle w:val="Headingib"/>
        <w:jc w:val="both"/>
        <w:rPr>
          <w:i w:val="0"/>
          <w:iCs/>
          <w:lang w:val="en-US" w:eastAsia="en-US"/>
        </w:rPr>
      </w:pPr>
      <w:r>
        <w:rPr>
          <w:i w:val="0"/>
          <w:iCs/>
          <w:lang w:val="en-US" w:eastAsia="en-US"/>
        </w:rPr>
        <w:t>9.3.2</w:t>
      </w:r>
      <w:r>
        <w:rPr>
          <w:i w:val="0"/>
          <w:iCs/>
          <w:lang w:val="en-US" w:eastAsia="en-US"/>
        </w:rPr>
        <w:tab/>
      </w:r>
      <w:r w:rsidRPr="00305B4B">
        <w:rPr>
          <w:i w:val="0"/>
          <w:iCs/>
          <w:lang w:val="en-US" w:eastAsia="en-US"/>
        </w:rPr>
        <w:t>Background noise</w:t>
      </w:r>
    </w:p>
    <w:p w14:paraId="2FD7840F" w14:textId="77777777" w:rsidR="00305B4B" w:rsidRDefault="00305B4B" w:rsidP="005A30C8">
      <w:pPr>
        <w:jc w:val="both"/>
        <w:rPr>
          <w:lang w:val="en-US"/>
        </w:rPr>
      </w:pPr>
      <w:r>
        <w:rPr>
          <w:lang w:val="en-US"/>
        </w:rPr>
        <w:t xml:space="preserve">To estimate the background noise, the </w:t>
      </w:r>
      <w:r w:rsidRPr="00544D63">
        <w:rPr>
          <w:i/>
          <w:lang w:val="en-US"/>
        </w:rPr>
        <w:t>power spectral density</w:t>
      </w:r>
      <w:r>
        <w:rPr>
          <w:lang w:val="en-US"/>
        </w:rPr>
        <w:t xml:space="preserve"> (PSD) is calculated by averaging the degraded spectrograms over time. After that, the ITU-T O.41 weighting is applied to the log-PSDs. The sum over all frequency bins then gives the background noise of the degraded speech signal. In a next step, the same calculations are also performed for the reference signal. The difference between both background noise levels finally yields the indicator </w:t>
      </w:r>
      <w:r w:rsidRPr="00915A55">
        <w:rPr>
          <w:i/>
          <w:lang w:val="en-US"/>
        </w:rPr>
        <w:t>BGN</w:t>
      </w:r>
      <w:r>
        <w:rPr>
          <w:lang w:val="en-US"/>
        </w:rPr>
        <w:t>. Additionally, the reference log-PSDs are weighted with the frame-based frequency response of the system, to exclude frequency components that are not included in the degraded signal.</w:t>
      </w:r>
    </w:p>
    <w:p w14:paraId="56593D07" w14:textId="354BD0ED" w:rsidR="00305B4B" w:rsidRPr="00305B4B" w:rsidRDefault="00305B4B" w:rsidP="005A30C8">
      <w:pPr>
        <w:pStyle w:val="Headingib"/>
        <w:jc w:val="both"/>
        <w:rPr>
          <w:i w:val="0"/>
          <w:iCs/>
          <w:lang w:val="en-US" w:eastAsia="en-US"/>
        </w:rPr>
      </w:pPr>
      <w:r>
        <w:rPr>
          <w:i w:val="0"/>
          <w:iCs/>
          <w:lang w:val="en-US" w:eastAsia="en-US"/>
        </w:rPr>
        <w:t>9.3.3</w:t>
      </w:r>
      <w:r>
        <w:rPr>
          <w:i w:val="0"/>
          <w:iCs/>
          <w:lang w:val="en-US" w:eastAsia="en-US"/>
        </w:rPr>
        <w:tab/>
      </w:r>
      <w:r w:rsidRPr="00305B4B">
        <w:rPr>
          <w:i w:val="0"/>
          <w:iCs/>
          <w:lang w:val="en-US" w:eastAsia="en-US"/>
        </w:rPr>
        <w:t>Noise on speech</w:t>
      </w:r>
    </w:p>
    <w:p w14:paraId="31B92504" w14:textId="17AAEF07" w:rsidR="00305B4B" w:rsidRDefault="00305B4B" w:rsidP="005A30C8">
      <w:pPr>
        <w:jc w:val="both"/>
        <w:rPr>
          <w:lang w:val="en-US"/>
        </w:rPr>
      </w:pPr>
      <w:r>
        <w:rPr>
          <w:lang w:val="en-US"/>
        </w:rPr>
        <w:t xml:space="preserve">The noise on speech is estimated using the spectral entropy of the active frames of the reference and degraded spectrograms. The spectral entropy can be interpreted as a measure of disorder or noisiness of the frequency distribution of a PSD. It is based on the Shannon entropy, which indicates the amount of information contained in a stochastic source, based on the sources’ probability mass function. To calculate the spectral entropy, instead of a probability mass function, we apply the frequency distribution of a PSD. The frequency distribution </w:t>
      </w:r>
      <m:oMath>
        <m:r>
          <m:rPr>
            <m:sty m:val="p"/>
          </m:rPr>
          <w:rPr>
            <w:rFonts w:ascii="Cambria Math" w:hAnsi="Cambria Math"/>
            <w:lang w:val="en-US" w:eastAsia="zh-CN"/>
          </w:rPr>
          <m:t>P</m:t>
        </m:r>
        <m:d>
          <m:dPr>
            <m:ctrlPr>
              <w:rPr>
                <w:rFonts w:ascii="Cambria Math" w:hAnsi="Cambria Math"/>
                <w:bCs/>
                <w:i/>
                <w:lang w:eastAsia="zh-CN"/>
              </w:rPr>
            </m:ctrlPr>
          </m:dPr>
          <m:e>
            <m:r>
              <w:rPr>
                <w:rFonts w:ascii="Cambria Math" w:hAnsi="Cambria Math"/>
                <w:lang w:eastAsia="zh-CN"/>
              </w:rPr>
              <m:t>t</m:t>
            </m:r>
            <m:r>
              <w:rPr>
                <w:rFonts w:ascii="Cambria Math" w:hAnsi="Cambria Math"/>
                <w:lang w:val="en-US" w:eastAsia="zh-CN"/>
              </w:rPr>
              <m:t>,</m:t>
            </m:r>
            <m:r>
              <w:rPr>
                <w:rFonts w:ascii="Cambria Math" w:hAnsi="Cambria Math"/>
                <w:lang w:eastAsia="zh-CN"/>
              </w:rPr>
              <m:t>m</m:t>
            </m:r>
          </m:e>
        </m:d>
      </m:oMath>
      <w:r w:rsidRPr="00504EC0">
        <w:rPr>
          <w:bCs/>
          <w:lang w:val="en-US" w:eastAsia="zh-CN"/>
        </w:rPr>
        <w:t xml:space="preserve"> </w:t>
      </w:r>
      <w:r>
        <w:rPr>
          <w:lang w:val="en-US"/>
        </w:rPr>
        <w:t>is calculated by normalizing the PSD of each frame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03"/>
        <w:gridCol w:w="736"/>
      </w:tblGrid>
      <w:tr w:rsidR="00305B4B" w:rsidRPr="0063238B" w14:paraId="792B913E" w14:textId="77777777" w:rsidTr="00EC3C9F">
        <w:tc>
          <w:tcPr>
            <w:tcW w:w="8903" w:type="dxa"/>
            <w:hideMark/>
          </w:tcPr>
          <w:p w14:paraId="26CDC9EB" w14:textId="77777777" w:rsidR="00305B4B" w:rsidRPr="0063238B" w:rsidRDefault="00305B4B" w:rsidP="005A30C8">
            <w:pPr>
              <w:jc w:val="both"/>
              <w:rPr>
                <w:lang w:eastAsia="zh-CN"/>
              </w:rPr>
            </w:pPr>
            <m:oMathPara>
              <m:oMath>
                <m:r>
                  <m:rPr>
                    <m:sty m:val="p"/>
                  </m:rPr>
                  <w:rPr>
                    <w:rFonts w:ascii="Cambria Math" w:hAnsi="Cambria Math"/>
                    <w:lang w:eastAsia="zh-CN"/>
                  </w:rPr>
                  <m:t>P</m:t>
                </m:r>
                <m:d>
                  <m:dPr>
                    <m:ctrlPr>
                      <w:rPr>
                        <w:rFonts w:ascii="Cambria Math" w:hAnsi="Cambria Math"/>
                        <w:bCs/>
                        <w:i/>
                        <w:lang w:eastAsia="zh-CN"/>
                      </w:rPr>
                    </m:ctrlPr>
                  </m:dPr>
                  <m:e>
                    <m:r>
                      <w:rPr>
                        <w:rFonts w:ascii="Cambria Math" w:hAnsi="Cambria Math"/>
                        <w:lang w:eastAsia="zh-CN"/>
                      </w:rPr>
                      <m:t>t,m</m:t>
                    </m:r>
                  </m:e>
                </m:d>
                <m: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S</m:t>
                    </m:r>
                    <m:r>
                      <w:rPr>
                        <w:rFonts w:ascii="Cambria Math" w:hAnsi="Cambria Math"/>
                        <w:lang w:eastAsia="zh-CN"/>
                      </w:rPr>
                      <m:t>(t,m)</m:t>
                    </m:r>
                    <m:ctrlPr>
                      <w:rPr>
                        <w:rFonts w:ascii="Cambria Math" w:hAnsi="Cambria Math"/>
                        <w:i/>
                        <w:lang w:eastAsia="zh-CN"/>
                      </w:rPr>
                    </m:ctrlPr>
                  </m:num>
                  <m:den>
                    <m:nary>
                      <m:naryPr>
                        <m:chr m:val="∑"/>
                        <m:limLoc m:val="subSup"/>
                        <m:supHide m:val="1"/>
                        <m:ctrlPr>
                          <w:rPr>
                            <w:rFonts w:ascii="Cambria Math" w:hAnsi="Cambria Math"/>
                            <w:i/>
                            <w:lang w:eastAsia="zh-CN"/>
                          </w:rPr>
                        </m:ctrlPr>
                      </m:naryPr>
                      <m:sub>
                        <m:r>
                          <w:rPr>
                            <w:rFonts w:ascii="Cambria Math" w:hAnsi="Cambria Math"/>
                            <w:lang w:eastAsia="zh-CN"/>
                          </w:rPr>
                          <m:t>f</m:t>
                        </m:r>
                      </m:sub>
                      <m:sup/>
                      <m:e>
                        <m:r>
                          <m:rPr>
                            <m:sty m:val="p"/>
                          </m:rPr>
                          <w:rPr>
                            <w:rFonts w:ascii="Cambria Math" w:hAnsi="Cambria Math"/>
                            <w:lang w:eastAsia="zh-CN"/>
                          </w:rPr>
                          <m:t>S</m:t>
                        </m:r>
                        <m:d>
                          <m:dPr>
                            <m:ctrlPr>
                              <w:rPr>
                                <w:rFonts w:ascii="Cambria Math" w:hAnsi="Cambria Math"/>
                                <w:i/>
                                <w:lang w:eastAsia="zh-CN"/>
                              </w:rPr>
                            </m:ctrlPr>
                          </m:dPr>
                          <m:e>
                            <m:r>
                              <w:rPr>
                                <w:rFonts w:ascii="Cambria Math" w:hAnsi="Cambria Math"/>
                                <w:lang w:eastAsia="zh-CN"/>
                              </w:rPr>
                              <m:t>t,f</m:t>
                            </m:r>
                          </m:e>
                        </m:d>
                      </m:e>
                    </m:nary>
                  </m:den>
                </m:f>
                <m:r>
                  <w:rPr>
                    <w:rFonts w:ascii="Cambria Math" w:hAnsi="Cambria Math"/>
                    <w:lang w:eastAsia="zh-CN"/>
                  </w:rPr>
                  <m:t xml:space="preserve"> ,</m:t>
                </m:r>
              </m:oMath>
            </m:oMathPara>
          </w:p>
        </w:tc>
        <w:tc>
          <w:tcPr>
            <w:tcW w:w="736" w:type="dxa"/>
            <w:vAlign w:val="center"/>
          </w:tcPr>
          <w:p w14:paraId="3FC81071" w14:textId="5B1B0E9B" w:rsidR="00305B4B" w:rsidRPr="0063238B" w:rsidRDefault="00305B4B" w:rsidP="005A30C8">
            <w:pPr>
              <w:jc w:val="both"/>
              <w:rPr>
                <w:bCs/>
                <w:lang w:eastAsia="zh-CN"/>
              </w:rPr>
            </w:pPr>
          </w:p>
        </w:tc>
      </w:tr>
    </w:tbl>
    <w:p w14:paraId="3EFDBB0B" w14:textId="369BCC8A" w:rsidR="00305B4B" w:rsidRPr="00305B4B" w:rsidRDefault="00305B4B" w:rsidP="005A30C8">
      <w:pPr>
        <w:jc w:val="both"/>
        <w:rPr>
          <w:i/>
          <w:lang w:val="en-US"/>
        </w:rPr>
      </w:pPr>
      <w:r>
        <w:rPr>
          <w:lang w:val="en-US"/>
        </w:rPr>
        <w:br/>
      </w:r>
      <w:r w:rsidRPr="0063238B">
        <w:rPr>
          <w:lang w:val="en-US"/>
        </w:rPr>
        <w:t xml:space="preserve">where </w:t>
      </w:r>
      <m:oMath>
        <m:r>
          <m:rPr>
            <m:sty m:val="p"/>
          </m:rPr>
          <w:rPr>
            <w:rFonts w:ascii="Cambria Math" w:hAnsi="Cambria Math"/>
            <w:lang w:val="en-US" w:eastAsia="zh-CN"/>
          </w:rPr>
          <m:t>S</m:t>
        </m:r>
        <m:d>
          <m:dPr>
            <m:ctrlPr>
              <w:rPr>
                <w:rFonts w:ascii="Cambria Math" w:hAnsi="Cambria Math"/>
                <w:i/>
                <w:lang w:eastAsia="zh-CN"/>
              </w:rPr>
            </m:ctrlPr>
          </m:dPr>
          <m:e>
            <m:r>
              <w:rPr>
                <w:rFonts w:ascii="Cambria Math" w:hAnsi="Cambria Math"/>
                <w:lang w:eastAsia="zh-CN"/>
              </w:rPr>
              <m:t>t</m:t>
            </m:r>
            <m:r>
              <w:rPr>
                <w:rFonts w:ascii="Cambria Math" w:hAnsi="Cambria Math"/>
                <w:lang w:val="en-US" w:eastAsia="zh-CN"/>
              </w:rPr>
              <m:t>,</m:t>
            </m:r>
            <m:r>
              <w:rPr>
                <w:rFonts w:ascii="Cambria Math" w:hAnsi="Cambria Math"/>
                <w:lang w:eastAsia="zh-CN"/>
              </w:rPr>
              <m:t>f</m:t>
            </m:r>
          </m:e>
        </m:d>
      </m:oMath>
      <w:r w:rsidRPr="00504EC0">
        <w:rPr>
          <w:lang w:val="en-US" w:eastAsia="zh-CN"/>
        </w:rPr>
        <w:t xml:space="preserve"> </w:t>
      </w:r>
      <w:r w:rsidRPr="0063238B">
        <w:rPr>
          <w:lang w:val="en-US"/>
        </w:rPr>
        <w:t>is the</w:t>
      </w:r>
      <w:r>
        <w:rPr>
          <w:lang w:val="en-US"/>
        </w:rPr>
        <w:t xml:space="preserve"> spectrogram, </w:t>
      </w:r>
      <m:oMath>
        <m:r>
          <w:rPr>
            <w:rFonts w:ascii="Cambria Math" w:hAnsi="Cambria Math"/>
            <w:lang w:eastAsia="zh-CN"/>
          </w:rPr>
          <m:t>t</m:t>
        </m:r>
      </m:oMath>
      <w:r>
        <w:rPr>
          <w:lang w:val="en-US"/>
        </w:rPr>
        <w:t xml:space="preserve"> is the frame index, </w:t>
      </w:r>
      <m:oMath>
        <m:r>
          <w:rPr>
            <w:rFonts w:ascii="Cambria Math" w:hAnsi="Cambria Math"/>
            <w:lang w:val="en-US"/>
          </w:rPr>
          <m:t>f</m:t>
        </m:r>
      </m:oMath>
      <w:r>
        <w:rPr>
          <w:lang w:val="en-US"/>
        </w:rPr>
        <w:t xml:space="preserve"> is the frequency bin index of</w:t>
      </w:r>
      <w:r w:rsidRPr="00322003">
        <w:rPr>
          <w:lang w:val="en-US"/>
        </w:rPr>
        <w:t xml:space="preserve"> </w:t>
      </w:r>
      <m:oMath>
        <m:r>
          <m:rPr>
            <m:sty m:val="p"/>
          </m:rPr>
          <w:rPr>
            <w:rFonts w:ascii="Cambria Math" w:hAnsi="Cambria Math"/>
            <w:lang w:val="en-US" w:eastAsia="zh-CN"/>
          </w:rPr>
          <m:t>S</m:t>
        </m:r>
        <m:d>
          <m:dPr>
            <m:ctrlPr>
              <w:rPr>
                <w:rFonts w:ascii="Cambria Math" w:hAnsi="Cambria Math"/>
                <w:i/>
                <w:lang w:eastAsia="zh-CN"/>
              </w:rPr>
            </m:ctrlPr>
          </m:dPr>
          <m:e>
            <m:r>
              <w:rPr>
                <w:rFonts w:ascii="Cambria Math" w:hAnsi="Cambria Math"/>
                <w:lang w:eastAsia="zh-CN"/>
              </w:rPr>
              <m:t>t</m:t>
            </m:r>
            <m:r>
              <w:rPr>
                <w:rFonts w:ascii="Cambria Math" w:hAnsi="Cambria Math"/>
                <w:lang w:val="en-US" w:eastAsia="zh-CN"/>
              </w:rPr>
              <m:t>,</m:t>
            </m:r>
            <m:r>
              <w:rPr>
                <w:rFonts w:ascii="Cambria Math" w:hAnsi="Cambria Math"/>
                <w:lang w:eastAsia="zh-CN"/>
              </w:rPr>
              <m:t>f</m:t>
            </m:r>
          </m:e>
        </m:d>
      </m:oMath>
      <w:r w:rsidRPr="00504EC0">
        <w:rPr>
          <w:lang w:val="en-US" w:eastAsia="zh-CN"/>
        </w:rPr>
        <w:t>,</w:t>
      </w:r>
      <w:r>
        <w:rPr>
          <w:lang w:val="en-US"/>
        </w:rPr>
        <w:t xml:space="preserve"> and </w:t>
      </w:r>
      <m:oMath>
        <m:r>
          <w:rPr>
            <w:rFonts w:ascii="Cambria Math" w:hAnsi="Cambria Math"/>
            <w:lang w:val="en-US"/>
          </w:rPr>
          <m:t>m</m:t>
        </m:r>
      </m:oMath>
      <w:r>
        <w:rPr>
          <w:lang w:val="en-US"/>
        </w:rPr>
        <w:t xml:space="preserve"> is the frequency bin index of </w:t>
      </w:r>
      <m:oMath>
        <m:r>
          <m:rPr>
            <m:sty m:val="p"/>
          </m:rPr>
          <w:rPr>
            <w:rFonts w:ascii="Cambria Math" w:hAnsi="Cambria Math"/>
            <w:lang w:val="en-US" w:eastAsia="zh-CN"/>
          </w:rPr>
          <m:t>P</m:t>
        </m:r>
        <m:d>
          <m:dPr>
            <m:ctrlPr>
              <w:rPr>
                <w:rFonts w:ascii="Cambria Math" w:hAnsi="Cambria Math"/>
                <w:bCs/>
                <w:i/>
                <w:lang w:eastAsia="zh-CN"/>
              </w:rPr>
            </m:ctrlPr>
          </m:dPr>
          <m:e>
            <m:r>
              <w:rPr>
                <w:rFonts w:ascii="Cambria Math" w:hAnsi="Cambria Math"/>
                <w:lang w:eastAsia="zh-CN"/>
              </w:rPr>
              <m:t>t</m:t>
            </m:r>
            <m:r>
              <w:rPr>
                <w:rFonts w:ascii="Cambria Math" w:hAnsi="Cambria Math"/>
                <w:lang w:val="en-US" w:eastAsia="zh-CN"/>
              </w:rPr>
              <m:t>,</m:t>
            </m:r>
            <m:r>
              <w:rPr>
                <w:rFonts w:ascii="Cambria Math" w:hAnsi="Cambria Math"/>
                <w:lang w:eastAsia="zh-CN"/>
              </w:rPr>
              <m:t>m</m:t>
            </m:r>
          </m:e>
        </m:d>
      </m:oMath>
      <w:r>
        <w:rPr>
          <w:lang w:val="en-US"/>
        </w:rPr>
        <w:t xml:space="preserve">. Then the Shannon entropy is calculated to yield the per-frame spectral entropy </w:t>
      </w:r>
      <m:oMath>
        <m:r>
          <w:rPr>
            <w:rFonts w:ascii="Cambria Math" w:hAnsi="Cambria Math"/>
            <w:lang w:eastAsia="zh-CN"/>
          </w:rPr>
          <m:t>SE</m:t>
        </m:r>
        <m:d>
          <m:dPr>
            <m:ctrlPr>
              <w:rPr>
                <w:rFonts w:ascii="Cambria Math" w:hAnsi="Cambria Math"/>
                <w:bCs/>
                <w:i/>
                <w:lang w:eastAsia="zh-CN"/>
              </w:rPr>
            </m:ctrlPr>
          </m:dPr>
          <m:e>
            <m:r>
              <w:rPr>
                <w:rFonts w:ascii="Cambria Math" w:hAnsi="Cambria Math"/>
                <w:lang w:eastAsia="zh-CN"/>
              </w:rPr>
              <m:t>t</m:t>
            </m:r>
          </m:e>
        </m:d>
      </m:oMath>
      <w:r>
        <w:rPr>
          <w:i/>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729"/>
      </w:tblGrid>
      <w:tr w:rsidR="00305B4B" w:rsidRPr="0063238B" w14:paraId="053947A1" w14:textId="77777777" w:rsidTr="00EC3C9F">
        <w:tc>
          <w:tcPr>
            <w:tcW w:w="9039" w:type="dxa"/>
            <w:hideMark/>
          </w:tcPr>
          <w:p w14:paraId="26FD635F" w14:textId="77777777" w:rsidR="00305B4B" w:rsidRPr="0063238B" w:rsidRDefault="00305B4B" w:rsidP="005A30C8">
            <w:pPr>
              <w:jc w:val="both"/>
              <w:rPr>
                <w:lang w:eastAsia="zh-CN"/>
              </w:rPr>
            </w:pPr>
            <m:oMathPara>
              <m:oMath>
                <m:r>
                  <w:rPr>
                    <w:rFonts w:ascii="Cambria Math" w:hAnsi="Cambria Math"/>
                    <w:lang w:eastAsia="zh-CN"/>
                  </w:rPr>
                  <w:lastRenderedPageBreak/>
                  <m:t>SE</m:t>
                </m:r>
                <m:d>
                  <m:dPr>
                    <m:ctrlPr>
                      <w:rPr>
                        <w:rFonts w:ascii="Cambria Math" w:hAnsi="Cambria Math"/>
                        <w:bCs/>
                        <w:i/>
                        <w:lang w:eastAsia="zh-CN"/>
                      </w:rPr>
                    </m:ctrlPr>
                  </m:dPr>
                  <m:e>
                    <m:r>
                      <w:rPr>
                        <w:rFonts w:ascii="Cambria Math" w:hAnsi="Cambria Math"/>
                        <w:lang w:eastAsia="zh-CN"/>
                      </w:rPr>
                      <m:t>t</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m=1</m:t>
                        </m:r>
                      </m:sub>
                      <m:sup>
                        <m:r>
                          <w:rPr>
                            <w:rFonts w:ascii="Cambria Math" w:hAnsi="Cambria Math"/>
                            <w:lang w:eastAsia="zh-CN"/>
                          </w:rPr>
                          <m:t>N</m:t>
                        </m:r>
                      </m:sup>
                      <m:e>
                        <m:r>
                          <m:rPr>
                            <m:sty m:val="p"/>
                          </m:rPr>
                          <w:rPr>
                            <w:rFonts w:ascii="Cambria Math" w:hAnsi="Cambria Math"/>
                            <w:lang w:eastAsia="zh-CN"/>
                          </w:rPr>
                          <m:t>P</m:t>
                        </m:r>
                        <m:d>
                          <m:dPr>
                            <m:ctrlPr>
                              <w:rPr>
                                <w:rFonts w:ascii="Cambria Math" w:hAnsi="Cambria Math"/>
                                <w:i/>
                                <w:lang w:eastAsia="zh-CN"/>
                              </w:rPr>
                            </m:ctrlPr>
                          </m:dPr>
                          <m:e>
                            <m:r>
                              <w:rPr>
                                <w:rFonts w:ascii="Cambria Math" w:hAnsi="Cambria Math"/>
                                <w:lang w:eastAsia="zh-CN"/>
                              </w:rPr>
                              <m:t>t,m</m:t>
                            </m:r>
                          </m:e>
                        </m:d>
                        <m:func>
                          <m:funcPr>
                            <m:ctrlPr>
                              <w:rPr>
                                <w:rFonts w:ascii="Cambria Math" w:hAnsi="Cambria Math"/>
                                <w:i/>
                                <w:lang w:eastAsia="zh-CN"/>
                              </w:rPr>
                            </m:ctrlPr>
                          </m:funcPr>
                          <m:fName>
                            <m:r>
                              <m:rPr>
                                <m:sty m:val="p"/>
                              </m:rPr>
                              <w:rPr>
                                <w:rFonts w:ascii="Cambria Math" w:hAnsi="Cambria Math"/>
                                <w:lang w:eastAsia="zh-CN"/>
                              </w:rPr>
                              <m:t>ln</m:t>
                            </m:r>
                          </m:fName>
                          <m:e>
                            <m:r>
                              <m:rPr>
                                <m:sty m:val="p"/>
                              </m:rPr>
                              <w:rPr>
                                <w:rFonts w:ascii="Cambria Math" w:hAnsi="Cambria Math"/>
                                <w:lang w:eastAsia="zh-CN"/>
                              </w:rPr>
                              <m:t>P</m:t>
                            </m:r>
                            <m:r>
                              <w:rPr>
                                <w:rFonts w:ascii="Cambria Math" w:hAnsi="Cambria Math"/>
                                <w:lang w:eastAsia="zh-CN"/>
                              </w:rPr>
                              <m:t>(t,m)</m:t>
                            </m:r>
                          </m:e>
                        </m:func>
                      </m:e>
                    </m:nary>
                  </m:num>
                  <m:den>
                    <m:func>
                      <m:funcPr>
                        <m:ctrlPr>
                          <w:rPr>
                            <w:rFonts w:ascii="Cambria Math" w:hAnsi="Cambria Math"/>
                            <w:i/>
                            <w:lang w:eastAsia="zh-CN"/>
                          </w:rPr>
                        </m:ctrlPr>
                      </m:funcPr>
                      <m:fName>
                        <m:r>
                          <m:rPr>
                            <m:sty m:val="p"/>
                          </m:rPr>
                          <w:rPr>
                            <w:rFonts w:ascii="Cambria Math" w:hAnsi="Cambria Math"/>
                            <w:lang w:eastAsia="zh-CN"/>
                          </w:rPr>
                          <m:t>ln</m:t>
                        </m:r>
                      </m:fName>
                      <m:e>
                        <m:r>
                          <w:rPr>
                            <w:rFonts w:ascii="Cambria Math" w:hAnsi="Cambria Math"/>
                            <w:lang w:eastAsia="zh-CN"/>
                          </w:rPr>
                          <m:t>N</m:t>
                        </m:r>
                      </m:e>
                    </m:func>
                  </m:den>
                </m:f>
                <m:r>
                  <w:rPr>
                    <w:rFonts w:ascii="Cambria Math" w:hAnsi="Cambria Math"/>
                    <w:lang w:eastAsia="zh-CN"/>
                  </w:rPr>
                  <m:t>,</m:t>
                </m:r>
              </m:oMath>
            </m:oMathPara>
          </w:p>
        </w:tc>
        <w:tc>
          <w:tcPr>
            <w:tcW w:w="740" w:type="dxa"/>
            <w:vAlign w:val="center"/>
          </w:tcPr>
          <w:p w14:paraId="61DA0D33" w14:textId="380C395C" w:rsidR="00305B4B" w:rsidRPr="0063238B" w:rsidRDefault="00305B4B" w:rsidP="005A30C8">
            <w:pPr>
              <w:jc w:val="both"/>
              <w:rPr>
                <w:bCs/>
                <w:lang w:eastAsia="zh-CN"/>
              </w:rPr>
            </w:pPr>
          </w:p>
        </w:tc>
      </w:tr>
    </w:tbl>
    <w:p w14:paraId="4C732DF4" w14:textId="2DA50642" w:rsidR="00305B4B" w:rsidRDefault="00305B4B" w:rsidP="005A30C8">
      <w:pPr>
        <w:jc w:val="both"/>
        <w:rPr>
          <w:lang w:val="en-US" w:eastAsia="zh-CN"/>
        </w:rPr>
      </w:pPr>
      <w:r>
        <w:rPr>
          <w:lang w:val="en-US"/>
        </w:rPr>
        <w:br/>
        <w:t xml:space="preserve">where </w:t>
      </w:r>
      <m:oMath>
        <m:r>
          <w:rPr>
            <w:rFonts w:ascii="Cambria Math" w:hAnsi="Cambria Math"/>
            <w:lang w:eastAsia="zh-CN"/>
          </w:rPr>
          <m:t>N</m:t>
        </m:r>
      </m:oMath>
      <w:r w:rsidRPr="00504EC0">
        <w:rPr>
          <w:lang w:val="en-US" w:eastAsia="zh-CN"/>
        </w:rPr>
        <w:t xml:space="preserve"> denotes the number of frequency bins. The spectral entropy is normalized with the denominator</w:t>
      </w:r>
      <w:r>
        <w:rPr>
          <w:lang w:val="en-US"/>
        </w:rPr>
        <w:t xml:space="preserve"> </w:t>
      </w:r>
      <m:oMath>
        <m:func>
          <m:funcPr>
            <m:ctrlPr>
              <w:rPr>
                <w:rFonts w:ascii="Cambria Math" w:hAnsi="Cambria Math"/>
                <w:i/>
                <w:lang w:eastAsia="zh-CN"/>
              </w:rPr>
            </m:ctrlPr>
          </m:funcPr>
          <m:fName>
            <m:r>
              <m:rPr>
                <m:sty m:val="p"/>
              </m:rPr>
              <w:rPr>
                <w:rFonts w:ascii="Cambria Math" w:hAnsi="Cambria Math"/>
                <w:lang w:val="en-US" w:eastAsia="zh-CN"/>
              </w:rPr>
              <m:t>ln</m:t>
            </m:r>
          </m:fName>
          <m:e>
            <m:r>
              <w:rPr>
                <w:rFonts w:ascii="Cambria Math" w:hAnsi="Cambria Math"/>
                <w:lang w:eastAsia="zh-CN"/>
              </w:rPr>
              <m:t>N</m:t>
            </m:r>
          </m:e>
        </m:func>
      </m:oMath>
      <w:r w:rsidRPr="00504EC0">
        <w:rPr>
          <w:lang w:val="en-US" w:eastAsia="zh-CN"/>
        </w:rPr>
        <w:t>, which represents the maximal spectral entropy of white noise.</w:t>
      </w:r>
    </w:p>
    <w:p w14:paraId="7267EEF9" w14:textId="6002DF0F" w:rsidR="00305B4B" w:rsidRDefault="00305B4B" w:rsidP="005A30C8">
      <w:pPr>
        <w:jc w:val="both"/>
        <w:rPr>
          <w:lang w:val="en-US"/>
        </w:rPr>
      </w:pPr>
      <w:r>
        <w:rPr>
          <w:lang w:val="en-US"/>
        </w:rPr>
        <w:t xml:space="preserve">To estimate the noise on speech, at first, the reference and degraded spectrograms are divided into five frequency bands, ranging in total from 300 to 3400 Hz. Then, for each band, the spectral entropy is calculated. As a next step, the difference of the spectral entropy between the reference and the degraded signal is taken. Again, to avoid measuring frequency components that are not included in the degraded signal, the per-frame frequency response is applied as a weighting function. Additionally, a second weighting function is applied, which considers the perceptual importance of the individual frequency bands. The average of this weighted difference aggregated over frequency bins and time then yields the indicator </w:t>
      </w:r>
      <w:r w:rsidRPr="001E5506">
        <w:rPr>
          <w:i/>
          <w:lang w:val="en-US"/>
        </w:rPr>
        <w:t>SED</w:t>
      </w:r>
      <w:r>
        <w:rPr>
          <w:lang w:val="en-US"/>
        </w:rPr>
        <w:t xml:space="preserve">; the standard deviation over time yields the third indicator </w:t>
      </w:r>
      <w:r w:rsidRPr="001E5506">
        <w:rPr>
          <w:i/>
          <w:lang w:val="en-US"/>
        </w:rPr>
        <w:t>SEDSTD</w:t>
      </w:r>
      <w:r w:rsidRPr="00474BDD">
        <w:rPr>
          <w:lang w:val="en-US"/>
        </w:rPr>
        <w:t>.</w:t>
      </w:r>
    </w:p>
    <w:p w14:paraId="4D04DD39" w14:textId="3CD6E7FD" w:rsidR="00863C73" w:rsidRPr="00305B4B" w:rsidRDefault="00E50955" w:rsidP="005A30C8">
      <w:pPr>
        <w:pStyle w:val="Headingib"/>
        <w:jc w:val="both"/>
        <w:rPr>
          <w:i w:val="0"/>
          <w:iCs/>
          <w:lang w:val="en-US" w:eastAsia="en-US"/>
        </w:rPr>
      </w:pPr>
      <w:r w:rsidDel="00E50955">
        <w:rPr>
          <w:i w:val="0"/>
          <w:iCs/>
          <w:lang w:val="en-US" w:eastAsia="en-US"/>
        </w:rPr>
        <w:t xml:space="preserve"> </w:t>
      </w:r>
      <w:r w:rsidR="00863C73">
        <w:rPr>
          <w:i w:val="0"/>
          <w:iCs/>
          <w:lang w:val="en-US" w:eastAsia="en-US"/>
        </w:rPr>
        <w:t>9.3.4</w:t>
      </w:r>
      <w:r w:rsidR="00863C73">
        <w:rPr>
          <w:i w:val="0"/>
          <w:iCs/>
          <w:lang w:val="en-US" w:eastAsia="en-US"/>
        </w:rPr>
        <w:tab/>
      </w:r>
      <w:r w:rsidR="00C76BCA">
        <w:rPr>
          <w:i w:val="0"/>
          <w:iCs/>
          <w:lang w:val="en-US" w:eastAsia="en-US"/>
        </w:rPr>
        <w:t>Active speech l</w:t>
      </w:r>
      <w:r w:rsidR="00863C73">
        <w:rPr>
          <w:i w:val="0"/>
          <w:iCs/>
          <w:lang w:val="en-US" w:eastAsia="en-US"/>
        </w:rPr>
        <w:t>evel factor</w:t>
      </w:r>
    </w:p>
    <w:p w14:paraId="4EB3B48C" w14:textId="612FE548" w:rsidR="00863C73" w:rsidRDefault="00844207" w:rsidP="005A30C8">
      <w:pPr>
        <w:jc w:val="both"/>
        <w:rPr>
          <w:lang w:val="en-US"/>
        </w:rPr>
      </w:pPr>
      <w:r>
        <w:rPr>
          <w:lang w:val="en-US"/>
        </w:rPr>
        <w:t>The active speech level factor (</w:t>
      </w:r>
      <w:r w:rsidRPr="00454946">
        <w:rPr>
          <w:i/>
          <w:lang w:val="en-US"/>
        </w:rPr>
        <w:t>ASLF</w:t>
      </w:r>
      <w:r>
        <w:rPr>
          <w:lang w:val="en-US"/>
        </w:rPr>
        <w:t xml:space="preserve">) models the impact of </w:t>
      </w:r>
      <w:r>
        <w:t>deviations of the active speech parts in the degraded signal from the nominal level (-26dBoV)</w:t>
      </w:r>
      <w:r>
        <w:rPr>
          <w:lang w:val="en-US"/>
        </w:rPr>
        <w:t>.</w:t>
      </w:r>
    </w:p>
    <w:p w14:paraId="23971014" w14:textId="520555A2" w:rsidR="00646DFB" w:rsidRDefault="00844207" w:rsidP="005A30C8">
      <w:pPr>
        <w:jc w:val="both"/>
        <w:rPr>
          <w:lang w:val="en-US"/>
        </w:rPr>
      </w:pPr>
      <w:r w:rsidRPr="00844207">
        <w:rPr>
          <w:lang w:val="en-US"/>
        </w:rPr>
        <w:t>The</w:t>
      </w:r>
      <w:r>
        <w:rPr>
          <w:lang w:val="en-US"/>
        </w:rPr>
        <w:t xml:space="preserve"> other</w:t>
      </w:r>
      <w:r w:rsidRPr="00844207">
        <w:rPr>
          <w:lang w:val="en-US"/>
        </w:rPr>
        <w:t xml:space="preserve"> two indicators used for the noisiness estimation (</w:t>
      </w:r>
      <w:r w:rsidRPr="001E5506">
        <w:rPr>
          <w:i/>
          <w:lang w:val="en-US"/>
        </w:rPr>
        <w:t>BGN</w:t>
      </w:r>
      <w:r>
        <w:rPr>
          <w:lang w:val="en-US"/>
        </w:rPr>
        <w:t xml:space="preserve"> </w:t>
      </w:r>
      <w:r w:rsidRPr="00844207">
        <w:rPr>
          <w:lang w:val="en-US"/>
        </w:rPr>
        <w:t xml:space="preserve">and </w:t>
      </w:r>
      <w:r w:rsidRPr="001E5506">
        <w:rPr>
          <w:i/>
          <w:lang w:val="en-US"/>
        </w:rPr>
        <w:t>SEDSTD</w:t>
      </w:r>
      <w:r w:rsidRPr="00844207">
        <w:rPr>
          <w:lang w:val="en-US"/>
        </w:rPr>
        <w:t xml:space="preserve">) quantify the amount of noise in the degraded signal. However, they do not consider the level of the </w:t>
      </w:r>
      <w:r>
        <w:rPr>
          <w:lang w:val="en-US"/>
        </w:rPr>
        <w:t xml:space="preserve">active </w:t>
      </w:r>
      <w:r w:rsidRPr="00844207">
        <w:rPr>
          <w:lang w:val="en-US"/>
        </w:rPr>
        <w:t xml:space="preserve">speech </w:t>
      </w:r>
      <w:r>
        <w:rPr>
          <w:lang w:val="en-US"/>
        </w:rPr>
        <w:t xml:space="preserve">parts </w:t>
      </w:r>
      <w:r w:rsidRPr="00844207">
        <w:rPr>
          <w:lang w:val="en-US"/>
        </w:rPr>
        <w:t>in the</w:t>
      </w:r>
      <w:r>
        <w:rPr>
          <w:lang w:val="en-US"/>
        </w:rPr>
        <w:t xml:space="preserve"> degraded</w:t>
      </w:r>
      <w:r w:rsidRPr="00844207">
        <w:rPr>
          <w:lang w:val="en-US"/>
        </w:rPr>
        <w:t xml:space="preserve"> file. </w:t>
      </w:r>
      <w:r w:rsidR="00D17CE6">
        <w:rPr>
          <w:lang w:val="en-US"/>
        </w:rPr>
        <w:t>Given</w:t>
      </w:r>
      <w:r w:rsidR="00D17CE6" w:rsidRPr="00844207">
        <w:rPr>
          <w:lang w:val="en-US"/>
        </w:rPr>
        <w:t xml:space="preserve"> </w:t>
      </w:r>
      <w:r w:rsidR="00D17CE6">
        <w:rPr>
          <w:lang w:val="en-US"/>
        </w:rPr>
        <w:t xml:space="preserve">a certain </w:t>
      </w:r>
      <w:r w:rsidR="00646DFB">
        <w:rPr>
          <w:lang w:val="en-US"/>
        </w:rPr>
        <w:t xml:space="preserve">fixed </w:t>
      </w:r>
      <w:r w:rsidR="00D17CE6" w:rsidRPr="00844207">
        <w:rPr>
          <w:lang w:val="en-US"/>
        </w:rPr>
        <w:t>amount of noise in the degraded signal,</w:t>
      </w:r>
      <w:r w:rsidR="00D17CE6">
        <w:rPr>
          <w:lang w:val="en-US"/>
        </w:rPr>
        <w:t xml:space="preserve"> </w:t>
      </w:r>
      <w:r w:rsidR="00646DFB">
        <w:rPr>
          <w:lang w:val="en-US"/>
        </w:rPr>
        <w:t>lower</w:t>
      </w:r>
      <w:r w:rsidR="00D17CE6">
        <w:rPr>
          <w:lang w:val="en-US"/>
        </w:rPr>
        <w:t xml:space="preserve"> active </w:t>
      </w:r>
      <w:r w:rsidR="00D17CE6" w:rsidRPr="00844207">
        <w:rPr>
          <w:lang w:val="en-US"/>
        </w:rPr>
        <w:t>speech level</w:t>
      </w:r>
      <w:r w:rsidR="00D17CE6">
        <w:rPr>
          <w:lang w:val="en-US"/>
        </w:rPr>
        <w:t xml:space="preserve">s lead to a </w:t>
      </w:r>
      <w:r w:rsidR="00646DFB">
        <w:rPr>
          <w:lang w:val="en-US"/>
        </w:rPr>
        <w:t>noisier</w:t>
      </w:r>
      <w:r w:rsidR="00D17CE6">
        <w:rPr>
          <w:lang w:val="en-US"/>
        </w:rPr>
        <w:t xml:space="preserve"> perception of the degraded signal, because the </w:t>
      </w:r>
      <w:r w:rsidR="00D17CE6" w:rsidRPr="00844207">
        <w:rPr>
          <w:lang w:val="en-US"/>
        </w:rPr>
        <w:t xml:space="preserve">SNR is </w:t>
      </w:r>
      <w:r w:rsidR="00646DFB">
        <w:rPr>
          <w:lang w:val="en-US"/>
        </w:rPr>
        <w:t>lower</w:t>
      </w:r>
      <w:r w:rsidR="00D17CE6">
        <w:rPr>
          <w:lang w:val="en-US"/>
        </w:rPr>
        <w:t>.</w:t>
      </w:r>
      <w:r w:rsidR="00646DFB">
        <w:rPr>
          <w:lang w:val="en-US"/>
        </w:rPr>
        <w:t xml:space="preserve"> In the other direction, the degraded signal</w:t>
      </w:r>
      <w:r w:rsidR="00646DFB" w:rsidRPr="00844207">
        <w:rPr>
          <w:lang w:val="en-US"/>
        </w:rPr>
        <w:t xml:space="preserve"> is perceived as less noisy when the speech signal level is higher as the SNR is higher too. The indicator </w:t>
      </w:r>
      <w:r w:rsidR="00646DFB" w:rsidRPr="00AE5A4B">
        <w:rPr>
          <w:i/>
          <w:lang w:val="en-US"/>
        </w:rPr>
        <w:t>ASLF</w:t>
      </w:r>
      <w:r w:rsidR="00646DFB" w:rsidRPr="00844207">
        <w:rPr>
          <w:lang w:val="en-US"/>
        </w:rPr>
        <w:t xml:space="preserve"> is modelling that behavior</w:t>
      </w:r>
      <w:r w:rsidR="00646DFB">
        <w:rPr>
          <w:lang w:val="en-US"/>
        </w:rPr>
        <w:t xml:space="preserve"> by comparing the active speech level in the degraded signal to the nominal level </w:t>
      </w:r>
      <w:r w:rsidR="00646DFB" w:rsidRPr="00844207">
        <w:rPr>
          <w:lang w:val="en-US"/>
        </w:rPr>
        <w:t>(-26dBoV).</w:t>
      </w:r>
    </w:p>
    <w:p w14:paraId="715BA435" w14:textId="1C28CF9D" w:rsidR="007D25D1" w:rsidRDefault="00844207" w:rsidP="005A30C8">
      <w:pPr>
        <w:jc w:val="both"/>
      </w:pPr>
      <w:r>
        <w:rPr>
          <w:lang w:val="en-US"/>
        </w:rPr>
        <w:t xml:space="preserve">The </w:t>
      </w:r>
      <w:r w:rsidR="00646DFB">
        <w:rPr>
          <w:lang w:val="en-US"/>
        </w:rPr>
        <w:t xml:space="preserve">active speech level factor </w:t>
      </w:r>
      <w:r w:rsidRPr="00AE5A4B">
        <w:rPr>
          <w:i/>
          <w:lang w:val="en-US"/>
        </w:rPr>
        <w:t>ASLF</w:t>
      </w:r>
      <w:r>
        <w:rPr>
          <w:i/>
          <w:lang w:val="en-US"/>
        </w:rPr>
        <w:t xml:space="preserve"> </w:t>
      </w:r>
      <w:r>
        <w:rPr>
          <w:lang w:val="en-US"/>
        </w:rPr>
        <w:t xml:space="preserve">is derived from the </w:t>
      </w:r>
      <w:r w:rsidR="007D25D1" w:rsidRPr="00AE5A4B">
        <w:rPr>
          <w:i/>
        </w:rPr>
        <w:t>aAvgActiveDistortedPower</w:t>
      </w:r>
      <w:r w:rsidR="007D25D1">
        <w:rPr>
          <w:i/>
        </w:rPr>
        <w:t xml:space="preserve"> </w:t>
      </w:r>
      <w:r>
        <w:t>indicator in</w:t>
      </w:r>
      <w:r>
        <w:rPr>
          <w:i/>
        </w:rPr>
        <w:t xml:space="preserve"> </w:t>
      </w:r>
      <w:r w:rsidRPr="00EA785E">
        <w:rPr>
          <w:lang w:val="en-US"/>
        </w:rPr>
        <w:t>[ITU-T P.863]</w:t>
      </w:r>
      <w:r w:rsidR="007D25D1">
        <w:rPr>
          <w:lang w:val="en-US"/>
        </w:rPr>
        <w:t>,</w:t>
      </w:r>
      <w:r>
        <w:rPr>
          <w:lang w:val="en-US"/>
        </w:rPr>
        <w:t xml:space="preserve"> which quantifies </w:t>
      </w:r>
      <w:r w:rsidRPr="00AE5A4B">
        <w:t>the power in active speech parts in the degraded signal</w:t>
      </w:r>
      <w:r w:rsidR="007D25D1">
        <w:t>.</w:t>
      </w:r>
    </w:p>
    <w:p w14:paraId="554AC948" w14:textId="77777777" w:rsidR="00C74111" w:rsidRDefault="00C74111" w:rsidP="005A30C8">
      <w:pPr>
        <w:jc w:val="both"/>
      </w:pPr>
      <w:r>
        <w:t xml:space="preserve">First, the logarithm of the average power in active speech frames in the degraded signal </w:t>
      </w:r>
      <w:r w:rsidRPr="00AE5A4B">
        <w:rPr>
          <w:i/>
        </w:rPr>
        <w:t>logDISTAP</w:t>
      </w:r>
      <w:r w:rsidRPr="00844207">
        <w:rPr>
          <w:lang w:val="en-US"/>
        </w:rPr>
        <w:t xml:space="preserve"> </w:t>
      </w:r>
      <w:r>
        <w:t>is computed as:</w:t>
      </w:r>
    </w:p>
    <w:p w14:paraId="19EF8BC1" w14:textId="5E5BB7D7" w:rsidR="00C74111" w:rsidRDefault="00C74111" w:rsidP="005A30C8">
      <w:pPr>
        <w:jc w:val="both"/>
      </w:pPr>
      <m:oMathPara>
        <m:oMath>
          <m:r>
            <w:rPr>
              <w:rFonts w:ascii="Cambria Math" w:hAnsi="Cambria Math"/>
            </w:rPr>
            <m:t>logDISTAP=10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+aAvgActiveDistortedPower/</m:t>
              </m:r>
              <m:sSup>
                <m:sSupPr>
                  <m:ctrlPr>
                    <w:rPr>
                      <w:rFonts w:ascii="Cambria Math" w:hAnsi="Cambria Math"/>
                      <w:i/>
                    </w:rPr>
                  </m:ctrlPr>
                </m:sSupPr>
                <m:e>
                  <m:r>
                    <w:rPr>
                      <w:rFonts w:ascii="Cambria Math" w:hAnsi="Cambria Math"/>
                    </w:rPr>
                    <m:t>10</m:t>
                  </m:r>
                </m:e>
                <m:sup>
                  <m:r>
                    <w:rPr>
                      <w:rFonts w:ascii="Cambria Math" w:hAnsi="Cambria Math"/>
                    </w:rPr>
                    <m:t>7</m:t>
                  </m:r>
                </m:sup>
              </m:sSup>
              <m:r>
                <w:rPr>
                  <w:rFonts w:ascii="Cambria Math" w:hAnsi="Cambria Math"/>
                </w:rPr>
                <m:t>)</m:t>
              </m:r>
            </m:e>
          </m:func>
        </m:oMath>
      </m:oMathPara>
    </w:p>
    <w:p w14:paraId="7F322151" w14:textId="31C640CB" w:rsidR="00844207" w:rsidRDefault="007D25D1" w:rsidP="005A30C8">
      <w:pPr>
        <w:jc w:val="both"/>
      </w:pPr>
      <w:r>
        <w:rPr>
          <w:lang w:val="en-US"/>
        </w:rPr>
        <w:t>The</w:t>
      </w:r>
      <w:r w:rsidR="00C74111">
        <w:rPr>
          <w:lang w:val="en-US"/>
        </w:rPr>
        <w:t>n, the</w:t>
      </w:r>
      <w:r>
        <w:rPr>
          <w:lang w:val="en-US"/>
        </w:rPr>
        <w:t xml:space="preserve"> active speech level factor </w:t>
      </w:r>
      <w:r w:rsidRPr="00AE5A4B">
        <w:rPr>
          <w:i/>
          <w:lang w:val="en-US"/>
        </w:rPr>
        <w:t>ASLF</w:t>
      </w:r>
      <w:r w:rsidR="00844207">
        <w:t xml:space="preserve"> </w:t>
      </w:r>
      <w:r>
        <w:t>is defined as:</w:t>
      </w:r>
    </w:p>
    <w:p w14:paraId="28ACD953" w14:textId="20BCFEC5" w:rsidR="001E6A17" w:rsidRDefault="001E6A17" w:rsidP="005A30C8">
      <w:pPr>
        <w:jc w:val="both"/>
      </w:pPr>
      <m:oMathPara>
        <m:oMath>
          <m:r>
            <w:rPr>
              <w:rFonts w:ascii="Cambria Math" w:hAnsi="Cambria Math"/>
            </w:rPr>
            <m:t>ASLF=</m:t>
          </m:r>
          <m:f>
            <m:fPr>
              <m:ctrlPr>
                <w:rPr>
                  <w:rFonts w:ascii="Cambria Math" w:hAnsi="Cambria Math"/>
                  <w:i/>
                </w:rPr>
              </m:ctrlPr>
            </m:fPr>
            <m:num>
              <m:r>
                <w:rPr>
                  <w:rFonts w:ascii="Cambria Math" w:hAnsi="Cambria Math"/>
                </w:rPr>
                <m:t>17-logDISTAP</m:t>
              </m:r>
            </m:num>
            <m:den>
              <m:r>
                <w:rPr>
                  <w:rFonts w:ascii="Cambria Math" w:hAnsi="Cambria Math"/>
                </w:rPr>
                <m:t>30</m:t>
              </m:r>
            </m:den>
          </m:f>
          <m:r>
            <w:rPr>
              <w:rFonts w:ascii="Cambria Math" w:hAnsi="Cambria Math"/>
            </w:rPr>
            <m:t>+1</m:t>
          </m:r>
        </m:oMath>
      </m:oMathPara>
    </w:p>
    <w:p w14:paraId="44FD62FC" w14:textId="571A08BF" w:rsidR="00844207" w:rsidRDefault="00844207" w:rsidP="005A30C8">
      <w:pPr>
        <w:jc w:val="both"/>
        <w:rPr>
          <w:lang w:val="en-US"/>
        </w:rPr>
      </w:pPr>
      <w:r w:rsidRPr="00844207">
        <w:rPr>
          <w:lang w:val="en-US"/>
        </w:rPr>
        <w:t xml:space="preserve">The indicator </w:t>
      </w:r>
      <w:r w:rsidRPr="00AE5A4B">
        <w:rPr>
          <w:i/>
        </w:rPr>
        <w:t>logDISTAP</w:t>
      </w:r>
      <w:r w:rsidRPr="00844207">
        <w:rPr>
          <w:lang w:val="en-US"/>
        </w:rPr>
        <w:t xml:space="preserve"> </w:t>
      </w:r>
      <w:r w:rsidR="00293AC2">
        <w:rPr>
          <w:lang w:val="en-US"/>
        </w:rPr>
        <w:t>has a value</w:t>
      </w:r>
      <w:r w:rsidRPr="00844207">
        <w:rPr>
          <w:lang w:val="en-US"/>
        </w:rPr>
        <w:t xml:space="preserve"> </w:t>
      </w:r>
      <w:r w:rsidR="00293AC2">
        <w:rPr>
          <w:lang w:val="en-US"/>
        </w:rPr>
        <w:t xml:space="preserve">around </w:t>
      </w:r>
      <w:r w:rsidRPr="00844207">
        <w:rPr>
          <w:lang w:val="en-US"/>
        </w:rPr>
        <w:t xml:space="preserve">17 in files with </w:t>
      </w:r>
      <w:r w:rsidR="00646DFB">
        <w:rPr>
          <w:lang w:val="en-US"/>
        </w:rPr>
        <w:t xml:space="preserve">active speech level close to the </w:t>
      </w:r>
      <w:r w:rsidRPr="00844207">
        <w:rPr>
          <w:lang w:val="en-US"/>
        </w:rPr>
        <w:t>nominal level (-26dBoV)</w:t>
      </w:r>
      <w:r>
        <w:rPr>
          <w:lang w:val="en-US"/>
        </w:rPr>
        <w:t>,</w:t>
      </w:r>
      <w:r w:rsidR="00293AC2">
        <w:rPr>
          <w:lang w:val="en-US"/>
        </w:rPr>
        <w:t xml:space="preserve"> it</w:t>
      </w:r>
      <w:r w:rsidR="00646DFB">
        <w:rPr>
          <w:lang w:val="en-US"/>
        </w:rPr>
        <w:t>s value</w:t>
      </w:r>
      <w:r w:rsidR="00293AC2">
        <w:rPr>
          <w:lang w:val="en-US"/>
        </w:rPr>
        <w:t xml:space="preserve"> is &gt;17 in files where active speech parts are louder and &lt;17 in files where active speech parts are quieter.</w:t>
      </w:r>
    </w:p>
    <w:p w14:paraId="35EA990F" w14:textId="516CDDF8" w:rsidR="00844207" w:rsidRDefault="00844207" w:rsidP="005A30C8">
      <w:pPr>
        <w:jc w:val="both"/>
        <w:rPr>
          <w:lang w:val="en-US"/>
        </w:rPr>
      </w:pPr>
      <w:r>
        <w:rPr>
          <w:lang w:val="en-US"/>
        </w:rPr>
        <w:t xml:space="preserve">The </w:t>
      </w:r>
      <w:r w:rsidR="00D46A70">
        <w:rPr>
          <w:lang w:val="en-US"/>
        </w:rPr>
        <w:t xml:space="preserve">value of the </w:t>
      </w:r>
      <w:r w:rsidR="00646DFB">
        <w:rPr>
          <w:lang w:val="en-US"/>
        </w:rPr>
        <w:t xml:space="preserve">active speech level factor </w:t>
      </w:r>
      <w:r w:rsidRPr="00454946">
        <w:rPr>
          <w:i/>
          <w:lang w:val="en-US"/>
        </w:rPr>
        <w:t>ASLF</w:t>
      </w:r>
      <w:r>
        <w:rPr>
          <w:lang w:val="en-US"/>
        </w:rPr>
        <w:t xml:space="preserve"> is then:</w:t>
      </w:r>
    </w:p>
    <w:p w14:paraId="03A45F46" w14:textId="1D86FB9C" w:rsidR="00D46A70" w:rsidRDefault="00D46A70" w:rsidP="005A30C8">
      <w:pPr>
        <w:numPr>
          <w:ilvl w:val="0"/>
          <w:numId w:val="16"/>
        </w:numPr>
        <w:tabs>
          <w:tab w:val="left" w:pos="794"/>
          <w:tab w:val="left" w:pos="1191"/>
          <w:tab w:val="left" w:pos="1588"/>
          <w:tab w:val="left" w:pos="1985"/>
        </w:tabs>
        <w:overflowPunct w:val="0"/>
        <w:autoSpaceDE w:val="0"/>
        <w:autoSpaceDN w:val="0"/>
        <w:adjustRightInd w:val="0"/>
        <w:jc w:val="both"/>
        <w:textAlignment w:val="baseline"/>
      </w:pPr>
      <w:r w:rsidRPr="00D46A70">
        <w:t>1 in files with nominal level (-26dBoV).</w:t>
      </w:r>
    </w:p>
    <w:p w14:paraId="53E7AB70" w14:textId="793BADBC" w:rsidR="00D46A70" w:rsidRDefault="00D46A70" w:rsidP="005A30C8">
      <w:pPr>
        <w:numPr>
          <w:ilvl w:val="0"/>
          <w:numId w:val="16"/>
        </w:numPr>
        <w:tabs>
          <w:tab w:val="left" w:pos="794"/>
          <w:tab w:val="left" w:pos="1191"/>
          <w:tab w:val="left" w:pos="1588"/>
          <w:tab w:val="left" w:pos="1985"/>
        </w:tabs>
        <w:overflowPunct w:val="0"/>
        <w:autoSpaceDE w:val="0"/>
        <w:autoSpaceDN w:val="0"/>
        <w:adjustRightInd w:val="0"/>
        <w:jc w:val="both"/>
        <w:textAlignment w:val="baseline"/>
      </w:pPr>
      <w:r w:rsidRPr="00844207">
        <w:rPr>
          <w:lang w:val="en-US"/>
        </w:rPr>
        <w:t xml:space="preserve">&lt; 1 </w:t>
      </w:r>
      <w:r>
        <w:rPr>
          <w:lang w:val="en-US"/>
        </w:rPr>
        <w:t>in f</w:t>
      </w:r>
      <w:r w:rsidRPr="00844207">
        <w:rPr>
          <w:lang w:val="en-US"/>
        </w:rPr>
        <w:t xml:space="preserve">iles </w:t>
      </w:r>
      <w:r>
        <w:rPr>
          <w:lang w:val="en-US"/>
        </w:rPr>
        <w:t xml:space="preserve">with the active speech </w:t>
      </w:r>
      <w:r w:rsidRPr="00844207">
        <w:rPr>
          <w:lang w:val="en-US"/>
        </w:rPr>
        <w:t>above the nominal level</w:t>
      </w:r>
      <w:r>
        <w:rPr>
          <w:lang w:val="en-US"/>
        </w:rPr>
        <w:t xml:space="preserve"> </w:t>
      </w:r>
      <w:r w:rsidRPr="00844207">
        <w:rPr>
          <w:lang w:val="en-US"/>
        </w:rPr>
        <w:t>(</w:t>
      </w:r>
      <w:r w:rsidRPr="00AE5A4B">
        <w:rPr>
          <w:i/>
          <w:lang w:val="en-US"/>
        </w:rPr>
        <w:t>ASLF</w:t>
      </w:r>
      <w:r>
        <w:rPr>
          <w:lang w:val="en-US"/>
        </w:rPr>
        <w:t xml:space="preserve"> </w:t>
      </w:r>
      <w:r w:rsidRPr="00844207">
        <w:rPr>
          <w:lang w:val="en-US"/>
        </w:rPr>
        <w:t xml:space="preserve">is 0.8 for 6 dB amplification </w:t>
      </w:r>
      <w:r>
        <w:rPr>
          <w:lang w:val="en-US"/>
        </w:rPr>
        <w:t xml:space="preserve">of the speech </w:t>
      </w:r>
      <w:r w:rsidRPr="00844207">
        <w:rPr>
          <w:lang w:val="en-US"/>
        </w:rPr>
        <w:t>for example)</w:t>
      </w:r>
      <w:r>
        <w:t>.</w:t>
      </w:r>
    </w:p>
    <w:p w14:paraId="0184F159" w14:textId="773CDF04" w:rsidR="00D46A70" w:rsidRDefault="00D46A70" w:rsidP="005A30C8">
      <w:pPr>
        <w:numPr>
          <w:ilvl w:val="0"/>
          <w:numId w:val="16"/>
        </w:numPr>
        <w:tabs>
          <w:tab w:val="left" w:pos="794"/>
          <w:tab w:val="left" w:pos="1191"/>
          <w:tab w:val="left" w:pos="1588"/>
          <w:tab w:val="left" w:pos="1985"/>
        </w:tabs>
        <w:overflowPunct w:val="0"/>
        <w:autoSpaceDE w:val="0"/>
        <w:autoSpaceDN w:val="0"/>
        <w:adjustRightInd w:val="0"/>
        <w:jc w:val="both"/>
        <w:textAlignment w:val="baseline"/>
      </w:pPr>
      <w:r w:rsidRPr="00844207">
        <w:rPr>
          <w:lang w:val="en-US"/>
        </w:rPr>
        <w:t xml:space="preserve">&gt; 1 </w:t>
      </w:r>
      <w:r>
        <w:rPr>
          <w:lang w:val="en-US"/>
        </w:rPr>
        <w:t>in f</w:t>
      </w:r>
      <w:r w:rsidRPr="00844207">
        <w:rPr>
          <w:lang w:val="en-US"/>
        </w:rPr>
        <w:t>iles</w:t>
      </w:r>
      <w:r>
        <w:rPr>
          <w:lang w:val="en-US"/>
        </w:rPr>
        <w:t xml:space="preserve"> with the active speech</w:t>
      </w:r>
      <w:r w:rsidRPr="00844207">
        <w:rPr>
          <w:lang w:val="en-US"/>
        </w:rPr>
        <w:t xml:space="preserve"> below the nominal level (</w:t>
      </w:r>
      <w:r w:rsidRPr="00AE5A4B">
        <w:rPr>
          <w:i/>
          <w:lang w:val="en-US"/>
        </w:rPr>
        <w:t>ASLF</w:t>
      </w:r>
      <w:r>
        <w:rPr>
          <w:lang w:val="en-US"/>
        </w:rPr>
        <w:t xml:space="preserve"> </w:t>
      </w:r>
      <w:r w:rsidRPr="00844207">
        <w:rPr>
          <w:lang w:val="en-US"/>
        </w:rPr>
        <w:t xml:space="preserve">is 1.5 for 15 dB attenuation </w:t>
      </w:r>
      <w:r w:rsidR="00605EA3">
        <w:rPr>
          <w:lang w:val="en-US"/>
        </w:rPr>
        <w:t xml:space="preserve">of the speech </w:t>
      </w:r>
      <w:r w:rsidRPr="00844207">
        <w:rPr>
          <w:lang w:val="en-US"/>
        </w:rPr>
        <w:t>for example).</w:t>
      </w:r>
    </w:p>
    <w:p w14:paraId="389FFA26" w14:textId="103694B0" w:rsidR="00293AC2" w:rsidRPr="00474BDD" w:rsidRDefault="00D46A70" w:rsidP="005A30C8">
      <w:pPr>
        <w:jc w:val="both"/>
        <w:rPr>
          <w:lang w:val="en-US"/>
        </w:rPr>
      </w:pPr>
      <w:r>
        <w:rPr>
          <w:lang w:val="en-US"/>
        </w:rPr>
        <w:t>Th</w:t>
      </w:r>
      <w:r w:rsidR="00DE3591">
        <w:rPr>
          <w:lang w:val="en-US"/>
        </w:rPr>
        <w:t>is way,</w:t>
      </w:r>
      <w:r w:rsidR="00293AC2">
        <w:rPr>
          <w:lang w:val="en-US"/>
        </w:rPr>
        <w:t xml:space="preserve"> a</w:t>
      </w:r>
      <w:r>
        <w:rPr>
          <w:lang w:val="en-US"/>
        </w:rPr>
        <w:t xml:space="preserve"> lower level in</w:t>
      </w:r>
      <w:r w:rsidR="00293AC2">
        <w:rPr>
          <w:lang w:val="en-US"/>
        </w:rPr>
        <w:t xml:space="preserve"> active speech parts </w:t>
      </w:r>
      <w:r w:rsidR="00646DFB">
        <w:rPr>
          <w:lang w:val="en-US"/>
        </w:rPr>
        <w:t xml:space="preserve">in the degraded signal </w:t>
      </w:r>
      <w:r w:rsidR="00293AC2">
        <w:rPr>
          <w:lang w:val="en-US"/>
        </w:rPr>
        <w:t xml:space="preserve">leads to a </w:t>
      </w:r>
      <w:r>
        <w:rPr>
          <w:lang w:val="en-US"/>
        </w:rPr>
        <w:t>worse</w:t>
      </w:r>
      <w:r w:rsidR="00293AC2">
        <w:rPr>
          <w:lang w:val="en-US"/>
        </w:rPr>
        <w:t xml:space="preserve"> noisiness rating </w:t>
      </w:r>
      <w:r w:rsidR="00DE3591">
        <w:rPr>
          <w:lang w:val="en-US"/>
        </w:rPr>
        <w:t>given</w:t>
      </w:r>
      <w:r w:rsidR="00293AC2">
        <w:rPr>
          <w:lang w:val="en-US"/>
        </w:rPr>
        <w:t xml:space="preserve"> the same amount of noise.</w:t>
      </w:r>
    </w:p>
    <w:p w14:paraId="7738F4F9" w14:textId="474F3395" w:rsidR="00305B4B" w:rsidRDefault="00305B4B" w:rsidP="005A30C8">
      <w:pPr>
        <w:jc w:val="both"/>
        <w:rPr>
          <w:b/>
          <w:bCs/>
          <w:lang w:eastAsia="de-DE"/>
        </w:rPr>
      </w:pPr>
      <w:r w:rsidRPr="00305B4B">
        <w:rPr>
          <w:b/>
          <w:bCs/>
          <w:lang w:eastAsia="de-DE"/>
        </w:rPr>
        <w:t xml:space="preserve">9.4 </w:t>
      </w:r>
      <w:r w:rsidR="009D0FD2">
        <w:rPr>
          <w:b/>
          <w:bCs/>
          <w:lang w:eastAsia="de-DE"/>
        </w:rPr>
        <w:t xml:space="preserve">Sub-optimum </w:t>
      </w:r>
      <w:r w:rsidR="00EA785E">
        <w:rPr>
          <w:b/>
          <w:bCs/>
          <w:lang w:eastAsia="de-DE"/>
        </w:rPr>
        <w:t>L</w:t>
      </w:r>
      <w:r w:rsidRPr="00305B4B">
        <w:rPr>
          <w:b/>
          <w:bCs/>
          <w:lang w:eastAsia="de-DE"/>
        </w:rPr>
        <w:t>oudness model</w:t>
      </w:r>
    </w:p>
    <w:p w14:paraId="146DBC87" w14:textId="3E43A728" w:rsidR="009D0FD2" w:rsidRDefault="00EA785E" w:rsidP="005A30C8">
      <w:pPr>
        <w:jc w:val="both"/>
      </w:pPr>
      <w:r>
        <w:lastRenderedPageBreak/>
        <w:t xml:space="preserve">The sub-optimum loudness </w:t>
      </w:r>
      <w:r w:rsidR="00E406C3">
        <w:t>predic</w:t>
      </w:r>
      <w:r>
        <w:t xml:space="preserve">tor </w:t>
      </w:r>
      <w:r w:rsidR="009D0FD2" w:rsidRPr="00454946">
        <w:t xml:space="preserve">is based mainly on </w:t>
      </w:r>
      <w:r w:rsidRPr="00454946">
        <w:t xml:space="preserve">an indicator </w:t>
      </w:r>
      <w:r w:rsidRPr="00EA785E">
        <w:rPr>
          <w:lang w:val="en-US"/>
        </w:rPr>
        <w:t xml:space="preserve">of [ITU-T P.863] </w:t>
      </w:r>
      <w:r>
        <w:rPr>
          <w:lang w:val="en-US"/>
        </w:rPr>
        <w:t xml:space="preserve">which quantifies </w:t>
      </w:r>
      <w:r w:rsidR="009D0FD2" w:rsidRPr="00454946">
        <w:t>the power in active speech parts in the degraded signal</w:t>
      </w:r>
      <w:r w:rsidR="00EC47C5">
        <w:t>, that is the</w:t>
      </w:r>
      <w:r w:rsidR="00F80FF0">
        <w:t xml:space="preserve"> </w:t>
      </w:r>
      <w:r w:rsidR="00514873" w:rsidRPr="00454946">
        <w:rPr>
          <w:i/>
        </w:rPr>
        <w:t>aAvgActiveDistortedPower</w:t>
      </w:r>
      <w:r w:rsidR="009D0FD2" w:rsidRPr="00454946">
        <w:t xml:space="preserve">. This information is combined with a second indicator </w:t>
      </w:r>
      <w:r w:rsidR="001A1F65" w:rsidRPr="00AE5A4B">
        <w:rPr>
          <w:i/>
        </w:rPr>
        <w:t>gainVarInd</w:t>
      </w:r>
      <w:r w:rsidR="001A1F65" w:rsidRPr="001A1F65">
        <w:t xml:space="preserve"> </w:t>
      </w:r>
      <w:r w:rsidR="009D0FD2" w:rsidRPr="00454946">
        <w:t>that quantifies the presence of gain variations and models their negative impact on the perceived optimal loudness.</w:t>
      </w:r>
    </w:p>
    <w:p w14:paraId="2EC09B00" w14:textId="298C9AC8" w:rsidR="00EC47C5" w:rsidRDefault="00EA785E" w:rsidP="005A30C8">
      <w:pPr>
        <w:jc w:val="both"/>
      </w:pPr>
      <w:r>
        <w:t>T</w:t>
      </w:r>
      <w:r w:rsidR="00331F5A">
        <w:t>he</w:t>
      </w:r>
      <w:r>
        <w:t xml:space="preserve"> model for </w:t>
      </w:r>
      <w:r w:rsidRPr="009D0FD2">
        <w:t xml:space="preserve">estimating </w:t>
      </w:r>
      <w:r>
        <w:t xml:space="preserve">the </w:t>
      </w:r>
      <w:r w:rsidRPr="009D0FD2">
        <w:t xml:space="preserve">“Sub-optimum Loudness” </w:t>
      </w:r>
      <w:r>
        <w:t xml:space="preserve">is a linear combination of the </w:t>
      </w:r>
      <w:r w:rsidR="00331F5A" w:rsidRPr="00454946">
        <w:rPr>
          <w:i/>
        </w:rPr>
        <w:t>logDISTAP</w:t>
      </w:r>
      <w:r w:rsidR="00331F5A">
        <w:t xml:space="preserve"> and the </w:t>
      </w:r>
      <w:r w:rsidR="00331F5A" w:rsidRPr="00AE5A4B">
        <w:rPr>
          <w:i/>
        </w:rPr>
        <w:t>gainVarInd</w:t>
      </w:r>
      <w:r>
        <w:t xml:space="preserve"> indicators</w:t>
      </w:r>
      <w:r w:rsidR="00F341F1">
        <w:t xml:space="preserve"> as:</w:t>
      </w:r>
    </w:p>
    <w:p w14:paraId="2401237B" w14:textId="77777777" w:rsidR="00C74111" w:rsidRDefault="006F4229" w:rsidP="005A30C8">
      <w:pPr>
        <w:jc w:val="both"/>
        <w:rPr>
          <w:i/>
        </w:rPr>
      </w:pPr>
      <w:r>
        <w:t>MOS</w:t>
      </w:r>
      <w:r w:rsidR="00CC7A86" w:rsidRPr="00CC7A86">
        <w:t>_</w:t>
      </w:r>
      <w:r>
        <w:t>L</w:t>
      </w:r>
      <w:r w:rsidR="00CC7A86" w:rsidRPr="00CC7A86">
        <w:t xml:space="preserve"> = 2.45 + 0.096 * </w:t>
      </w:r>
      <w:r w:rsidR="00CC7A86" w:rsidRPr="00454946">
        <w:rPr>
          <w:i/>
        </w:rPr>
        <w:t>logDISTAP</w:t>
      </w:r>
      <w:r w:rsidR="00CC7A86" w:rsidRPr="00CC7A86">
        <w:t xml:space="preserve"> - 0.0295 * </w:t>
      </w:r>
      <w:r w:rsidR="00CC7A86" w:rsidRPr="00454946">
        <w:rPr>
          <w:i/>
        </w:rPr>
        <w:t>gainVarInd</w:t>
      </w:r>
    </w:p>
    <w:p w14:paraId="7A2DE2E5" w14:textId="04750198" w:rsidR="00CC7A86" w:rsidRPr="001A1F65" w:rsidRDefault="00C74111" w:rsidP="005A30C8">
      <w:pPr>
        <w:jc w:val="both"/>
      </w:pPr>
      <w:r>
        <w:t xml:space="preserve">The </w:t>
      </w:r>
      <w:r w:rsidRPr="00AE5A4B">
        <w:rPr>
          <w:i/>
        </w:rPr>
        <w:t>logDISTAP</w:t>
      </w:r>
      <w:r w:rsidRPr="00844207">
        <w:rPr>
          <w:lang w:val="en-US"/>
        </w:rPr>
        <w:t xml:space="preserve"> </w:t>
      </w:r>
      <w:r>
        <w:t xml:space="preserve">is derived from the </w:t>
      </w:r>
      <w:r w:rsidRPr="00AE5A4B">
        <w:rPr>
          <w:i/>
        </w:rPr>
        <w:t>aAvgActiveDistortedPower</w:t>
      </w:r>
      <w:r>
        <w:t xml:space="preserve"> as explained in section 9.3.4. </w:t>
      </w:r>
      <w:r w:rsidR="00CC7A86">
        <w:t xml:space="preserve">Upper limits have been used for the two indicators in the above formula. </w:t>
      </w:r>
      <w:r w:rsidR="00331B5F">
        <w:t xml:space="preserve">The maximum value for </w:t>
      </w:r>
      <w:r w:rsidR="00CC7A86" w:rsidRPr="00454946">
        <w:rPr>
          <w:i/>
        </w:rPr>
        <w:t>logDISTAP</w:t>
      </w:r>
      <w:r w:rsidR="00CC7A86" w:rsidRPr="00CC7A86">
        <w:t xml:space="preserve"> </w:t>
      </w:r>
      <w:r w:rsidR="00331B5F">
        <w:t>is set</w:t>
      </w:r>
      <w:r w:rsidR="00CC7A86">
        <w:t xml:space="preserve"> to 20 (corresponding roughly to an </w:t>
      </w:r>
      <w:r w:rsidR="00331B5F">
        <w:t>active speech level</w:t>
      </w:r>
      <w:r w:rsidR="00CC7A86">
        <w:t xml:space="preserve"> of -23dBoV) to avoid the</w:t>
      </w:r>
      <w:r w:rsidR="00CC7A86" w:rsidRPr="00CC7A86">
        <w:t xml:space="preserve"> loudness predictions to increase without upper limit for positive amplifications.</w:t>
      </w:r>
      <w:r w:rsidR="001A1F65">
        <w:t xml:space="preserve"> The maximum value for </w:t>
      </w:r>
      <w:r w:rsidR="001A1F65" w:rsidRPr="00AE5A4B">
        <w:rPr>
          <w:i/>
        </w:rPr>
        <w:t>gainVarInd</w:t>
      </w:r>
      <w:r w:rsidR="001A1F65">
        <w:rPr>
          <w:i/>
        </w:rPr>
        <w:t xml:space="preserve"> </w:t>
      </w:r>
      <w:r w:rsidR="001A1F65">
        <w:t>is set to 35.</w:t>
      </w:r>
    </w:p>
    <w:p w14:paraId="635978CF" w14:textId="5E5F32F2" w:rsidR="00A02860" w:rsidRDefault="00A02860" w:rsidP="005A30C8">
      <w:pPr>
        <w:jc w:val="both"/>
        <w:rPr>
          <w:lang w:eastAsia="de-DE"/>
        </w:rPr>
      </w:pPr>
      <w:r>
        <w:rPr>
          <w:lang w:eastAsia="de-DE"/>
        </w:rPr>
        <w:t xml:space="preserve">The minimum and maximum values for the </w:t>
      </w:r>
      <w:r w:rsidR="007004A0">
        <w:rPr>
          <w:lang w:eastAsia="de-DE"/>
        </w:rPr>
        <w:t>S</w:t>
      </w:r>
      <w:r w:rsidR="00365A42">
        <w:rPr>
          <w:lang w:eastAsia="de-DE"/>
        </w:rPr>
        <w:t>ub-optimum loudness</w:t>
      </w:r>
      <w:r>
        <w:rPr>
          <w:lang w:eastAsia="de-DE"/>
        </w:rPr>
        <w:t xml:space="preserve"> prediction are set to 1</w:t>
      </w:r>
      <w:r w:rsidR="00F21192">
        <w:rPr>
          <w:lang w:eastAsia="de-DE"/>
        </w:rPr>
        <w:t>.0</w:t>
      </w:r>
      <w:r>
        <w:rPr>
          <w:lang w:eastAsia="de-DE"/>
        </w:rPr>
        <w:t xml:space="preserve"> and 4.75 MOS</w:t>
      </w:r>
      <w:r w:rsidR="00454946">
        <w:rPr>
          <w:lang w:eastAsia="de-DE"/>
        </w:rPr>
        <w:t>-L,</w:t>
      </w:r>
      <w:r>
        <w:rPr>
          <w:lang w:eastAsia="de-DE"/>
        </w:rPr>
        <w:t xml:space="preserve"> respectively.</w:t>
      </w:r>
    </w:p>
    <w:p w14:paraId="59E5D750" w14:textId="1CD3204D" w:rsidR="00EA785E" w:rsidRPr="00305B4B" w:rsidRDefault="00EA785E" w:rsidP="005A30C8">
      <w:pPr>
        <w:pStyle w:val="Headingib"/>
        <w:jc w:val="both"/>
        <w:rPr>
          <w:i w:val="0"/>
          <w:iCs/>
          <w:lang w:val="en-US" w:eastAsia="en-US"/>
        </w:rPr>
      </w:pPr>
      <w:r>
        <w:rPr>
          <w:i w:val="0"/>
          <w:iCs/>
          <w:lang w:val="en-US" w:eastAsia="en-US"/>
        </w:rPr>
        <w:t>9.4.1</w:t>
      </w:r>
      <w:r>
        <w:rPr>
          <w:i w:val="0"/>
          <w:iCs/>
          <w:lang w:val="en-US" w:eastAsia="en-US"/>
        </w:rPr>
        <w:tab/>
        <w:t>Gain variation indicator</w:t>
      </w:r>
    </w:p>
    <w:p w14:paraId="547888A9" w14:textId="3D56FF2E" w:rsidR="00212067" w:rsidRDefault="00957B72" w:rsidP="005A30C8">
      <w:pPr>
        <w:jc w:val="both"/>
      </w:pPr>
      <w:r>
        <w:t>A new indicator has been developed t</w:t>
      </w:r>
      <w:r w:rsidR="00212067">
        <w:t>o model the</w:t>
      </w:r>
      <w:r>
        <w:t xml:space="preserve"> negative</w:t>
      </w:r>
      <w:r w:rsidR="00212067">
        <w:t xml:space="preserve"> impact of strong gain variations on the perceived </w:t>
      </w:r>
      <w:r w:rsidR="00EA02C3">
        <w:t>sub-optimum loudness</w:t>
      </w:r>
      <w:r w:rsidR="00F0689A">
        <w:t xml:space="preserve">. This </w:t>
      </w:r>
      <w:r w:rsidR="00F0689A" w:rsidRPr="00AE5A4B">
        <w:t>gain variation</w:t>
      </w:r>
      <w:r w:rsidR="00F0689A" w:rsidRPr="002E59ED">
        <w:t xml:space="preserve"> indicator </w:t>
      </w:r>
      <w:r w:rsidR="00F0689A" w:rsidRPr="00AE5A4B">
        <w:rPr>
          <w:i/>
        </w:rPr>
        <w:t>gainVarInd</w:t>
      </w:r>
      <w:r w:rsidR="00F0689A">
        <w:rPr>
          <w:i/>
        </w:rPr>
        <w:t xml:space="preserve"> </w:t>
      </w:r>
      <w:r w:rsidR="00C833B0">
        <w:t>quantif</w:t>
      </w:r>
      <w:r>
        <w:t>ies</w:t>
      </w:r>
      <w:r w:rsidR="00C833B0">
        <w:t xml:space="preserve"> the amount of gain variation in the degraded signal with respect to the original reference signal</w:t>
      </w:r>
      <w:r w:rsidR="00F0689A">
        <w:t>, by integrating</w:t>
      </w:r>
      <w:r w:rsidR="000571EA" w:rsidRPr="002E59ED">
        <w:t xml:space="preserve"> the </w:t>
      </w:r>
      <w:r w:rsidR="00F0689A">
        <w:t>loudness</w:t>
      </w:r>
      <w:r w:rsidR="000571EA" w:rsidRPr="002E59ED">
        <w:t xml:space="preserve"> </w:t>
      </w:r>
      <w:r w:rsidR="00F0689A">
        <w:t>deviations</w:t>
      </w:r>
      <w:r w:rsidR="000571EA" w:rsidRPr="002E59ED">
        <w:t xml:space="preserve"> from a central </w:t>
      </w:r>
      <w:r w:rsidR="000571EA">
        <w:t xml:space="preserve">fixed </w:t>
      </w:r>
      <w:r w:rsidR="000571EA" w:rsidRPr="002E59ED">
        <w:t>value</w:t>
      </w:r>
      <w:r w:rsidR="000571EA">
        <w:t>.</w:t>
      </w:r>
    </w:p>
    <w:p w14:paraId="541FE1F0" w14:textId="2D3D2532" w:rsidR="00687269" w:rsidRDefault="00EA02C3" w:rsidP="005A30C8">
      <w:pPr>
        <w:jc w:val="both"/>
      </w:pPr>
      <w:r>
        <w:t xml:space="preserve">In a first step, the loudness of </w:t>
      </w:r>
      <w:r w:rsidR="000571EA">
        <w:t xml:space="preserve">the </w:t>
      </w:r>
      <w:r w:rsidR="00957B72">
        <w:t>time-</w:t>
      </w:r>
      <w:r w:rsidR="000571EA">
        <w:t xml:space="preserve">aligned versions of the </w:t>
      </w:r>
      <w:r>
        <w:t>reference and degraded signals</w:t>
      </w:r>
      <w:r w:rsidR="00687269">
        <w:t xml:space="preserve"> </w:t>
      </w:r>
      <w:r w:rsidR="00C833B0">
        <w:t>(</w:t>
      </w:r>
      <w:r w:rsidR="00C833B0" w:rsidRPr="00AE5A4B">
        <w:rPr>
          <w:i/>
        </w:rPr>
        <w:t>loud</w:t>
      </w:r>
      <w:r w:rsidR="00C833B0">
        <w:rPr>
          <w:i/>
        </w:rPr>
        <w:t>Ref</w:t>
      </w:r>
      <w:r w:rsidR="00C833B0">
        <w:t xml:space="preserve"> and </w:t>
      </w:r>
      <w:r w:rsidR="00C833B0" w:rsidRPr="00AE5A4B">
        <w:rPr>
          <w:i/>
        </w:rPr>
        <w:t>loudDeg</w:t>
      </w:r>
      <w:r w:rsidR="00C833B0">
        <w:t xml:space="preserve">) </w:t>
      </w:r>
      <w:r>
        <w:t xml:space="preserve">is computed </w:t>
      </w:r>
      <w:r w:rsidR="000571EA">
        <w:t xml:space="preserve">for each frame </w:t>
      </w:r>
      <w:r>
        <w:t xml:space="preserve">in a frequency band ranging between </w:t>
      </w:r>
      <w:r w:rsidRPr="00EA02C3">
        <w:t xml:space="preserve">250Hz </w:t>
      </w:r>
      <w:r>
        <w:t>and</w:t>
      </w:r>
      <w:r w:rsidRPr="00EA02C3">
        <w:t xml:space="preserve"> 3.5kHz</w:t>
      </w:r>
      <w:r>
        <w:t xml:space="preserve"> approximately.</w:t>
      </w:r>
      <w:r w:rsidR="000571EA">
        <w:t xml:space="preserve"> </w:t>
      </w:r>
    </w:p>
    <w:p w14:paraId="368E2BAE" w14:textId="79BB2200" w:rsidR="00687269" w:rsidRDefault="000571EA" w:rsidP="005A30C8">
      <w:pPr>
        <w:jc w:val="both"/>
      </w:pPr>
      <w:r>
        <w:t xml:space="preserve">Next, the loudness </w:t>
      </w:r>
      <w:r w:rsidR="006A4842">
        <w:t xml:space="preserve">deviation </w:t>
      </w:r>
      <w:r w:rsidR="006A4842" w:rsidRPr="00AE5A4B">
        <w:rPr>
          <w:i/>
        </w:rPr>
        <w:t>loudDev</w:t>
      </w:r>
      <w:r w:rsidR="006A4842">
        <w:t xml:space="preserve"> </w:t>
      </w:r>
      <w:r>
        <w:t>between the aligned reference and degraded is computed for each active speech frame</w:t>
      </w:r>
      <w:r w:rsidR="00687269">
        <w:t xml:space="preserve"> </w:t>
      </w:r>
      <w:r w:rsidR="006A4842">
        <w:t xml:space="preserve">with index </w:t>
      </w:r>
      <w:r w:rsidR="00687269" w:rsidRPr="00454946">
        <w:rPr>
          <w:i/>
        </w:rPr>
        <w:t>k</w:t>
      </w:r>
      <w:r w:rsidR="00C833B0">
        <w:t xml:space="preserve"> as</w:t>
      </w:r>
      <w:r w:rsidR="00CE3858">
        <w:t>:</w:t>
      </w:r>
      <w:r w:rsidR="00C833B0">
        <w:t xml:space="preserve"> </w:t>
      </w:r>
    </w:p>
    <w:p w14:paraId="444D3D39" w14:textId="687EBAE4" w:rsidR="00C833B0" w:rsidRPr="00454946" w:rsidRDefault="00C833B0" w:rsidP="005A30C8">
      <w:pPr>
        <w:jc w:val="both"/>
        <w:rPr>
          <w:i/>
        </w:rPr>
      </w:pPr>
      <w:r w:rsidRPr="00454946">
        <w:rPr>
          <w:i/>
        </w:rPr>
        <w:t>loudDev(k) = loudDeg(k) - loudRef(k)</w:t>
      </w:r>
    </w:p>
    <w:p w14:paraId="5ADA0A7C" w14:textId="06817CFA" w:rsidR="00687269" w:rsidRDefault="000571EA" w:rsidP="005A30C8">
      <w:pPr>
        <w:jc w:val="both"/>
      </w:pPr>
      <w:r>
        <w:t>Then</w:t>
      </w:r>
      <w:r w:rsidR="00F0689A">
        <w:t>,</w:t>
      </w:r>
      <w:r>
        <w:t xml:space="preserve"> the</w:t>
      </w:r>
      <w:r w:rsidR="00CE3858">
        <w:t xml:space="preserve"> fixed loudness deviation</w:t>
      </w:r>
      <w:r>
        <w:t xml:space="preserve"> </w:t>
      </w:r>
      <w:r w:rsidR="00DA7B40" w:rsidRPr="00C833B0">
        <w:rPr>
          <w:i/>
        </w:rPr>
        <w:t>fixedL</w:t>
      </w:r>
      <w:r w:rsidR="00DA7B40" w:rsidRPr="00AE5A4B">
        <w:rPr>
          <w:i/>
        </w:rPr>
        <w:t>oudDeviatio</w:t>
      </w:r>
      <w:r w:rsidR="00DA7B40" w:rsidRPr="00C833B0">
        <w:rPr>
          <w:i/>
        </w:rPr>
        <w:t>n</w:t>
      </w:r>
      <w:r w:rsidR="00DA7B40">
        <w:t xml:space="preserve">, which can be interpreted as the fixed component of the loudness deviation resulting from a gain variation (i.e. resulting from a fixed gain difference between reference and degraded signals), is computed as the </w:t>
      </w:r>
      <w:r>
        <w:t xml:space="preserve">median value </w:t>
      </w:r>
      <w:r w:rsidR="00DA7B40">
        <w:t>of</w:t>
      </w:r>
      <w:r>
        <w:t xml:space="preserve"> the loudness deviation </w:t>
      </w:r>
      <w:r w:rsidR="00F0689A">
        <w:t>across all</w:t>
      </w:r>
      <w:r w:rsidR="00390C6A">
        <w:t xml:space="preserve"> active speech frames</w:t>
      </w:r>
      <w:r w:rsidR="00687269">
        <w:t>:</w:t>
      </w:r>
    </w:p>
    <w:p w14:paraId="4D9CCD4E" w14:textId="6099D714" w:rsidR="00957B72" w:rsidRPr="00454946" w:rsidRDefault="00C833B0" w:rsidP="005A30C8">
      <w:pPr>
        <w:jc w:val="both"/>
        <w:rPr>
          <w:i/>
        </w:rPr>
      </w:pPr>
      <m:oMathPara>
        <m:oMath>
          <m:r>
            <w:rPr>
              <w:rFonts w:ascii="Cambria Math" w:hAnsi="Cambria Math"/>
            </w:rPr>
            <m:t>fixedLoudDev=median(loudDev</m:t>
          </m:r>
          <m:d>
            <m:dPr>
              <m:ctrlPr>
                <w:rPr>
                  <w:rFonts w:ascii="Cambria Math" w:hAnsi="Cambria Math"/>
                  <w:i/>
                </w:rPr>
              </m:ctrlPr>
            </m:dPr>
            <m:e>
              <m:r>
                <w:rPr>
                  <w:rFonts w:ascii="Cambria Math" w:hAnsi="Cambria Math"/>
                </w:rPr>
                <m:t>k</m:t>
              </m:r>
            </m:e>
          </m:d>
          <m:r>
            <w:rPr>
              <w:rFonts w:ascii="Cambria Math" w:hAnsi="Cambria Math"/>
            </w:rPr>
            <m:t>)</m:t>
          </m:r>
        </m:oMath>
      </m:oMathPara>
    </w:p>
    <w:p w14:paraId="461BB0C7" w14:textId="307E220C" w:rsidR="00EA02C3" w:rsidRDefault="00687269" w:rsidP="005A30C8">
      <w:pPr>
        <w:jc w:val="both"/>
      </w:pPr>
      <w:r>
        <w:t xml:space="preserve">Indeed, in case there is only a fixed gain difference between reference and degraded signals, the </w:t>
      </w:r>
      <w:r w:rsidR="00390C6A">
        <w:t xml:space="preserve">loudness deviation vector </w:t>
      </w:r>
      <w:r w:rsidR="00390C6A" w:rsidRPr="00AE5A4B">
        <w:rPr>
          <w:i/>
        </w:rPr>
        <w:t>loudDev</w:t>
      </w:r>
      <w:r w:rsidR="00390C6A">
        <w:t xml:space="preserve"> will be more or less constant over </w:t>
      </w:r>
      <w:r w:rsidR="00957B72">
        <w:t>the</w:t>
      </w:r>
      <w:r w:rsidR="00390C6A">
        <w:t xml:space="preserve"> active speech frames</w:t>
      </w:r>
      <w:r w:rsidR="006A4842">
        <w:t xml:space="preserve">, with </w:t>
      </w:r>
      <w:r w:rsidR="00957B72">
        <w:t xml:space="preserve">all </w:t>
      </w:r>
      <w:r w:rsidR="006A4842">
        <w:t xml:space="preserve">values close to </w:t>
      </w:r>
      <w:r w:rsidR="006A4842" w:rsidRPr="00C833B0">
        <w:rPr>
          <w:i/>
        </w:rPr>
        <w:t>fixedL</w:t>
      </w:r>
      <w:r w:rsidR="006A4842" w:rsidRPr="00AE5A4B">
        <w:rPr>
          <w:i/>
        </w:rPr>
        <w:t>oudDev</w:t>
      </w:r>
      <w:r w:rsidR="00390C6A">
        <w:t>.</w:t>
      </w:r>
      <w:r>
        <w:t xml:space="preserve"> </w:t>
      </w:r>
      <w:r w:rsidR="00CE3858">
        <w:t xml:space="preserve">The more important are the gain variations in the degraded signal compared to the reference signal, the more important will be the </w:t>
      </w:r>
      <w:r w:rsidR="00957B72">
        <w:t>deviations</w:t>
      </w:r>
      <w:r w:rsidR="00CE3858">
        <w:t xml:space="preserve"> with respect to this central value </w:t>
      </w:r>
      <w:r w:rsidR="00CE3858" w:rsidRPr="00C833B0">
        <w:rPr>
          <w:i/>
        </w:rPr>
        <w:t>fixedL</w:t>
      </w:r>
      <w:r w:rsidR="00CE3858" w:rsidRPr="00AE5A4B">
        <w:rPr>
          <w:i/>
        </w:rPr>
        <w:t>oudDev</w:t>
      </w:r>
      <w:r w:rsidR="00CE3858">
        <w:t>.</w:t>
      </w:r>
    </w:p>
    <w:p w14:paraId="5AA3351B" w14:textId="2961B667" w:rsidR="006A4842" w:rsidRDefault="00CE3858" w:rsidP="005A30C8">
      <w:pPr>
        <w:jc w:val="both"/>
      </w:pPr>
      <w:r>
        <w:t>Finally, t</w:t>
      </w:r>
      <w:r w:rsidR="002E59ED" w:rsidRPr="002E59ED">
        <w:t>he</w:t>
      </w:r>
      <w:r w:rsidR="00F0689A">
        <w:t xml:space="preserve"> gain variation indicator</w:t>
      </w:r>
      <w:r w:rsidR="002E59ED" w:rsidRPr="002E59ED">
        <w:t xml:space="preserve"> </w:t>
      </w:r>
      <w:r w:rsidR="002E59ED" w:rsidRPr="00454946">
        <w:rPr>
          <w:i/>
        </w:rPr>
        <w:t>gainVarInd</w:t>
      </w:r>
      <w:r w:rsidR="002E59ED" w:rsidRPr="002E59ED">
        <w:t xml:space="preserve"> integrates the </w:t>
      </w:r>
      <w:r w:rsidR="00957B72">
        <w:t xml:space="preserve">absolute </w:t>
      </w:r>
      <w:r>
        <w:t>loudness</w:t>
      </w:r>
      <w:r w:rsidR="002E59ED" w:rsidRPr="002E59ED">
        <w:t xml:space="preserve"> </w:t>
      </w:r>
      <w:r w:rsidR="00957B72">
        <w:t>devi</w:t>
      </w:r>
      <w:r w:rsidR="002E59ED" w:rsidRPr="002E59ED">
        <w:t>ation</w:t>
      </w:r>
      <w:r w:rsidR="00957B72">
        <w:t>s</w:t>
      </w:r>
      <w:r w:rsidR="002E59ED" w:rsidRPr="002E59ED">
        <w:t xml:space="preserve"> </w:t>
      </w:r>
      <w:r w:rsidR="001A1F65">
        <w:t>with respect to this fixed central value</w:t>
      </w:r>
      <w:r w:rsidR="00456285">
        <w:t xml:space="preserve"> as</w:t>
      </w:r>
    </w:p>
    <w:p w14:paraId="7AE52EF7" w14:textId="60F0E439" w:rsidR="006A4842" w:rsidRDefault="006A4842" w:rsidP="005A30C8">
      <w:pPr>
        <w:jc w:val="both"/>
      </w:pPr>
      <m:oMathPara>
        <m:oMath>
          <m:r>
            <w:rPr>
              <w:rFonts w:ascii="Cambria Math" w:hAnsi="Cambria Math"/>
            </w:rPr>
            <m:t>gainVarInd=</m:t>
          </m:r>
          <m:f>
            <m:fPr>
              <m:ctrlPr>
                <w:rPr>
                  <w:rFonts w:ascii="Cambria Math" w:hAnsi="Cambria Math"/>
                  <w:i/>
                </w:rPr>
              </m:ctrlPr>
            </m:fPr>
            <m:num>
              <m:r>
                <w:rPr>
                  <w:rFonts w:ascii="Cambria Math" w:hAnsi="Cambria Math"/>
                </w:rPr>
                <m:t>1</m:t>
              </m:r>
            </m:num>
            <m:den>
              <m:r>
                <w:rPr>
                  <w:rFonts w:ascii="Cambria Math" w:hAnsi="Cambria Math"/>
                </w:rPr>
                <m:t>K</m:t>
              </m:r>
            </m:den>
          </m:f>
          <m:r>
            <w:rPr>
              <w:rFonts w:ascii="Cambria Math" w:hAnsi="Cambria Math"/>
            </w:rPr>
            <m:t xml:space="preserve"> </m:t>
          </m:r>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r>
                <w:rPr>
                  <w:rFonts w:ascii="Cambria Math" w:hAnsi="Cambria Math"/>
                </w:rPr>
                <m:t>| loudDevWin</m:t>
              </m:r>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 xml:space="preserve"> |</m:t>
              </m:r>
            </m:e>
          </m:nary>
          <m:r>
            <w:rPr>
              <w:rFonts w:ascii="Cambria Math" w:hAnsi="Cambria Math"/>
              <w:lang w:eastAsia="zh-CN"/>
            </w:rPr>
            <m:t xml:space="preserve"> ,</m:t>
          </m:r>
        </m:oMath>
      </m:oMathPara>
    </w:p>
    <w:p w14:paraId="348FE0EC" w14:textId="188DB585" w:rsidR="00456285" w:rsidRDefault="00627810" w:rsidP="005A30C8">
      <w:pPr>
        <w:jc w:val="both"/>
      </w:pPr>
      <w:r>
        <w:t>where</w:t>
      </w:r>
      <w:r w:rsidR="00A6052E">
        <w:t xml:space="preserve"> the loudness</w:t>
      </w:r>
      <w:r w:rsidR="00A6052E" w:rsidRPr="002E59ED">
        <w:t xml:space="preserve"> </w:t>
      </w:r>
      <w:r w:rsidR="00A6052E">
        <w:t>devi</w:t>
      </w:r>
      <w:r w:rsidR="00A6052E" w:rsidRPr="002E59ED">
        <w:t>ation</w:t>
      </w:r>
      <w:r w:rsidR="00A6052E">
        <w:t xml:space="preserve"> </w:t>
      </w:r>
      <w:r w:rsidR="00665854">
        <w:t xml:space="preserve">from the fixed central value </w:t>
      </w:r>
      <w:r w:rsidR="00A6052E">
        <w:t xml:space="preserve">in a window around frame </w:t>
      </w:r>
      <w:r w:rsidR="00A6052E" w:rsidRPr="00454946">
        <w:rPr>
          <w:i/>
        </w:rPr>
        <w:t>k</w:t>
      </w:r>
      <w:r w:rsidR="00A6052E">
        <w:t xml:space="preserve"> </w:t>
      </w:r>
      <m:oMath>
        <m:r>
          <w:rPr>
            <w:rFonts w:ascii="Cambria Math" w:hAnsi="Cambria Math"/>
          </w:rPr>
          <m:t>loudDevWin(k)</m:t>
        </m:r>
      </m:oMath>
      <w:r w:rsidR="00A6052E">
        <w:t xml:space="preserve"> is </w:t>
      </w:r>
      <w:r w:rsidR="000C1391">
        <w:t>defined</w:t>
      </w:r>
      <w:r w:rsidR="00A6052E">
        <w:t xml:space="preserve"> as</w:t>
      </w:r>
    </w:p>
    <w:p w14:paraId="5AC873D7" w14:textId="2B53091E" w:rsidR="00456285" w:rsidRDefault="00456285" w:rsidP="005A30C8">
      <w:pPr>
        <w:jc w:val="both"/>
      </w:pPr>
      <m:oMathPara>
        <m:oMath>
          <m:r>
            <w:rPr>
              <w:rFonts w:ascii="Cambria Math" w:hAnsi="Cambria Math"/>
            </w:rPr>
            <w:lastRenderedPageBreak/>
            <m:t>loudDevWin</m:t>
          </m:r>
          <m:d>
            <m:dPr>
              <m:ctrlPr>
                <w:rPr>
                  <w:rFonts w:ascii="Cambria Math" w:hAnsi="Cambria Math"/>
                  <w:i/>
                  <w:lang w:eastAsia="zh-CN"/>
                </w:rPr>
              </m:ctrlPr>
            </m:dPr>
            <m:e>
              <m:r>
                <w:rPr>
                  <w:rFonts w:ascii="Cambria Math" w:hAnsi="Cambria Math"/>
                  <w:lang w:eastAsia="zh-CN"/>
                </w:rPr>
                <m:t>k</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W</m:t>
              </m:r>
            </m:den>
          </m:f>
          <m:r>
            <w:rPr>
              <w:rFonts w:ascii="Cambria Math" w:hAnsi="Cambria Math"/>
            </w:rPr>
            <m:t xml:space="preserve"> </m:t>
          </m:r>
          <m:nary>
            <m:naryPr>
              <m:chr m:val="∑"/>
              <m:limLoc m:val="undOvr"/>
              <m:ctrlPr>
                <w:rPr>
                  <w:rFonts w:ascii="Cambria Math" w:hAnsi="Cambria Math"/>
                  <w:i/>
                  <w:lang w:eastAsia="zh-CN"/>
                </w:rPr>
              </m:ctrlPr>
            </m:naryPr>
            <m:sub>
              <m:r>
                <w:rPr>
                  <w:rFonts w:ascii="Cambria Math" w:hAnsi="Cambria Math"/>
                  <w:lang w:eastAsia="zh-CN"/>
                </w:rPr>
                <m:t>w=0</m:t>
              </m:r>
            </m:sub>
            <m:sup>
              <m:r>
                <w:rPr>
                  <w:rFonts w:ascii="Cambria Math" w:hAnsi="Cambria Math"/>
                  <w:lang w:eastAsia="zh-CN"/>
                </w:rPr>
                <m:t>W-1</m:t>
              </m:r>
            </m:sup>
            <m:e>
              <m:r>
                <w:rPr>
                  <w:rFonts w:ascii="Cambria Math" w:hAnsi="Cambria Math"/>
                </w:rPr>
                <m:t>( loudDev</m:t>
              </m:r>
              <m:d>
                <m:dPr>
                  <m:ctrlPr>
                    <w:rPr>
                      <w:rFonts w:ascii="Cambria Math" w:hAnsi="Cambria Math"/>
                      <w:i/>
                      <w:lang w:eastAsia="zh-CN"/>
                    </w:rPr>
                  </m:ctrlPr>
                </m:dPr>
                <m:e>
                  <m:r>
                    <w:rPr>
                      <w:rFonts w:ascii="Cambria Math" w:hAnsi="Cambria Math"/>
                      <w:lang w:eastAsia="zh-CN"/>
                    </w:rPr>
                    <m:t>k+w</m:t>
                  </m:r>
                </m:e>
              </m:d>
              <m:r>
                <w:rPr>
                  <w:rFonts w:ascii="Cambria Math" w:hAnsi="Cambria Math"/>
                  <w:lang w:eastAsia="zh-CN"/>
                </w:rPr>
                <m:t xml:space="preserve"> </m:t>
              </m:r>
              <m:func>
                <m:funcPr>
                  <m:ctrlPr>
                    <w:rPr>
                      <w:rFonts w:ascii="Cambria Math" w:hAnsi="Cambria Math"/>
                      <w:i/>
                      <w:lang w:eastAsia="zh-CN"/>
                    </w:rPr>
                  </m:ctrlPr>
                </m:funcPr>
                <m:fName>
                  <m:r>
                    <m:rPr>
                      <m:sty m:val="p"/>
                    </m:rPr>
                    <w:rPr>
                      <w:rFonts w:ascii="Cambria Math" w:hAnsi="Cambria Math"/>
                      <w:lang w:eastAsia="zh-CN"/>
                    </w:rPr>
                    <m:t>-</m:t>
                  </m:r>
                </m:fName>
                <m:e>
                  <m:r>
                    <w:rPr>
                      <w:rFonts w:ascii="Cambria Math" w:hAnsi="Cambria Math"/>
                    </w:rPr>
                    <m:t>fixedLoudDev )</m:t>
                  </m:r>
                </m:e>
              </m:func>
            </m:e>
          </m:nary>
        </m:oMath>
      </m:oMathPara>
    </w:p>
    <w:p w14:paraId="240BA9B8" w14:textId="7E019DD3" w:rsidR="00456285" w:rsidRPr="00454946" w:rsidRDefault="00456285" w:rsidP="005A30C8">
      <w:pPr>
        <w:jc w:val="both"/>
        <w:rPr>
          <w:lang w:val="en-US"/>
        </w:rPr>
      </w:pPr>
      <w:r>
        <w:t xml:space="preserve">A </w:t>
      </w:r>
      <w:r>
        <w:rPr>
          <w:lang w:val="en-US"/>
        </w:rPr>
        <w:t xml:space="preserve">small </w:t>
      </w:r>
      <w:r w:rsidR="00627810">
        <w:rPr>
          <w:lang w:val="en-US"/>
        </w:rPr>
        <w:t xml:space="preserve">smoothing </w:t>
      </w:r>
      <w:r>
        <w:rPr>
          <w:lang w:val="en-US"/>
        </w:rPr>
        <w:t xml:space="preserve">window of W=10 frames is considered in the calculation of the loudness deviation, to avoid high values for the </w:t>
      </w:r>
      <w:r>
        <w:t>gain variation indicator</w:t>
      </w:r>
      <w:r w:rsidRPr="002E59ED">
        <w:t xml:space="preserve"> </w:t>
      </w:r>
      <w:r w:rsidRPr="00AE5A4B">
        <w:rPr>
          <w:i/>
        </w:rPr>
        <w:t>gainVarInd</w:t>
      </w:r>
      <w:r w:rsidRPr="002E59ED">
        <w:t xml:space="preserve"> </w:t>
      </w:r>
      <w:r>
        <w:t xml:space="preserve">in case of </w:t>
      </w:r>
      <w:r>
        <w:rPr>
          <w:lang w:val="en-US"/>
        </w:rPr>
        <w:t xml:space="preserve">very fast loudness variations, which are typical in case of noisy degraded signals. </w:t>
      </w:r>
    </w:p>
    <w:p w14:paraId="560AD126" w14:textId="249F5D38" w:rsidR="00F0689A" w:rsidRPr="00215923" w:rsidRDefault="00456285" w:rsidP="005A30C8">
      <w:pPr>
        <w:jc w:val="both"/>
      </w:pPr>
      <w:r>
        <w:t>In addition, t</w:t>
      </w:r>
      <w:r w:rsidR="001A1F65" w:rsidRPr="00CE3858">
        <w:t xml:space="preserve">o reduce the </w:t>
      </w:r>
      <w:r w:rsidR="001A1F65">
        <w:t>impact</w:t>
      </w:r>
      <w:r w:rsidR="001A1F65" w:rsidRPr="00CE3858">
        <w:t xml:space="preserve"> of extreme values </w:t>
      </w:r>
      <w:r w:rsidR="001A1F65">
        <w:t xml:space="preserve">on the gain variation indicator, which can be </w:t>
      </w:r>
      <w:r w:rsidR="001A1F65" w:rsidRPr="00CE3858">
        <w:t xml:space="preserve">caused </w:t>
      </w:r>
      <w:r w:rsidR="001A1F65">
        <w:t>for example by</w:t>
      </w:r>
      <w:r>
        <w:t xml:space="preserve"> </w:t>
      </w:r>
      <w:r w:rsidR="001A1F65" w:rsidRPr="00CE3858">
        <w:t>frame losses</w:t>
      </w:r>
      <w:r>
        <w:t>,</w:t>
      </w:r>
      <w:r w:rsidR="001A1F65">
        <w:t xml:space="preserve"> </w:t>
      </w:r>
      <w:r w:rsidR="001A1F65" w:rsidRPr="00CE3858">
        <w:t>interruptions</w:t>
      </w:r>
      <w:r>
        <w:t xml:space="preserve"> and</w:t>
      </w:r>
      <w:r w:rsidR="00E77231">
        <w:t>/</w:t>
      </w:r>
      <w:r>
        <w:t xml:space="preserve">or </w:t>
      </w:r>
      <w:r w:rsidRPr="00CE3858">
        <w:t>noises</w:t>
      </w:r>
      <w:r w:rsidR="001A1F65">
        <w:t xml:space="preserve">, the maximum deviation per active speech frame </w:t>
      </w:r>
      <m:oMath>
        <m:r>
          <w:rPr>
            <w:rFonts w:ascii="Cambria Math" w:hAnsi="Cambria Math"/>
          </w:rPr>
          <m:t>( loudDev</m:t>
        </m:r>
        <m:d>
          <m:dPr>
            <m:ctrlPr>
              <w:rPr>
                <w:rFonts w:ascii="Cambria Math" w:hAnsi="Cambria Math"/>
                <w:i/>
                <w:lang w:eastAsia="zh-CN"/>
              </w:rPr>
            </m:ctrlPr>
          </m:dPr>
          <m:e>
            <m:r>
              <w:rPr>
                <w:rFonts w:ascii="Cambria Math" w:hAnsi="Cambria Math"/>
                <w:lang w:eastAsia="zh-CN"/>
              </w:rPr>
              <m:t>k</m:t>
            </m:r>
          </m:e>
        </m:d>
        <m:func>
          <m:funcPr>
            <m:ctrlPr>
              <w:rPr>
                <w:rFonts w:ascii="Cambria Math" w:hAnsi="Cambria Math"/>
                <w:i/>
                <w:lang w:eastAsia="zh-CN"/>
              </w:rPr>
            </m:ctrlPr>
          </m:funcPr>
          <m:fName>
            <m:r>
              <m:rPr>
                <m:sty m:val="p"/>
              </m:rPr>
              <w:rPr>
                <w:rFonts w:ascii="Cambria Math" w:hAnsi="Cambria Math"/>
                <w:lang w:eastAsia="zh-CN"/>
              </w:rPr>
              <m:t>-</m:t>
            </m:r>
          </m:fName>
          <m:e>
            <m:r>
              <w:rPr>
                <w:rFonts w:ascii="Cambria Math" w:hAnsi="Cambria Math"/>
              </w:rPr>
              <m:t xml:space="preserve">fixedLoudDev </m:t>
            </m:r>
          </m:e>
        </m:func>
        <m:r>
          <w:rPr>
            <w:rFonts w:ascii="Cambria Math" w:hAnsi="Cambria Math"/>
            <w:lang w:eastAsia="zh-CN"/>
          </w:rPr>
          <m:t>)</m:t>
        </m:r>
      </m:oMath>
      <w:r w:rsidR="001A1F65">
        <w:rPr>
          <w:lang w:eastAsia="zh-CN"/>
        </w:rPr>
        <w:t xml:space="preserve"> </w:t>
      </w:r>
      <w:r w:rsidR="001A1F65">
        <w:t xml:space="preserve">is limited to </w:t>
      </w:r>
      <w:r>
        <w:t>the +-</w:t>
      </w:r>
      <w:r w:rsidR="001A1F65">
        <w:t>10dB</w:t>
      </w:r>
      <w:r>
        <w:t xml:space="preserve"> range</w:t>
      </w:r>
      <w:r w:rsidR="001A1F65">
        <w:t>.</w:t>
      </w:r>
    </w:p>
    <w:p w14:paraId="0B3F9529" w14:textId="77777777" w:rsidR="00BA047D" w:rsidRDefault="00BA047D" w:rsidP="005A30C8">
      <w:pPr>
        <w:keepNext/>
        <w:keepLines/>
        <w:jc w:val="both"/>
      </w:pPr>
    </w:p>
    <w:p w14:paraId="2A738A4E" w14:textId="349ACEE2" w:rsidR="002F45E1" w:rsidRPr="00EC2A42" w:rsidRDefault="002F45E1" w:rsidP="002F45E1">
      <w:pPr>
        <w:pStyle w:val="AnnexNotitle"/>
        <w:pageBreakBefore/>
      </w:pPr>
      <w:r w:rsidRPr="00EC2A42">
        <w:lastRenderedPageBreak/>
        <w:t>Annex A</w:t>
      </w:r>
      <w:r w:rsidRPr="00EC2A42">
        <w:br/>
      </w:r>
      <w:r w:rsidRPr="00EC2A42">
        <w:br/>
      </w:r>
      <w:r w:rsidR="00D73535">
        <w:t>Subjective test method for obtaining perceptual dimension scores</w:t>
      </w:r>
    </w:p>
    <w:p w14:paraId="2D8D98B2" w14:textId="77777777" w:rsidR="002F45E1" w:rsidRPr="00EC2A42" w:rsidRDefault="002F45E1" w:rsidP="002F45E1">
      <w:pPr>
        <w:jc w:val="center"/>
      </w:pPr>
      <w:r w:rsidRPr="00EC2A42">
        <w:t>(This annex forms an integral part of this Recommendation.)</w:t>
      </w:r>
    </w:p>
    <w:p w14:paraId="3FABFE8F" w14:textId="2422F638" w:rsidR="000F686E" w:rsidRDefault="000F686E" w:rsidP="005A30C8">
      <w:pPr>
        <w:jc w:val="both"/>
      </w:pPr>
      <w:r>
        <w:t xml:space="preserve">The perceptual dimension scores predicted by </w:t>
      </w:r>
      <w:r w:rsidR="00AA2F51">
        <w:t>the models described in this Recommendation</w:t>
      </w:r>
      <w:r>
        <w:t xml:space="preserve"> should reflect as closely as possible the judgments of humans with respect to the individual dimensions given in Clause 6. These judgments should be collected in a test carried out in the way described hereafter.</w:t>
      </w:r>
    </w:p>
    <w:p w14:paraId="6C4C8879" w14:textId="59B73021" w:rsidR="000C60D1" w:rsidRDefault="000C60D1" w:rsidP="005A30C8">
      <w:pPr>
        <w:jc w:val="both"/>
      </w:pPr>
      <w:r>
        <w:t xml:space="preserve">The test procedure described here is not identical to the one described in ITU-T Rec. P.806. In fact, the procedure described in ITU-T Rec. P.806 defines 7 rating scales in addition to an overall quality scale. Two of those scales relate to slowly-varying and fast-varying degradations of the speech signal, whereas in the procedure described here there is only one dimension related to </w:t>
      </w:r>
      <w:r w:rsidR="00ED22E6">
        <w:t>“</w:t>
      </w:r>
      <w:r>
        <w:t>discontinuity</w:t>
      </w:r>
      <w:r w:rsidR="00ED22E6">
        <w:t>”</w:t>
      </w:r>
      <w:r>
        <w:t xml:space="preserve">. Further, two scales described in ITU-T Rec. P.806 describe </w:t>
      </w:r>
      <w:r w:rsidR="00D87184">
        <w:t xml:space="preserve">degradations of low-frequency and high-frequency coloration in the speech signal, whereas the method described here targets only one </w:t>
      </w:r>
      <w:r w:rsidR="00ED22E6">
        <w:t>“</w:t>
      </w:r>
      <w:r w:rsidR="00D87184">
        <w:t>coloration</w:t>
      </w:r>
      <w:r w:rsidR="00ED22E6">
        <w:t>”</w:t>
      </w:r>
      <w:r w:rsidR="00D87184">
        <w:t xml:space="preserve"> dimension. In addition, two scales described in ITU-T Rec. P.806 describe degradations due to the level and the variability of background noise, whereas the method described here targets only one </w:t>
      </w:r>
      <w:r w:rsidR="00ED22E6">
        <w:t>“</w:t>
      </w:r>
      <w:r w:rsidR="00D87184">
        <w:t>noisiness</w:t>
      </w:r>
      <w:r w:rsidR="00ED22E6">
        <w:t>”</w:t>
      </w:r>
      <w:r w:rsidR="00D87184">
        <w:t xml:space="preserve"> dimension. Finally, the scale defined for loudness in ITU-T Rec. P.806 ranges from “much louder than preferred” to “much quieter than preferred”, whereas the scale used here ranges from an optimum loudness level to a non-optimum loudness level. During the development of P.AMD, both set</w:t>
      </w:r>
      <w:r w:rsidR="00ED22E6">
        <w:t>s</w:t>
      </w:r>
      <w:r w:rsidR="00D87184">
        <w:t xml:space="preserve"> of dimensions (the </w:t>
      </w:r>
      <w:r w:rsidR="00ED22E6">
        <w:t>4</w:t>
      </w:r>
      <w:r w:rsidR="00D87184">
        <w:t xml:space="preserve"> dimensions described here, as well as the 7 dimensions targeted in ITU-T Rec. P.806) were originally </w:t>
      </w:r>
      <w:r w:rsidR="00ED22E6">
        <w:t>considered</w:t>
      </w:r>
      <w:r w:rsidR="00D87184">
        <w:t>. Finally, the work on models for estimating the seven dimensions of ITU-T Rec. P.806 were discontinued, and only the four</w:t>
      </w:r>
      <w:r w:rsidR="00ED22E6">
        <w:t xml:space="preserve"> dimensions used here were retained.</w:t>
      </w:r>
      <w:r w:rsidR="00D87184">
        <w:t xml:space="preserve"> </w:t>
      </w:r>
      <w:r>
        <w:t xml:space="preserve"> </w:t>
      </w:r>
    </w:p>
    <w:p w14:paraId="44519CC6" w14:textId="77777777" w:rsidR="000F686E" w:rsidRDefault="000F686E" w:rsidP="005A30C8">
      <w:pPr>
        <w:jc w:val="both"/>
      </w:pPr>
      <w:r>
        <w:t>The test procedure is similar to a standard ACR overall quality test as it is described in ITU-T Rec. P.800 and P.830. All deviations from the procedure described in these two Recommendations are given hereafter.</w:t>
      </w:r>
    </w:p>
    <w:p w14:paraId="4BA77919" w14:textId="05E77FCD" w:rsidR="000F686E" w:rsidRPr="00E16545" w:rsidRDefault="000F686E" w:rsidP="005A30C8">
      <w:pPr>
        <w:jc w:val="both"/>
        <w:rPr>
          <w:lang w:val="en-US"/>
        </w:rPr>
      </w:pPr>
      <w:r>
        <w:rPr>
          <w:lang w:val="en-US"/>
        </w:rPr>
        <w:t xml:space="preserve">Four </w:t>
      </w:r>
      <w:r w:rsidRPr="00E16545">
        <w:rPr>
          <w:lang w:val="en-US"/>
        </w:rPr>
        <w:t xml:space="preserve">descriptive scales </w:t>
      </w:r>
      <w:r>
        <w:rPr>
          <w:lang w:val="en-US"/>
        </w:rPr>
        <w:t>are used</w:t>
      </w:r>
      <w:r w:rsidRPr="00E16545">
        <w:rPr>
          <w:lang w:val="en-US"/>
        </w:rPr>
        <w:t xml:space="preserve"> for measuring the </w:t>
      </w:r>
      <w:r>
        <w:rPr>
          <w:lang w:val="en-US"/>
        </w:rPr>
        <w:t>four</w:t>
      </w:r>
      <w:r w:rsidRPr="00E16545">
        <w:rPr>
          <w:lang w:val="en-US"/>
        </w:rPr>
        <w:t xml:space="preserve"> dimensions </w:t>
      </w:r>
      <w:r>
        <w:rPr>
          <w:lang w:val="en-US"/>
        </w:rPr>
        <w:t xml:space="preserve">“Coloration”, </w:t>
      </w:r>
      <w:r w:rsidRPr="00E16545">
        <w:rPr>
          <w:lang w:val="en-US"/>
        </w:rPr>
        <w:t>“</w:t>
      </w:r>
      <w:r>
        <w:rPr>
          <w:lang w:val="en-US"/>
        </w:rPr>
        <w:t>D</w:t>
      </w:r>
      <w:r w:rsidRPr="00E16545">
        <w:rPr>
          <w:lang w:val="en-US"/>
        </w:rPr>
        <w:t>iscontinuity”, “</w:t>
      </w:r>
      <w:r>
        <w:rPr>
          <w:lang w:val="en-US"/>
        </w:rPr>
        <w:t>N</w:t>
      </w:r>
      <w:r w:rsidRPr="00E16545">
        <w:rPr>
          <w:lang w:val="en-US"/>
        </w:rPr>
        <w:t xml:space="preserve">oisiness”, </w:t>
      </w:r>
      <w:r>
        <w:rPr>
          <w:lang w:val="en-US"/>
        </w:rPr>
        <w:t>and “Sub-optimum Loudness”</w:t>
      </w:r>
      <w:r w:rsidRPr="00E16545">
        <w:rPr>
          <w:lang w:val="en-US"/>
        </w:rPr>
        <w:t xml:space="preserve">. That way, separate scores for the perceptual dimensions present in test conditions containing multi-dimensional degradations can be obtained. The graphical layout </w:t>
      </w:r>
      <w:r>
        <w:rPr>
          <w:lang w:val="en-US"/>
        </w:rPr>
        <w:t xml:space="preserve">of the “Coloration”, “Discontinuity”, “Noisiness”, and “Sub-optimum Loudness” scales </w:t>
      </w:r>
      <w:r w:rsidRPr="00E16545">
        <w:rPr>
          <w:lang w:val="en-US"/>
        </w:rPr>
        <w:t xml:space="preserve">is similar to the </w:t>
      </w:r>
      <w:r>
        <w:rPr>
          <w:lang w:val="en-US"/>
        </w:rPr>
        <w:t>scales recommended in ITU-T Rec. P.851 (2003)</w:t>
      </w:r>
      <w:r w:rsidRPr="00E16545">
        <w:rPr>
          <w:lang w:val="en-US"/>
        </w:rPr>
        <w:t>. The poles of the scales are labeled with the antonym attributes “continuous – discontinuous” (discontinuity dimension), “not noisy – noisy” (noisiness dimension), “uncolored – colored” (coloration dimension)</w:t>
      </w:r>
      <w:r>
        <w:rPr>
          <w:lang w:val="en-US"/>
        </w:rPr>
        <w:t>, and “optimum level – non-optimum level” (loudness)</w:t>
      </w:r>
      <w:r w:rsidRPr="00E16545">
        <w:rPr>
          <w:lang w:val="en-US"/>
        </w:rPr>
        <w:t xml:space="preserve">, see Figures </w:t>
      </w:r>
      <w:r w:rsidR="00CE0C8E">
        <w:rPr>
          <w:lang w:val="en-US"/>
        </w:rPr>
        <w:t>A.1-A.4</w:t>
      </w:r>
      <w:r w:rsidRPr="00E16545">
        <w:rPr>
          <w:lang w:val="en-US"/>
        </w:rPr>
        <w:t>.</w:t>
      </w:r>
    </w:p>
    <w:p w14:paraId="72DD9869" w14:textId="77777777" w:rsidR="000F686E" w:rsidRPr="00E16545" w:rsidRDefault="000F686E" w:rsidP="005A30C8">
      <w:pPr>
        <w:jc w:val="both"/>
        <w:rPr>
          <w:lang w:val="en-US"/>
        </w:rPr>
      </w:pPr>
    </w:p>
    <w:p w14:paraId="3A2CD64D" w14:textId="098CE152" w:rsidR="000F686E" w:rsidRPr="00E16545" w:rsidRDefault="00C522DC" w:rsidP="000F686E">
      <w:pPr>
        <w:keepNext/>
        <w:jc w:val="center"/>
        <w:rPr>
          <w:lang w:val="en-US"/>
        </w:rPr>
      </w:pPr>
      <w:r>
        <w:rPr>
          <w:noProof/>
          <w:lang w:val="en-US"/>
        </w:rPr>
        <w:drawing>
          <wp:inline distT="0" distB="0" distL="0" distR="0" wp14:anchorId="665FE37C" wp14:editId="07A708E2">
            <wp:extent cx="5320146" cy="631971"/>
            <wp:effectExtent l="0" t="0" r="1270" b="317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a:extLst>
                        <a:ext uri="{28A0092B-C50C-407E-A947-70E740481C1C}">
                          <a14:useLocalDpi xmlns:a14="http://schemas.microsoft.com/office/drawing/2010/main" val="0"/>
                        </a:ext>
                      </a:extLst>
                    </a:blip>
                    <a:stretch>
                      <a:fillRect/>
                    </a:stretch>
                  </pic:blipFill>
                  <pic:spPr>
                    <a:xfrm>
                      <a:off x="0" y="0"/>
                      <a:ext cx="5409376" cy="642570"/>
                    </a:xfrm>
                    <a:prstGeom prst="rect">
                      <a:avLst/>
                    </a:prstGeom>
                  </pic:spPr>
                </pic:pic>
              </a:graphicData>
            </a:graphic>
          </wp:inline>
        </w:drawing>
      </w:r>
    </w:p>
    <w:p w14:paraId="02A6FD58" w14:textId="22274DD4" w:rsidR="000F686E" w:rsidRPr="00E16545" w:rsidRDefault="000F686E" w:rsidP="00C522DC">
      <w:pPr>
        <w:pStyle w:val="Caption"/>
        <w:jc w:val="center"/>
        <w:rPr>
          <w:lang w:val="en-US"/>
        </w:rPr>
      </w:pPr>
      <w:bookmarkStart w:id="53" w:name="_Ref243798450"/>
      <w:r w:rsidRPr="00AC1F34">
        <w:rPr>
          <w:lang w:val="en-US"/>
        </w:rPr>
        <w:t xml:space="preserve">Figure </w:t>
      </w:r>
      <w:bookmarkEnd w:id="53"/>
      <w:r w:rsidR="00CE0C8E">
        <w:rPr>
          <w:lang w:val="en-US"/>
        </w:rPr>
        <w:t>A.1</w:t>
      </w:r>
      <w:r w:rsidRPr="00AC1F34">
        <w:rPr>
          <w:lang w:val="en-US"/>
        </w:rPr>
        <w:t>: "Noisiness" scale</w:t>
      </w:r>
      <w:r w:rsidR="00C522DC">
        <w:rPr>
          <w:lang w:val="en-US"/>
        </w:rPr>
        <w:t>.</w:t>
      </w:r>
    </w:p>
    <w:p w14:paraId="5B51BBCF" w14:textId="3BE79FFD" w:rsidR="000F686E" w:rsidRPr="00E16545" w:rsidRDefault="00C522DC" w:rsidP="000F686E">
      <w:pPr>
        <w:keepNext/>
        <w:jc w:val="center"/>
        <w:rPr>
          <w:lang w:val="en-US"/>
        </w:rPr>
      </w:pPr>
      <w:r>
        <w:rPr>
          <w:noProof/>
          <w:lang w:val="en-US"/>
        </w:rPr>
        <w:drawing>
          <wp:inline distT="0" distB="0" distL="0" distR="0" wp14:anchorId="221F19DE" wp14:editId="1E302E65">
            <wp:extent cx="5292148" cy="6286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5387640" cy="639988"/>
                    </a:xfrm>
                    <a:prstGeom prst="rect">
                      <a:avLst/>
                    </a:prstGeom>
                  </pic:spPr>
                </pic:pic>
              </a:graphicData>
            </a:graphic>
          </wp:inline>
        </w:drawing>
      </w:r>
    </w:p>
    <w:p w14:paraId="0EFC7FA9" w14:textId="19066D01" w:rsidR="000F686E" w:rsidRPr="00E16545" w:rsidRDefault="000F686E" w:rsidP="00C522DC">
      <w:pPr>
        <w:pStyle w:val="Caption"/>
        <w:jc w:val="center"/>
        <w:rPr>
          <w:lang w:val="en-US"/>
        </w:rPr>
      </w:pPr>
      <w:bookmarkStart w:id="54" w:name="_Ref243798459"/>
      <w:r w:rsidRPr="00784421">
        <w:rPr>
          <w:lang w:val="it-IT"/>
        </w:rPr>
        <w:t xml:space="preserve">Figure </w:t>
      </w:r>
      <w:bookmarkEnd w:id="54"/>
      <w:r w:rsidR="00CE0C8E">
        <w:rPr>
          <w:lang w:val="it-IT"/>
        </w:rPr>
        <w:t>A.2</w:t>
      </w:r>
      <w:r w:rsidRPr="00784421">
        <w:rPr>
          <w:lang w:val="it-IT"/>
        </w:rPr>
        <w:t>: "Discontinuity" scale</w:t>
      </w:r>
      <w:r w:rsidRPr="00AC1F34">
        <w:rPr>
          <w:lang w:val="en-US"/>
        </w:rPr>
        <w:t>.</w:t>
      </w:r>
    </w:p>
    <w:p w14:paraId="07BA351D" w14:textId="4C86B7C8" w:rsidR="000F686E" w:rsidRPr="00E16545" w:rsidRDefault="00C522DC" w:rsidP="000F686E">
      <w:pPr>
        <w:keepNext/>
        <w:jc w:val="center"/>
        <w:rPr>
          <w:lang w:val="en-US"/>
        </w:rPr>
      </w:pPr>
      <w:r>
        <w:rPr>
          <w:noProof/>
          <w:lang w:val="en-US"/>
        </w:rPr>
        <w:lastRenderedPageBreak/>
        <w:drawing>
          <wp:inline distT="0" distB="0" distL="0" distR="0" wp14:anchorId="70940365" wp14:editId="79531FE4">
            <wp:extent cx="5246255" cy="62319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4">
                      <a:extLst>
                        <a:ext uri="{28A0092B-C50C-407E-A947-70E740481C1C}">
                          <a14:useLocalDpi xmlns:a14="http://schemas.microsoft.com/office/drawing/2010/main" val="0"/>
                        </a:ext>
                      </a:extLst>
                    </a:blip>
                    <a:stretch>
                      <a:fillRect/>
                    </a:stretch>
                  </pic:blipFill>
                  <pic:spPr>
                    <a:xfrm>
                      <a:off x="0" y="0"/>
                      <a:ext cx="5343115" cy="634699"/>
                    </a:xfrm>
                    <a:prstGeom prst="rect">
                      <a:avLst/>
                    </a:prstGeom>
                  </pic:spPr>
                </pic:pic>
              </a:graphicData>
            </a:graphic>
          </wp:inline>
        </w:drawing>
      </w:r>
    </w:p>
    <w:p w14:paraId="0D944E4A" w14:textId="66EE0A45" w:rsidR="000F686E" w:rsidRPr="00AC1F34" w:rsidRDefault="000F686E" w:rsidP="000F686E">
      <w:pPr>
        <w:pStyle w:val="Caption"/>
        <w:jc w:val="center"/>
        <w:rPr>
          <w:lang w:val="en-US"/>
        </w:rPr>
      </w:pPr>
      <w:bookmarkStart w:id="55" w:name="_Ref243798465"/>
      <w:r w:rsidRPr="00AC1F34">
        <w:rPr>
          <w:lang w:val="en-US"/>
        </w:rPr>
        <w:t xml:space="preserve">Figure </w:t>
      </w:r>
      <w:bookmarkEnd w:id="55"/>
      <w:r w:rsidR="00CE0C8E">
        <w:rPr>
          <w:lang w:val="en-US"/>
        </w:rPr>
        <w:t>A.3</w:t>
      </w:r>
      <w:r w:rsidRPr="00AC1F34">
        <w:rPr>
          <w:lang w:val="en-US"/>
        </w:rPr>
        <w:t>: "Coloration" scale.</w:t>
      </w:r>
    </w:p>
    <w:p w14:paraId="0D8C1B91" w14:textId="60F6AFD4" w:rsidR="000F686E" w:rsidRPr="00C522DC" w:rsidRDefault="00C522DC" w:rsidP="00CE0C8E">
      <w:pPr>
        <w:ind w:left="720" w:firstLine="720"/>
        <w:jc w:val="both"/>
        <w:rPr>
          <w:rFonts w:ascii="Helvetica" w:hAnsi="Helvetica" w:cs="Arial"/>
          <w:sz w:val="22"/>
          <w:szCs w:val="22"/>
          <w:lang w:val="en-US"/>
        </w:rPr>
      </w:pPr>
      <w:r>
        <w:rPr>
          <w:rFonts w:ascii="Helvetica" w:hAnsi="Helvetica" w:cs="Arial"/>
          <w:sz w:val="22"/>
          <w:szCs w:val="22"/>
          <w:lang w:val="en-US"/>
        </w:rPr>
        <w:t>o</w:t>
      </w:r>
      <w:r w:rsidRPr="00C522DC">
        <w:rPr>
          <w:rFonts w:ascii="Helvetica" w:hAnsi="Helvetica" w:cs="Arial"/>
          <w:sz w:val="22"/>
          <w:szCs w:val="22"/>
          <w:lang w:val="en-US"/>
        </w:rPr>
        <w:t>ptimum</w:t>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Pr>
          <w:rFonts w:ascii="Helvetica" w:hAnsi="Helvetica" w:cs="Arial"/>
          <w:sz w:val="22"/>
          <w:szCs w:val="22"/>
          <w:lang w:val="en-US"/>
        </w:rPr>
        <w:t>n</w:t>
      </w:r>
      <w:r w:rsidRPr="00C522DC">
        <w:rPr>
          <w:rFonts w:ascii="Helvetica" w:hAnsi="Helvetica" w:cs="Arial"/>
          <w:sz w:val="22"/>
          <w:szCs w:val="22"/>
          <w:lang w:val="en-US"/>
        </w:rPr>
        <w:t>on-optimum</w:t>
      </w:r>
    </w:p>
    <w:p w14:paraId="530A435F" w14:textId="5122E963" w:rsidR="000F686E" w:rsidRPr="00C522DC" w:rsidRDefault="00C522DC" w:rsidP="000F686E">
      <w:pPr>
        <w:spacing w:before="0"/>
        <w:ind w:left="1588" w:hanging="148"/>
        <w:jc w:val="both"/>
        <w:rPr>
          <w:rFonts w:ascii="Helvetica" w:hAnsi="Helvetica" w:cs="Arial"/>
          <w:sz w:val="22"/>
          <w:szCs w:val="22"/>
          <w:lang w:val="en-US"/>
        </w:rPr>
      </w:pPr>
      <w:r>
        <w:rPr>
          <w:rFonts w:ascii="Helvetica" w:hAnsi="Helvetica" w:cs="Arial"/>
          <w:sz w:val="22"/>
          <w:szCs w:val="22"/>
          <w:lang w:val="en-US"/>
        </w:rPr>
        <w:t>l</w:t>
      </w:r>
      <w:r w:rsidRPr="00C522DC">
        <w:rPr>
          <w:rFonts w:ascii="Helvetica" w:hAnsi="Helvetica" w:cs="Arial"/>
          <w:sz w:val="22"/>
          <w:szCs w:val="22"/>
          <w:lang w:val="en-US"/>
        </w:rPr>
        <w:t xml:space="preserve">oudness </w:t>
      </w:r>
      <w:r>
        <w:rPr>
          <w:rFonts w:ascii="Helvetica" w:hAnsi="Helvetica" w:cs="Arial"/>
          <w:sz w:val="22"/>
          <w:szCs w:val="22"/>
          <w:lang w:val="en-US"/>
        </w:rPr>
        <w:t>l</w:t>
      </w:r>
      <w:r w:rsidRPr="00C522DC">
        <w:rPr>
          <w:rFonts w:ascii="Helvetica" w:hAnsi="Helvetica" w:cs="Arial"/>
          <w:sz w:val="22"/>
          <w:szCs w:val="22"/>
          <w:lang w:val="en-US"/>
        </w:rPr>
        <w:t>evel</w:t>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sidR="000F686E" w:rsidRPr="00C522DC">
        <w:rPr>
          <w:rFonts w:ascii="Helvetica" w:hAnsi="Helvetica" w:cs="Arial"/>
          <w:sz w:val="22"/>
          <w:szCs w:val="22"/>
          <w:lang w:val="en-US"/>
        </w:rPr>
        <w:tab/>
      </w:r>
      <w:r>
        <w:rPr>
          <w:rFonts w:ascii="Helvetica" w:hAnsi="Helvetica" w:cs="Arial"/>
          <w:sz w:val="22"/>
          <w:szCs w:val="22"/>
          <w:lang w:val="en-US"/>
        </w:rPr>
        <w:tab/>
        <w:t>l</w:t>
      </w:r>
      <w:r w:rsidRPr="00C522DC">
        <w:rPr>
          <w:rFonts w:ascii="Helvetica" w:hAnsi="Helvetica" w:cs="Arial"/>
          <w:sz w:val="22"/>
          <w:szCs w:val="22"/>
          <w:lang w:val="en-US"/>
        </w:rPr>
        <w:t xml:space="preserve">oudness </w:t>
      </w:r>
      <w:r>
        <w:rPr>
          <w:rFonts w:ascii="Helvetica" w:hAnsi="Helvetica" w:cs="Arial"/>
          <w:sz w:val="22"/>
          <w:szCs w:val="22"/>
          <w:lang w:val="en-US"/>
        </w:rPr>
        <w:t>l</w:t>
      </w:r>
      <w:r w:rsidRPr="00C522DC">
        <w:rPr>
          <w:rFonts w:ascii="Helvetica" w:hAnsi="Helvetica" w:cs="Arial"/>
          <w:sz w:val="22"/>
          <w:szCs w:val="22"/>
          <w:lang w:val="en-US"/>
        </w:rPr>
        <w:t>evel</w:t>
      </w:r>
    </w:p>
    <w:p w14:paraId="4BC7681B" w14:textId="77777777" w:rsidR="000F686E" w:rsidRPr="00E02252" w:rsidRDefault="000F686E" w:rsidP="000F686E">
      <w:pPr>
        <w:jc w:val="center"/>
        <w:rPr>
          <w:rFonts w:ascii="Comic Sans MS" w:hAnsi="Comic Sans MS" w:cs="Arial"/>
        </w:rPr>
      </w:pPr>
      <w:r>
        <w:rPr>
          <w:noProof/>
          <w:lang w:eastAsia="zh-CN"/>
        </w:rPr>
        <w:drawing>
          <wp:inline distT="0" distB="0" distL="0" distR="0" wp14:anchorId="0FFF4371" wp14:editId="4ECAFF25">
            <wp:extent cx="5107305" cy="118745"/>
            <wp:effectExtent l="0" t="0" r="0" b="8255"/>
            <wp:docPr id="64" name="Picture 64" descr="scale_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scale_S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7305" cy="118745"/>
                    </a:xfrm>
                    <a:prstGeom prst="rect">
                      <a:avLst/>
                    </a:prstGeom>
                    <a:noFill/>
                    <a:ln>
                      <a:noFill/>
                    </a:ln>
                  </pic:spPr>
                </pic:pic>
              </a:graphicData>
            </a:graphic>
          </wp:inline>
        </w:drawing>
      </w:r>
    </w:p>
    <w:p w14:paraId="3BF1B06C" w14:textId="77777777" w:rsidR="000F686E" w:rsidRPr="00E16545" w:rsidRDefault="000F686E" w:rsidP="000F686E">
      <w:pPr>
        <w:keepNext/>
        <w:jc w:val="center"/>
        <w:rPr>
          <w:lang w:val="en-US"/>
        </w:rPr>
      </w:pPr>
    </w:p>
    <w:p w14:paraId="4209E631" w14:textId="1BE21415" w:rsidR="000F686E" w:rsidRPr="00AC1F34" w:rsidRDefault="000F686E" w:rsidP="000F686E">
      <w:pPr>
        <w:pStyle w:val="Caption"/>
        <w:jc w:val="center"/>
        <w:rPr>
          <w:lang w:val="en-US"/>
        </w:rPr>
      </w:pPr>
      <w:r w:rsidRPr="00AC1F34">
        <w:rPr>
          <w:lang w:val="en-US"/>
        </w:rPr>
        <w:t xml:space="preserve">Figure </w:t>
      </w:r>
      <w:r w:rsidR="00CE0C8E">
        <w:rPr>
          <w:lang w:val="en-US"/>
        </w:rPr>
        <w:t>A.4</w:t>
      </w:r>
      <w:r w:rsidRPr="00AC1F34">
        <w:rPr>
          <w:lang w:val="en-US"/>
        </w:rPr>
        <w:t>: "</w:t>
      </w:r>
      <w:r w:rsidR="00C522DC">
        <w:rPr>
          <w:lang w:val="en-US"/>
        </w:rPr>
        <w:t xml:space="preserve">Sub-optimum </w:t>
      </w:r>
      <w:r>
        <w:rPr>
          <w:lang w:val="en-US"/>
        </w:rPr>
        <w:t>Loudness</w:t>
      </w:r>
      <w:r w:rsidRPr="00AC1F34">
        <w:rPr>
          <w:lang w:val="en-US"/>
        </w:rPr>
        <w:t>"</w:t>
      </w:r>
      <w:r w:rsidR="00C522DC">
        <w:rPr>
          <w:lang w:val="en-US"/>
        </w:rPr>
        <w:t xml:space="preserve"> scale.</w:t>
      </w:r>
    </w:p>
    <w:p w14:paraId="10D0C02B" w14:textId="23DAB9E7" w:rsidR="000F686E" w:rsidRDefault="000F686E" w:rsidP="000F686E">
      <w:pPr>
        <w:jc w:val="both"/>
        <w:rPr>
          <w:lang w:val="en-US"/>
        </w:rPr>
      </w:pPr>
      <w:r w:rsidRPr="00E16545">
        <w:rPr>
          <w:lang w:val="en-US"/>
        </w:rPr>
        <w:t xml:space="preserve">In the </w:t>
      </w:r>
      <w:r>
        <w:rPr>
          <w:lang w:val="en-US"/>
        </w:rPr>
        <w:t xml:space="preserve">dimension assessment </w:t>
      </w:r>
      <w:r w:rsidRPr="00E16545">
        <w:rPr>
          <w:lang w:val="en-US"/>
        </w:rPr>
        <w:t>experiment, the scales</w:t>
      </w:r>
      <w:r>
        <w:rPr>
          <w:lang w:val="en-US"/>
        </w:rPr>
        <w:t xml:space="preserve"> </w:t>
      </w:r>
      <w:r w:rsidRPr="00E16545">
        <w:rPr>
          <w:lang w:val="en-US"/>
        </w:rPr>
        <w:t xml:space="preserve">are presented separately, i.e. consecutively for each stimulus. In prior to </w:t>
      </w:r>
      <w:r>
        <w:rPr>
          <w:lang w:val="en-US"/>
        </w:rPr>
        <w:t xml:space="preserve">the </w:t>
      </w:r>
      <w:r w:rsidRPr="00E16545">
        <w:rPr>
          <w:lang w:val="en-US"/>
        </w:rPr>
        <w:t>registering</w:t>
      </w:r>
      <w:r>
        <w:rPr>
          <w:lang w:val="en-US"/>
        </w:rPr>
        <w:t xml:space="preserve"> of</w:t>
      </w:r>
      <w:r w:rsidRPr="00E16545">
        <w:rPr>
          <w:lang w:val="en-US"/>
        </w:rPr>
        <w:t xml:space="preserve"> the ratings, the listeners are asked to listen to the entire speech sample. During one trial, they can optionally repeat the playback. The </w:t>
      </w:r>
      <w:r>
        <w:rPr>
          <w:lang w:val="en-US"/>
        </w:rPr>
        <w:t xml:space="preserve">rating </w:t>
      </w:r>
      <w:r w:rsidRPr="00E16545">
        <w:rPr>
          <w:lang w:val="en-US"/>
        </w:rPr>
        <w:t xml:space="preserve">scheme for one </w:t>
      </w:r>
      <w:r>
        <w:rPr>
          <w:lang w:val="en-US"/>
        </w:rPr>
        <w:t xml:space="preserve">sample is depicted in Figure </w:t>
      </w:r>
      <w:r w:rsidR="00CE0C8E">
        <w:rPr>
          <w:lang w:val="en-US"/>
        </w:rPr>
        <w:t>A.5</w:t>
      </w:r>
      <w:r>
        <w:rPr>
          <w:lang w:val="en-US"/>
        </w:rPr>
        <w:t xml:space="preserve"> (for three scales)</w:t>
      </w:r>
      <w:r w:rsidRPr="00E16545">
        <w:rPr>
          <w:lang w:val="en-US"/>
        </w:rPr>
        <w:t>.</w:t>
      </w:r>
    </w:p>
    <w:p w14:paraId="3368E759" w14:textId="77777777" w:rsidR="000F686E" w:rsidRPr="00E16545" w:rsidRDefault="000F686E" w:rsidP="000F686E">
      <w:pPr>
        <w:jc w:val="both"/>
        <w:rPr>
          <w:lang w:val="en-US"/>
        </w:rPr>
      </w:pPr>
    </w:p>
    <w:p w14:paraId="5A7FFDDF" w14:textId="77777777" w:rsidR="000F686E" w:rsidRDefault="00E753DA" w:rsidP="000F686E">
      <w:pPr>
        <w:keepNext/>
        <w:jc w:val="both"/>
      </w:pPr>
      <w:r>
        <w:rPr>
          <w:noProof/>
        </w:rPr>
        <w:object w:dxaOrig="12396" w:dyaOrig="3661" w14:anchorId="60DFF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43.5pt;mso-width-percent:0;mso-height-percent:0;mso-width-percent:0;mso-height-percent:0" o:ole="">
            <v:imagedata r:id="rId16" o:title=""/>
          </v:shape>
          <o:OLEObject Type="Embed" ProgID="CorelDRAW.Graphic.13" ShapeID="_x0000_i1025" DrawAspect="Content" ObjectID="_1716983255" r:id="rId17"/>
        </w:object>
      </w:r>
    </w:p>
    <w:p w14:paraId="7B3B4B38" w14:textId="2C53D100" w:rsidR="000F686E" w:rsidRPr="00E16545" w:rsidRDefault="000F686E" w:rsidP="000F686E">
      <w:pPr>
        <w:pStyle w:val="Caption"/>
        <w:jc w:val="center"/>
        <w:rPr>
          <w:lang w:val="en-US"/>
        </w:rPr>
      </w:pPr>
      <w:bookmarkStart w:id="56" w:name="_Ref243811320"/>
      <w:r>
        <w:t>Figure</w:t>
      </w:r>
      <w:bookmarkEnd w:id="56"/>
      <w:r>
        <w:t xml:space="preserve"> </w:t>
      </w:r>
      <w:r w:rsidR="00CE0C8E">
        <w:t>A.5</w:t>
      </w:r>
      <w:r>
        <w:t xml:space="preserve">: </w:t>
      </w:r>
      <w:r w:rsidRPr="003B2C46">
        <w:t>Sample presentation and rating (</w:t>
      </w:r>
      <w:r>
        <w:t>dimension</w:t>
      </w:r>
      <w:r w:rsidRPr="003B2C46">
        <w:t xml:space="preserve"> assessment)</w:t>
      </w:r>
    </w:p>
    <w:p w14:paraId="2CC1A32C" w14:textId="77777777" w:rsidR="000F686E" w:rsidRPr="00E16545" w:rsidRDefault="000F686E" w:rsidP="000F686E">
      <w:pPr>
        <w:jc w:val="both"/>
        <w:rPr>
          <w:lang w:val="en-US"/>
        </w:rPr>
      </w:pPr>
    </w:p>
    <w:p w14:paraId="1B9DA455" w14:textId="3C33101F" w:rsidR="000F686E" w:rsidRDefault="000F686E" w:rsidP="000F686E">
      <w:pPr>
        <w:jc w:val="both"/>
        <w:rPr>
          <w:lang w:val="en-US"/>
        </w:rPr>
      </w:pPr>
      <w:r>
        <w:rPr>
          <w:lang w:val="en-US"/>
        </w:rPr>
        <w:t xml:space="preserve">The samples are presented in randomized order. </w:t>
      </w:r>
      <w:r w:rsidRPr="00E16545">
        <w:rPr>
          <w:lang w:val="en-US"/>
        </w:rPr>
        <w:t>For each participant, the orde</w:t>
      </w:r>
      <w:r w:rsidR="00CE0C8E">
        <w:rPr>
          <w:lang w:val="en-US"/>
        </w:rPr>
        <w:t xml:space="preserve">r </w:t>
      </w:r>
      <w:r>
        <w:rPr>
          <w:lang w:val="en-US"/>
        </w:rPr>
        <w:t xml:space="preserve">of the scales is permutated, </w:t>
      </w:r>
      <w:r w:rsidRPr="00E16545">
        <w:rPr>
          <w:lang w:val="en-US"/>
        </w:rPr>
        <w:t>f</w:t>
      </w:r>
      <w:r>
        <w:rPr>
          <w:lang w:val="en-US"/>
        </w:rPr>
        <w:t xml:space="preserve">ollowing the scheme tabulated in Table </w:t>
      </w:r>
      <w:r w:rsidR="00CE0C8E">
        <w:rPr>
          <w:lang w:val="en-US"/>
        </w:rPr>
        <w:t>A.</w:t>
      </w:r>
      <w:r>
        <w:rPr>
          <w:lang w:val="en-US"/>
        </w:rPr>
        <w:t>1.</w:t>
      </w:r>
    </w:p>
    <w:p w14:paraId="09B60016" w14:textId="77777777" w:rsidR="000F686E" w:rsidRDefault="000F686E" w:rsidP="000F686E">
      <w:pPr>
        <w:jc w:val="both"/>
        <w:rPr>
          <w:lang w:val="en-US"/>
        </w:rPr>
      </w:pPr>
    </w:p>
    <w:p w14:paraId="262E101B" w14:textId="7CABEC38" w:rsidR="000F686E" w:rsidRDefault="000F686E" w:rsidP="000F686E">
      <w:pPr>
        <w:pStyle w:val="Caption"/>
        <w:keepNext/>
        <w:jc w:val="center"/>
      </w:pPr>
      <w:bookmarkStart w:id="57" w:name="_Ref243813307"/>
      <w:r>
        <w:t xml:space="preserve">Table </w:t>
      </w:r>
      <w:r w:rsidR="00CE0C8E">
        <w:t>A.</w:t>
      </w:r>
      <w:r>
        <w:fldChar w:fldCharType="begin"/>
      </w:r>
      <w:r>
        <w:instrText xml:space="preserve"> SEQ Table \* ARABIC </w:instrText>
      </w:r>
      <w:r>
        <w:fldChar w:fldCharType="separate"/>
      </w:r>
      <w:r>
        <w:rPr>
          <w:noProof/>
        </w:rPr>
        <w:t>1</w:t>
      </w:r>
      <w:r>
        <w:fldChar w:fldCharType="end"/>
      </w:r>
      <w:bookmarkEnd w:id="57"/>
      <w:r>
        <w:t xml:space="preserve">: Presentation order of the </w:t>
      </w:r>
      <w:r w:rsidRPr="001915F2">
        <w:rPr>
          <w:u w:val="single"/>
        </w:rPr>
        <w:t>dis</w:t>
      </w:r>
      <w:r>
        <w:t xml:space="preserve">continuity, </w:t>
      </w:r>
      <w:r w:rsidRPr="001915F2">
        <w:rPr>
          <w:u w:val="single"/>
        </w:rPr>
        <w:t>noi</w:t>
      </w:r>
      <w:r>
        <w:t xml:space="preserve">siness, </w:t>
      </w:r>
      <w:r w:rsidRPr="001915F2">
        <w:rPr>
          <w:u w:val="single"/>
        </w:rPr>
        <w:t>col</w:t>
      </w:r>
      <w:r>
        <w:t xml:space="preserve">oration and </w:t>
      </w:r>
      <w:r w:rsidRPr="0049034D">
        <w:t>lou</w:t>
      </w:r>
      <w:r>
        <w:t xml:space="preserve">dness </w:t>
      </w:r>
      <w:r w:rsidRPr="0049034D">
        <w:t>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6"/>
        <w:gridCol w:w="1516"/>
        <w:gridCol w:w="1517"/>
        <w:gridCol w:w="1517"/>
        <w:gridCol w:w="1517"/>
      </w:tblGrid>
      <w:tr w:rsidR="000F686E" w:rsidRPr="00760D44" w14:paraId="5B391D41" w14:textId="77777777" w:rsidTr="00EC3C9F">
        <w:trPr>
          <w:jc w:val="center"/>
        </w:trPr>
        <w:tc>
          <w:tcPr>
            <w:tcW w:w="1636" w:type="dxa"/>
          </w:tcPr>
          <w:p w14:paraId="502C938E" w14:textId="77777777" w:rsidR="000F686E" w:rsidRPr="00760D44" w:rsidRDefault="000F686E" w:rsidP="00EC3C9F">
            <w:pPr>
              <w:jc w:val="both"/>
              <w:rPr>
                <w:lang w:val="en-US"/>
              </w:rPr>
            </w:pPr>
            <w:r w:rsidRPr="00760D44">
              <w:rPr>
                <w:lang w:val="en-US"/>
              </w:rPr>
              <w:t>Participant</w:t>
            </w:r>
          </w:p>
        </w:tc>
        <w:tc>
          <w:tcPr>
            <w:tcW w:w="1516" w:type="dxa"/>
          </w:tcPr>
          <w:p w14:paraId="59258DD2" w14:textId="77777777" w:rsidR="000F686E" w:rsidRPr="00760D44" w:rsidRDefault="000F686E" w:rsidP="00EC3C9F">
            <w:pPr>
              <w:jc w:val="both"/>
              <w:rPr>
                <w:lang w:val="en-US"/>
              </w:rPr>
            </w:pPr>
            <w:r w:rsidRPr="00760D44">
              <w:rPr>
                <w:lang w:val="en-US"/>
              </w:rPr>
              <w:t>Dim scale 1</w:t>
            </w:r>
          </w:p>
        </w:tc>
        <w:tc>
          <w:tcPr>
            <w:tcW w:w="1517" w:type="dxa"/>
          </w:tcPr>
          <w:p w14:paraId="10BE85F6" w14:textId="77777777" w:rsidR="000F686E" w:rsidRPr="00760D44" w:rsidRDefault="000F686E" w:rsidP="00EC3C9F">
            <w:pPr>
              <w:jc w:val="both"/>
              <w:rPr>
                <w:lang w:val="en-US"/>
              </w:rPr>
            </w:pPr>
            <w:r w:rsidRPr="00760D44">
              <w:rPr>
                <w:lang w:val="en-US"/>
              </w:rPr>
              <w:t>Dim. scale 2</w:t>
            </w:r>
          </w:p>
        </w:tc>
        <w:tc>
          <w:tcPr>
            <w:tcW w:w="1517" w:type="dxa"/>
          </w:tcPr>
          <w:p w14:paraId="7825EB95" w14:textId="77777777" w:rsidR="000F686E" w:rsidRPr="00760D44" w:rsidRDefault="000F686E" w:rsidP="00EC3C9F">
            <w:pPr>
              <w:jc w:val="both"/>
              <w:rPr>
                <w:lang w:val="en-US"/>
              </w:rPr>
            </w:pPr>
            <w:r w:rsidRPr="00760D44">
              <w:rPr>
                <w:lang w:val="en-US"/>
              </w:rPr>
              <w:t>Dim. scale 3</w:t>
            </w:r>
          </w:p>
        </w:tc>
        <w:tc>
          <w:tcPr>
            <w:tcW w:w="1517" w:type="dxa"/>
          </w:tcPr>
          <w:p w14:paraId="61CB9C54" w14:textId="77777777" w:rsidR="000F686E" w:rsidRPr="00760D44" w:rsidRDefault="000F686E" w:rsidP="00EC3C9F">
            <w:pPr>
              <w:jc w:val="both"/>
              <w:rPr>
                <w:lang w:val="en-US"/>
              </w:rPr>
            </w:pPr>
            <w:r>
              <w:rPr>
                <w:lang w:val="en-US"/>
              </w:rPr>
              <w:t>Dim. scale 4</w:t>
            </w:r>
          </w:p>
        </w:tc>
      </w:tr>
      <w:tr w:rsidR="000F686E" w:rsidRPr="00760D44" w14:paraId="7FB0BEFB" w14:textId="77777777" w:rsidTr="00EC3C9F">
        <w:trPr>
          <w:jc w:val="center"/>
        </w:trPr>
        <w:tc>
          <w:tcPr>
            <w:tcW w:w="1636" w:type="dxa"/>
          </w:tcPr>
          <w:p w14:paraId="39241F2E" w14:textId="77777777" w:rsidR="000F686E" w:rsidRPr="00760D44" w:rsidRDefault="000F686E" w:rsidP="00EC3C9F">
            <w:pPr>
              <w:jc w:val="both"/>
              <w:rPr>
                <w:lang w:val="en-US"/>
              </w:rPr>
            </w:pPr>
            <w:r w:rsidRPr="00760D44">
              <w:rPr>
                <w:lang w:val="en-US"/>
              </w:rPr>
              <w:t>1</w:t>
            </w:r>
          </w:p>
        </w:tc>
        <w:tc>
          <w:tcPr>
            <w:tcW w:w="1516" w:type="dxa"/>
          </w:tcPr>
          <w:p w14:paraId="39CCF603" w14:textId="77777777" w:rsidR="000F686E" w:rsidRPr="00760D44" w:rsidRDefault="000F686E" w:rsidP="00EC3C9F">
            <w:pPr>
              <w:jc w:val="both"/>
              <w:rPr>
                <w:lang w:val="en-US"/>
              </w:rPr>
            </w:pPr>
            <w:r w:rsidRPr="00760D44">
              <w:rPr>
                <w:lang w:val="en-US"/>
              </w:rPr>
              <w:t>dis</w:t>
            </w:r>
          </w:p>
        </w:tc>
        <w:tc>
          <w:tcPr>
            <w:tcW w:w="1517" w:type="dxa"/>
          </w:tcPr>
          <w:p w14:paraId="0706A3D1" w14:textId="77777777" w:rsidR="000F686E" w:rsidRPr="00760D44" w:rsidRDefault="000F686E" w:rsidP="00EC3C9F">
            <w:pPr>
              <w:jc w:val="both"/>
              <w:rPr>
                <w:lang w:val="en-US"/>
              </w:rPr>
            </w:pPr>
            <w:r w:rsidRPr="00760D44">
              <w:rPr>
                <w:lang w:val="en-US"/>
              </w:rPr>
              <w:t>noi</w:t>
            </w:r>
          </w:p>
        </w:tc>
        <w:tc>
          <w:tcPr>
            <w:tcW w:w="1517" w:type="dxa"/>
          </w:tcPr>
          <w:p w14:paraId="24C72A6C" w14:textId="77777777" w:rsidR="000F686E" w:rsidRPr="00760D44" w:rsidRDefault="000F686E" w:rsidP="00EC3C9F">
            <w:pPr>
              <w:jc w:val="both"/>
              <w:rPr>
                <w:lang w:val="en-US"/>
              </w:rPr>
            </w:pPr>
            <w:r w:rsidRPr="00760D44">
              <w:rPr>
                <w:lang w:val="en-US"/>
              </w:rPr>
              <w:t>col</w:t>
            </w:r>
          </w:p>
        </w:tc>
        <w:tc>
          <w:tcPr>
            <w:tcW w:w="1517" w:type="dxa"/>
          </w:tcPr>
          <w:p w14:paraId="07B32C22" w14:textId="77777777" w:rsidR="000F686E" w:rsidRPr="00760D44" w:rsidRDefault="000F686E" w:rsidP="00EC3C9F">
            <w:pPr>
              <w:jc w:val="both"/>
              <w:rPr>
                <w:lang w:val="en-US"/>
              </w:rPr>
            </w:pPr>
            <w:r>
              <w:rPr>
                <w:lang w:val="en-US"/>
              </w:rPr>
              <w:t>lou</w:t>
            </w:r>
          </w:p>
        </w:tc>
      </w:tr>
      <w:tr w:rsidR="000F686E" w:rsidRPr="00760D44" w14:paraId="4F78B205" w14:textId="77777777" w:rsidTr="00EC3C9F">
        <w:trPr>
          <w:jc w:val="center"/>
        </w:trPr>
        <w:tc>
          <w:tcPr>
            <w:tcW w:w="1636" w:type="dxa"/>
          </w:tcPr>
          <w:p w14:paraId="3A9BB0F3" w14:textId="77777777" w:rsidR="000F686E" w:rsidRPr="00760D44" w:rsidRDefault="000F686E" w:rsidP="00EC3C9F">
            <w:pPr>
              <w:jc w:val="both"/>
              <w:rPr>
                <w:lang w:val="en-US"/>
              </w:rPr>
            </w:pPr>
            <w:r w:rsidRPr="00760D44">
              <w:rPr>
                <w:lang w:val="en-US"/>
              </w:rPr>
              <w:t>2</w:t>
            </w:r>
          </w:p>
        </w:tc>
        <w:tc>
          <w:tcPr>
            <w:tcW w:w="1516" w:type="dxa"/>
          </w:tcPr>
          <w:p w14:paraId="01E0273C" w14:textId="77777777" w:rsidR="000F686E" w:rsidRPr="00760D44" w:rsidRDefault="000F686E" w:rsidP="00EC3C9F">
            <w:pPr>
              <w:jc w:val="both"/>
              <w:rPr>
                <w:lang w:val="en-US"/>
              </w:rPr>
            </w:pPr>
            <w:r w:rsidRPr="00760D44">
              <w:rPr>
                <w:lang w:val="en-US"/>
              </w:rPr>
              <w:t>noi</w:t>
            </w:r>
          </w:p>
        </w:tc>
        <w:tc>
          <w:tcPr>
            <w:tcW w:w="1517" w:type="dxa"/>
          </w:tcPr>
          <w:p w14:paraId="0F4DCAD1" w14:textId="77777777" w:rsidR="000F686E" w:rsidRPr="00760D44" w:rsidRDefault="000F686E" w:rsidP="00EC3C9F">
            <w:pPr>
              <w:jc w:val="both"/>
              <w:rPr>
                <w:lang w:val="en-US"/>
              </w:rPr>
            </w:pPr>
            <w:r w:rsidRPr="00760D44">
              <w:rPr>
                <w:lang w:val="en-US"/>
              </w:rPr>
              <w:t>col</w:t>
            </w:r>
          </w:p>
        </w:tc>
        <w:tc>
          <w:tcPr>
            <w:tcW w:w="1517" w:type="dxa"/>
          </w:tcPr>
          <w:p w14:paraId="366A793D" w14:textId="77777777" w:rsidR="000F686E" w:rsidRPr="00760D44" w:rsidRDefault="000F686E" w:rsidP="00EC3C9F">
            <w:pPr>
              <w:jc w:val="both"/>
              <w:rPr>
                <w:lang w:val="en-US"/>
              </w:rPr>
            </w:pPr>
            <w:r>
              <w:rPr>
                <w:lang w:val="en-US"/>
              </w:rPr>
              <w:t>lou</w:t>
            </w:r>
          </w:p>
        </w:tc>
        <w:tc>
          <w:tcPr>
            <w:tcW w:w="1517" w:type="dxa"/>
          </w:tcPr>
          <w:p w14:paraId="2DB9E451" w14:textId="77777777" w:rsidR="000F686E" w:rsidRPr="00760D44" w:rsidRDefault="000F686E" w:rsidP="00EC3C9F">
            <w:pPr>
              <w:jc w:val="both"/>
              <w:rPr>
                <w:lang w:val="en-US"/>
              </w:rPr>
            </w:pPr>
            <w:r>
              <w:rPr>
                <w:lang w:val="en-US"/>
              </w:rPr>
              <w:t>dis</w:t>
            </w:r>
          </w:p>
        </w:tc>
      </w:tr>
      <w:tr w:rsidR="000F686E" w:rsidRPr="00760D44" w14:paraId="042DB78E" w14:textId="77777777" w:rsidTr="00EC3C9F">
        <w:trPr>
          <w:jc w:val="center"/>
        </w:trPr>
        <w:tc>
          <w:tcPr>
            <w:tcW w:w="1636" w:type="dxa"/>
          </w:tcPr>
          <w:p w14:paraId="6452454D" w14:textId="77777777" w:rsidR="000F686E" w:rsidRPr="00760D44" w:rsidRDefault="000F686E" w:rsidP="00EC3C9F">
            <w:pPr>
              <w:jc w:val="both"/>
              <w:rPr>
                <w:lang w:val="en-US"/>
              </w:rPr>
            </w:pPr>
            <w:r w:rsidRPr="00760D44">
              <w:rPr>
                <w:lang w:val="en-US"/>
              </w:rPr>
              <w:t>3</w:t>
            </w:r>
          </w:p>
        </w:tc>
        <w:tc>
          <w:tcPr>
            <w:tcW w:w="1516" w:type="dxa"/>
          </w:tcPr>
          <w:p w14:paraId="433992DC" w14:textId="77777777" w:rsidR="000F686E" w:rsidRPr="00760D44" w:rsidRDefault="000F686E" w:rsidP="00EC3C9F">
            <w:pPr>
              <w:jc w:val="both"/>
              <w:rPr>
                <w:lang w:val="en-US"/>
              </w:rPr>
            </w:pPr>
            <w:r w:rsidRPr="00760D44">
              <w:rPr>
                <w:lang w:val="en-US"/>
              </w:rPr>
              <w:t>col</w:t>
            </w:r>
          </w:p>
        </w:tc>
        <w:tc>
          <w:tcPr>
            <w:tcW w:w="1517" w:type="dxa"/>
          </w:tcPr>
          <w:p w14:paraId="12C3CD61" w14:textId="77777777" w:rsidR="000F686E" w:rsidRPr="00760D44" w:rsidRDefault="000F686E" w:rsidP="00EC3C9F">
            <w:pPr>
              <w:jc w:val="both"/>
              <w:rPr>
                <w:lang w:val="en-US"/>
              </w:rPr>
            </w:pPr>
            <w:r>
              <w:rPr>
                <w:lang w:val="en-US"/>
              </w:rPr>
              <w:t>lou</w:t>
            </w:r>
          </w:p>
        </w:tc>
        <w:tc>
          <w:tcPr>
            <w:tcW w:w="1517" w:type="dxa"/>
          </w:tcPr>
          <w:p w14:paraId="7CAAB257" w14:textId="77777777" w:rsidR="000F686E" w:rsidRPr="00760D44" w:rsidRDefault="000F686E" w:rsidP="00EC3C9F">
            <w:pPr>
              <w:jc w:val="both"/>
              <w:rPr>
                <w:lang w:val="en-US"/>
              </w:rPr>
            </w:pPr>
            <w:r>
              <w:rPr>
                <w:lang w:val="en-US"/>
              </w:rPr>
              <w:t>dis</w:t>
            </w:r>
          </w:p>
        </w:tc>
        <w:tc>
          <w:tcPr>
            <w:tcW w:w="1517" w:type="dxa"/>
          </w:tcPr>
          <w:p w14:paraId="3B88A4F9" w14:textId="77777777" w:rsidR="000F686E" w:rsidRPr="00760D44" w:rsidRDefault="000F686E" w:rsidP="00EC3C9F">
            <w:pPr>
              <w:jc w:val="both"/>
              <w:rPr>
                <w:lang w:val="en-US"/>
              </w:rPr>
            </w:pPr>
            <w:r>
              <w:rPr>
                <w:lang w:val="en-US"/>
              </w:rPr>
              <w:t>noi</w:t>
            </w:r>
          </w:p>
        </w:tc>
      </w:tr>
      <w:tr w:rsidR="000F686E" w:rsidRPr="00760D44" w14:paraId="6718CFC4" w14:textId="77777777" w:rsidTr="00EC3C9F">
        <w:trPr>
          <w:jc w:val="center"/>
        </w:trPr>
        <w:tc>
          <w:tcPr>
            <w:tcW w:w="1636" w:type="dxa"/>
          </w:tcPr>
          <w:p w14:paraId="68E786EB" w14:textId="77777777" w:rsidR="000F686E" w:rsidRPr="00760D44" w:rsidRDefault="000F686E" w:rsidP="00EC3C9F">
            <w:pPr>
              <w:jc w:val="both"/>
              <w:rPr>
                <w:lang w:val="en-US"/>
              </w:rPr>
            </w:pPr>
            <w:r w:rsidRPr="00760D44">
              <w:rPr>
                <w:lang w:val="en-US"/>
              </w:rPr>
              <w:t>4</w:t>
            </w:r>
          </w:p>
        </w:tc>
        <w:tc>
          <w:tcPr>
            <w:tcW w:w="1516" w:type="dxa"/>
          </w:tcPr>
          <w:p w14:paraId="152FD864" w14:textId="77777777" w:rsidR="000F686E" w:rsidRPr="00760D44" w:rsidRDefault="000F686E" w:rsidP="00EC3C9F">
            <w:pPr>
              <w:jc w:val="both"/>
              <w:rPr>
                <w:lang w:val="en-US"/>
              </w:rPr>
            </w:pPr>
            <w:r>
              <w:rPr>
                <w:lang w:val="en-US"/>
              </w:rPr>
              <w:t>lou</w:t>
            </w:r>
          </w:p>
        </w:tc>
        <w:tc>
          <w:tcPr>
            <w:tcW w:w="1517" w:type="dxa"/>
          </w:tcPr>
          <w:p w14:paraId="678D20D5" w14:textId="77777777" w:rsidR="000F686E" w:rsidRPr="00760D44" w:rsidRDefault="000F686E" w:rsidP="00EC3C9F">
            <w:pPr>
              <w:jc w:val="both"/>
              <w:rPr>
                <w:lang w:val="en-US"/>
              </w:rPr>
            </w:pPr>
            <w:r>
              <w:rPr>
                <w:lang w:val="en-US"/>
              </w:rPr>
              <w:t>dis</w:t>
            </w:r>
          </w:p>
        </w:tc>
        <w:tc>
          <w:tcPr>
            <w:tcW w:w="1517" w:type="dxa"/>
          </w:tcPr>
          <w:p w14:paraId="2C318789" w14:textId="77777777" w:rsidR="000F686E" w:rsidRPr="00760D44" w:rsidRDefault="000F686E" w:rsidP="00EC3C9F">
            <w:pPr>
              <w:jc w:val="both"/>
              <w:rPr>
                <w:lang w:val="en-US"/>
              </w:rPr>
            </w:pPr>
            <w:r>
              <w:rPr>
                <w:lang w:val="en-US"/>
              </w:rPr>
              <w:t>noi</w:t>
            </w:r>
          </w:p>
        </w:tc>
        <w:tc>
          <w:tcPr>
            <w:tcW w:w="1517" w:type="dxa"/>
          </w:tcPr>
          <w:p w14:paraId="03296BCA" w14:textId="77777777" w:rsidR="000F686E" w:rsidRPr="00760D44" w:rsidRDefault="000F686E" w:rsidP="00EC3C9F">
            <w:pPr>
              <w:jc w:val="both"/>
              <w:rPr>
                <w:lang w:val="en-US"/>
              </w:rPr>
            </w:pPr>
            <w:r>
              <w:rPr>
                <w:lang w:val="en-US"/>
              </w:rPr>
              <w:t>col</w:t>
            </w:r>
          </w:p>
        </w:tc>
      </w:tr>
      <w:tr w:rsidR="000F686E" w:rsidRPr="00760D44" w14:paraId="56567C38" w14:textId="77777777" w:rsidTr="00EC3C9F">
        <w:trPr>
          <w:jc w:val="center"/>
        </w:trPr>
        <w:tc>
          <w:tcPr>
            <w:tcW w:w="1636" w:type="dxa"/>
          </w:tcPr>
          <w:p w14:paraId="3DE77290" w14:textId="77777777" w:rsidR="000F686E" w:rsidRPr="00760D44" w:rsidRDefault="000F686E" w:rsidP="00EC3C9F">
            <w:pPr>
              <w:jc w:val="both"/>
              <w:rPr>
                <w:lang w:val="en-US"/>
              </w:rPr>
            </w:pPr>
            <w:r w:rsidRPr="00760D44">
              <w:rPr>
                <w:lang w:val="en-US"/>
              </w:rPr>
              <w:t>…</w:t>
            </w:r>
          </w:p>
        </w:tc>
        <w:tc>
          <w:tcPr>
            <w:tcW w:w="1516" w:type="dxa"/>
          </w:tcPr>
          <w:p w14:paraId="7322DF6B" w14:textId="77777777" w:rsidR="000F686E" w:rsidRPr="00760D44" w:rsidRDefault="000F686E" w:rsidP="00EC3C9F">
            <w:pPr>
              <w:jc w:val="both"/>
              <w:rPr>
                <w:lang w:val="en-US"/>
              </w:rPr>
            </w:pPr>
            <w:r w:rsidRPr="00760D44">
              <w:rPr>
                <w:lang w:val="en-US"/>
              </w:rPr>
              <w:t>…</w:t>
            </w:r>
          </w:p>
        </w:tc>
        <w:tc>
          <w:tcPr>
            <w:tcW w:w="1517" w:type="dxa"/>
          </w:tcPr>
          <w:p w14:paraId="1BE1F54C" w14:textId="77777777" w:rsidR="000F686E" w:rsidRPr="00760D44" w:rsidRDefault="000F686E" w:rsidP="00EC3C9F">
            <w:pPr>
              <w:jc w:val="both"/>
              <w:rPr>
                <w:lang w:val="en-US"/>
              </w:rPr>
            </w:pPr>
            <w:r w:rsidRPr="00760D44">
              <w:rPr>
                <w:lang w:val="en-US"/>
              </w:rPr>
              <w:t>…</w:t>
            </w:r>
          </w:p>
        </w:tc>
        <w:tc>
          <w:tcPr>
            <w:tcW w:w="1517" w:type="dxa"/>
          </w:tcPr>
          <w:p w14:paraId="468C2DF7" w14:textId="77777777" w:rsidR="000F686E" w:rsidRPr="00760D44" w:rsidRDefault="000F686E" w:rsidP="00EC3C9F">
            <w:pPr>
              <w:jc w:val="both"/>
              <w:rPr>
                <w:lang w:val="en-US"/>
              </w:rPr>
            </w:pPr>
            <w:r w:rsidRPr="00760D44">
              <w:rPr>
                <w:lang w:val="en-US"/>
              </w:rPr>
              <w:t>…</w:t>
            </w:r>
          </w:p>
        </w:tc>
        <w:tc>
          <w:tcPr>
            <w:tcW w:w="1517" w:type="dxa"/>
          </w:tcPr>
          <w:p w14:paraId="0ACC2FE8" w14:textId="77777777" w:rsidR="000F686E" w:rsidRPr="00760D44" w:rsidRDefault="000F686E" w:rsidP="00EC3C9F">
            <w:pPr>
              <w:jc w:val="both"/>
              <w:rPr>
                <w:lang w:val="en-US"/>
              </w:rPr>
            </w:pPr>
          </w:p>
        </w:tc>
      </w:tr>
    </w:tbl>
    <w:p w14:paraId="4EE85F3D" w14:textId="77777777" w:rsidR="000F686E" w:rsidRPr="00E16545" w:rsidRDefault="000F686E" w:rsidP="000F686E">
      <w:pPr>
        <w:jc w:val="both"/>
        <w:rPr>
          <w:lang w:val="en-US"/>
        </w:rPr>
      </w:pPr>
    </w:p>
    <w:p w14:paraId="439A7A68" w14:textId="77777777" w:rsidR="000F686E" w:rsidRDefault="000F686E" w:rsidP="000F686E">
      <w:pPr>
        <w:jc w:val="both"/>
        <w:rPr>
          <w:lang w:val="en-US"/>
        </w:rPr>
      </w:pPr>
      <w:r w:rsidRPr="00E16545">
        <w:rPr>
          <w:lang w:val="en-US"/>
        </w:rPr>
        <w:t>The order is held constant per participant in order to avoid confusion of the scales.</w:t>
      </w:r>
    </w:p>
    <w:p w14:paraId="1856BA0E" w14:textId="77777777" w:rsidR="000F686E" w:rsidRPr="00E16545" w:rsidRDefault="000F686E" w:rsidP="000F686E">
      <w:pPr>
        <w:jc w:val="both"/>
        <w:rPr>
          <w:lang w:val="en-US"/>
        </w:rPr>
      </w:pPr>
      <w:r>
        <w:rPr>
          <w:lang w:val="en-US"/>
        </w:rPr>
        <w:t>A</w:t>
      </w:r>
      <w:r w:rsidRPr="00E16545">
        <w:rPr>
          <w:lang w:val="en-US"/>
        </w:rPr>
        <w:t xml:space="preserve"> detailed description of the </w:t>
      </w:r>
      <w:r>
        <w:rPr>
          <w:lang w:val="en-US"/>
        </w:rPr>
        <w:t xml:space="preserve">four </w:t>
      </w:r>
      <w:r w:rsidRPr="00E16545">
        <w:rPr>
          <w:lang w:val="en-US"/>
        </w:rPr>
        <w:t>dimension scales</w:t>
      </w:r>
      <w:r>
        <w:rPr>
          <w:lang w:val="en-US"/>
        </w:rPr>
        <w:t xml:space="preserve"> is given to the subjects.</w:t>
      </w:r>
      <w:r w:rsidRPr="00FC3F97">
        <w:rPr>
          <w:lang w:val="en-US"/>
        </w:rPr>
        <w:t xml:space="preserve"> </w:t>
      </w:r>
      <w:r w:rsidRPr="00E16545">
        <w:rPr>
          <w:lang w:val="en-US"/>
        </w:rPr>
        <w:t xml:space="preserve">The instructions start off explaining that in this part of the experiment, </w:t>
      </w:r>
      <w:r w:rsidRPr="00E16545">
        <w:rPr>
          <w:rFonts w:cs="Arial"/>
          <w:lang w:val="en-US"/>
        </w:rPr>
        <w:t xml:space="preserve">the </w:t>
      </w:r>
      <w:r w:rsidRPr="00E16545">
        <w:rPr>
          <w:rFonts w:cs="Arial"/>
          <w:i/>
          <w:lang w:val="en-US"/>
        </w:rPr>
        <w:t>features</w:t>
      </w:r>
      <w:r w:rsidRPr="00E16545">
        <w:rPr>
          <w:rFonts w:cs="Arial"/>
          <w:lang w:val="en-US"/>
        </w:rPr>
        <w:t xml:space="preserve"> or </w:t>
      </w:r>
      <w:r w:rsidRPr="00E16545">
        <w:rPr>
          <w:rFonts w:cs="Arial"/>
          <w:i/>
          <w:lang w:val="en-US"/>
        </w:rPr>
        <w:t>characteristics</w:t>
      </w:r>
      <w:r w:rsidRPr="00E16545">
        <w:rPr>
          <w:rFonts w:cs="Arial"/>
          <w:lang w:val="en-US"/>
        </w:rPr>
        <w:t xml:space="preserve"> of speech samples are supposed to be judged (i.e., not t</w:t>
      </w:r>
      <w:r w:rsidRPr="00E16545">
        <w:rPr>
          <w:lang w:val="en-US"/>
        </w:rPr>
        <w:t xml:space="preserve">he quality), and that this evaluation is done by means of </w:t>
      </w:r>
      <w:r>
        <w:rPr>
          <w:lang w:val="en-US"/>
        </w:rPr>
        <w:t>four</w:t>
      </w:r>
      <w:r w:rsidRPr="00E16545">
        <w:rPr>
          <w:lang w:val="en-US"/>
        </w:rPr>
        <w:t xml:space="preserve"> scales. </w:t>
      </w:r>
      <w:r>
        <w:rPr>
          <w:rFonts w:cs="Arial"/>
          <w:lang w:val="en-US"/>
        </w:rPr>
        <w:t>Each scale is labe</w:t>
      </w:r>
      <w:r w:rsidRPr="00E16545">
        <w:rPr>
          <w:rFonts w:cs="Arial"/>
          <w:lang w:val="en-US"/>
        </w:rPr>
        <w:t xml:space="preserve">led with an attribute at each end that describes the characteristic to be judged upon. </w:t>
      </w:r>
      <w:r w:rsidRPr="00E16545">
        <w:rPr>
          <w:rFonts w:cs="Arial"/>
          <w:lang w:val="en-US"/>
        </w:rPr>
        <w:lastRenderedPageBreak/>
        <w:t xml:space="preserve">Each scale and its usage are separately described in detail, using synonyms to the scale attributes as an aid. </w:t>
      </w:r>
      <w:r w:rsidRPr="00E16545">
        <w:rPr>
          <w:lang w:val="en-US"/>
        </w:rPr>
        <w:t xml:space="preserve">In detail, the participants are instructed that </w:t>
      </w:r>
    </w:p>
    <w:p w14:paraId="522C6F7F" w14:textId="069A2AA1" w:rsidR="000F686E" w:rsidRPr="00E16545" w:rsidRDefault="000F686E" w:rsidP="000F686E">
      <w:pPr>
        <w:numPr>
          <w:ilvl w:val="0"/>
          <w:numId w:val="17"/>
        </w:numPr>
        <w:tabs>
          <w:tab w:val="left" w:pos="794"/>
          <w:tab w:val="left" w:pos="1191"/>
          <w:tab w:val="left" w:pos="1588"/>
          <w:tab w:val="left" w:pos="1985"/>
        </w:tabs>
        <w:overflowPunct w:val="0"/>
        <w:autoSpaceDE w:val="0"/>
        <w:autoSpaceDN w:val="0"/>
        <w:adjustRightInd w:val="0"/>
        <w:jc w:val="both"/>
        <w:textAlignment w:val="baseline"/>
        <w:rPr>
          <w:lang w:val="en-US"/>
        </w:rPr>
      </w:pPr>
      <w:r w:rsidRPr="00E16545">
        <w:rPr>
          <w:lang w:val="en-US"/>
        </w:rPr>
        <w:t xml:space="preserve">with the scale in </w:t>
      </w:r>
      <w:r w:rsidR="00CE0C8E">
        <w:rPr>
          <w:lang w:val="en-US"/>
        </w:rPr>
        <w:t>Figure A.1</w:t>
      </w:r>
      <w:r w:rsidRPr="00E16545">
        <w:rPr>
          <w:lang w:val="en-US"/>
        </w:rPr>
        <w:t>, the “noisiness” of the sample is supposed to be judged; the labels “not noisy” and “noisy” can be paraphrased with the terms “not hissing” and “hissing”, respectively</w:t>
      </w:r>
    </w:p>
    <w:p w14:paraId="0DBE2EC3" w14:textId="05E07573" w:rsidR="000F686E" w:rsidRPr="00E16545" w:rsidRDefault="000F686E" w:rsidP="000F686E">
      <w:pPr>
        <w:numPr>
          <w:ilvl w:val="0"/>
          <w:numId w:val="17"/>
        </w:numPr>
        <w:tabs>
          <w:tab w:val="left" w:pos="794"/>
          <w:tab w:val="left" w:pos="1191"/>
          <w:tab w:val="left" w:pos="1588"/>
          <w:tab w:val="left" w:pos="1985"/>
        </w:tabs>
        <w:overflowPunct w:val="0"/>
        <w:autoSpaceDE w:val="0"/>
        <w:autoSpaceDN w:val="0"/>
        <w:adjustRightInd w:val="0"/>
        <w:jc w:val="both"/>
        <w:textAlignment w:val="baseline"/>
        <w:rPr>
          <w:lang w:val="en-US"/>
        </w:rPr>
      </w:pPr>
      <w:r w:rsidRPr="00E16545">
        <w:rPr>
          <w:lang w:val="en-US"/>
        </w:rPr>
        <w:t xml:space="preserve">with the scale in </w:t>
      </w:r>
      <w:r w:rsidR="00CE0C8E">
        <w:rPr>
          <w:lang w:val="en-US"/>
        </w:rPr>
        <w:t>Figure A.2</w:t>
      </w:r>
      <w:r w:rsidRPr="00E16545">
        <w:rPr>
          <w:lang w:val="en-US"/>
        </w:rPr>
        <w:t>, the “discontinuity” of the sample is supposed to be judged; the labels “continuous” and “discontinuous” can be paraphrased with the terms “regular” / “steady” / “not chopped” / ”not bubbling” / “not ragged” and “irregular” / “shaky” / “chopped” / “bubbling” / “ragged”, respectively</w:t>
      </w:r>
    </w:p>
    <w:p w14:paraId="5414973A" w14:textId="7CCAA34A" w:rsidR="000F686E" w:rsidRDefault="000F686E" w:rsidP="000F686E">
      <w:pPr>
        <w:numPr>
          <w:ilvl w:val="0"/>
          <w:numId w:val="17"/>
        </w:numPr>
        <w:tabs>
          <w:tab w:val="left" w:pos="794"/>
          <w:tab w:val="left" w:pos="1191"/>
          <w:tab w:val="left" w:pos="1588"/>
          <w:tab w:val="left" w:pos="1985"/>
        </w:tabs>
        <w:overflowPunct w:val="0"/>
        <w:autoSpaceDE w:val="0"/>
        <w:autoSpaceDN w:val="0"/>
        <w:adjustRightInd w:val="0"/>
        <w:jc w:val="both"/>
        <w:textAlignment w:val="baseline"/>
        <w:rPr>
          <w:lang w:val="en-US"/>
        </w:rPr>
      </w:pPr>
      <w:r w:rsidRPr="00E16545">
        <w:rPr>
          <w:lang w:val="en-US"/>
        </w:rPr>
        <w:t xml:space="preserve">with the scale in </w:t>
      </w:r>
      <w:r>
        <w:t xml:space="preserve">Figure </w:t>
      </w:r>
      <w:r w:rsidR="00CE0C8E">
        <w:t>A.3</w:t>
      </w:r>
      <w:r w:rsidRPr="00E16545">
        <w:rPr>
          <w:lang w:val="en-US"/>
        </w:rPr>
        <w:t>, the “coloration” of the sample is supposed to be judged; the label “uncolored” and “colored”  can be paraphrased with the terms “direct” / “close” / “thick” / “not nasal” and “indirect” / “distant” / “thin” / “nasal”, respectively</w:t>
      </w:r>
    </w:p>
    <w:p w14:paraId="34FA623D" w14:textId="27EDCFB1" w:rsidR="000F686E" w:rsidRPr="00E16545" w:rsidRDefault="000F686E" w:rsidP="000F686E">
      <w:pPr>
        <w:numPr>
          <w:ilvl w:val="0"/>
          <w:numId w:val="17"/>
        </w:numPr>
        <w:tabs>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 xml:space="preserve">with the scale in Figure </w:t>
      </w:r>
      <w:r w:rsidR="00CE0C8E">
        <w:rPr>
          <w:lang w:val="en-US"/>
        </w:rPr>
        <w:t>A.4</w:t>
      </w:r>
      <w:r>
        <w:rPr>
          <w:lang w:val="en-US"/>
        </w:rPr>
        <w:t>, the “loudness level” of the sample is supposed to be judged; the label “optimum loudness level” means that the loudness level is neither too high nor too low.</w:t>
      </w:r>
    </w:p>
    <w:p w14:paraId="049793A8" w14:textId="4BB4126B" w:rsidR="000F686E" w:rsidRPr="00E16545" w:rsidRDefault="000F686E" w:rsidP="000F686E">
      <w:pPr>
        <w:jc w:val="both"/>
        <w:rPr>
          <w:lang w:val="en-US"/>
        </w:rPr>
      </w:pPr>
      <w:r w:rsidRPr="00C20E50">
        <w:rPr>
          <w:lang w:val="en-US"/>
        </w:rPr>
        <w:t>The complete instructions can be found in Appendix II, extended by the inclusion of the “loudness” scale, see the last bullet point.</w:t>
      </w:r>
    </w:p>
    <w:p w14:paraId="4608512C" w14:textId="77777777" w:rsidR="000F686E" w:rsidRDefault="000F686E" w:rsidP="000F686E">
      <w:pPr>
        <w:jc w:val="both"/>
        <w:rPr>
          <w:lang w:val="en-US"/>
        </w:rPr>
      </w:pPr>
      <w:r>
        <w:rPr>
          <w:lang w:val="en-US"/>
        </w:rPr>
        <w:t xml:space="preserve">The training for the dimension assessment is divided into </w:t>
      </w:r>
    </w:p>
    <w:p w14:paraId="481EE737" w14:textId="77777777" w:rsidR="000F686E" w:rsidRDefault="000F686E" w:rsidP="000F686E">
      <w:pPr>
        <w:numPr>
          <w:ilvl w:val="0"/>
          <w:numId w:val="18"/>
        </w:numPr>
        <w:tabs>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a training phase</w:t>
      </w:r>
      <w:r w:rsidRPr="00E16545">
        <w:rPr>
          <w:lang w:val="en-US"/>
        </w:rPr>
        <w:t xml:space="preserve"> where the listeners can internalize the </w:t>
      </w:r>
      <w:r w:rsidRPr="00154CB7">
        <w:rPr>
          <w:i/>
          <w:lang w:val="en-US"/>
        </w:rPr>
        <w:t xml:space="preserve">meaning </w:t>
      </w:r>
      <w:r w:rsidRPr="00E16545">
        <w:rPr>
          <w:lang w:val="en-US"/>
        </w:rPr>
        <w:t>of the scales by acoustic examples</w:t>
      </w:r>
      <w:r>
        <w:rPr>
          <w:lang w:val="en-US"/>
        </w:rPr>
        <w:t>, and</w:t>
      </w:r>
    </w:p>
    <w:p w14:paraId="649907D6" w14:textId="77777777" w:rsidR="000F686E" w:rsidRDefault="000F686E" w:rsidP="000F686E">
      <w:pPr>
        <w:numPr>
          <w:ilvl w:val="0"/>
          <w:numId w:val="18"/>
        </w:numPr>
        <w:tabs>
          <w:tab w:val="left" w:pos="794"/>
          <w:tab w:val="left" w:pos="1191"/>
          <w:tab w:val="left" w:pos="1588"/>
          <w:tab w:val="left" w:pos="1985"/>
        </w:tabs>
        <w:overflowPunct w:val="0"/>
        <w:autoSpaceDE w:val="0"/>
        <w:autoSpaceDN w:val="0"/>
        <w:adjustRightInd w:val="0"/>
        <w:jc w:val="both"/>
        <w:textAlignment w:val="baseline"/>
        <w:rPr>
          <w:lang w:val="en-US"/>
        </w:rPr>
      </w:pPr>
      <w:r>
        <w:rPr>
          <w:lang w:val="en-US"/>
        </w:rPr>
        <w:t xml:space="preserve">a training phase where the listeners can familiarize with the </w:t>
      </w:r>
      <w:r w:rsidRPr="00154CB7">
        <w:rPr>
          <w:i/>
          <w:lang w:val="en-US"/>
        </w:rPr>
        <w:t>usage</w:t>
      </w:r>
      <w:r>
        <w:rPr>
          <w:lang w:val="en-US"/>
        </w:rPr>
        <w:t xml:space="preserve"> of the scales.</w:t>
      </w:r>
    </w:p>
    <w:p w14:paraId="5DCE9B4B" w14:textId="56D5523F" w:rsidR="000F686E" w:rsidRDefault="000F686E" w:rsidP="000F686E">
      <w:pPr>
        <w:jc w:val="both"/>
        <w:rPr>
          <w:lang w:val="en-US"/>
        </w:rPr>
      </w:pPr>
      <w:r>
        <w:rPr>
          <w:lang w:val="en-US"/>
        </w:rPr>
        <w:t xml:space="preserve">For the training of the </w:t>
      </w:r>
      <w:r>
        <w:rPr>
          <w:i/>
          <w:lang w:val="en-US"/>
        </w:rPr>
        <w:t>meaning</w:t>
      </w:r>
      <w:r>
        <w:rPr>
          <w:lang w:val="en-US"/>
        </w:rPr>
        <w:t xml:space="preserve"> of the scales,</w:t>
      </w:r>
      <w:r w:rsidRPr="00E16545">
        <w:rPr>
          <w:lang w:val="en-US"/>
        </w:rPr>
        <w:t xml:space="preserve"> exemplary samples for each scale are prese</w:t>
      </w:r>
      <w:r>
        <w:rPr>
          <w:lang w:val="en-US"/>
        </w:rPr>
        <w:t xml:space="preserve">nted which are distorted in (mainly) one dimension. Therefore, unidimensional “anchor conditions” specified in </w:t>
      </w:r>
      <w:r w:rsidR="00584D17">
        <w:rPr>
          <w:lang w:val="en-US"/>
        </w:rPr>
        <w:t>Table 4 of ITU-T P.806</w:t>
      </w:r>
      <w:r>
        <w:rPr>
          <w:lang w:val="en-US"/>
        </w:rPr>
        <w:t xml:space="preserve"> corresponding to the four dimensions can serve as training samples.</w:t>
      </w:r>
    </w:p>
    <w:p w14:paraId="5A28846E" w14:textId="1A3E8150" w:rsidR="000F686E" w:rsidRDefault="000F686E" w:rsidP="000F686E">
      <w:pPr>
        <w:jc w:val="both"/>
        <w:rPr>
          <w:lang w:val="en-US"/>
        </w:rPr>
      </w:pPr>
      <w:r w:rsidRPr="00E16545">
        <w:rPr>
          <w:lang w:val="en-US"/>
        </w:rPr>
        <w:t>The acoustic presentation is done together with the describing synonyms</w:t>
      </w:r>
      <w:r>
        <w:rPr>
          <w:lang w:val="en-US"/>
        </w:rPr>
        <w:t xml:space="preserve"> by means of</w:t>
      </w:r>
      <w:r w:rsidRPr="00E16545">
        <w:rPr>
          <w:lang w:val="en-US"/>
        </w:rPr>
        <w:t xml:space="preserve"> a computer screen where the participants can listen to the samples until they confirmed that they understood the meaning of the scales. The understanding is supported by presenting an undistorted sample</w:t>
      </w:r>
      <w:r>
        <w:rPr>
          <w:lang w:val="en-US"/>
        </w:rPr>
        <w:t xml:space="preserve"> (direct SWB)</w:t>
      </w:r>
      <w:r w:rsidRPr="00E16545">
        <w:rPr>
          <w:lang w:val="en-US"/>
        </w:rPr>
        <w:t>, stating that this particular sample is completely “not noisy”, “continuous”, “uncolored”</w:t>
      </w:r>
      <w:r>
        <w:rPr>
          <w:lang w:val="en-US"/>
        </w:rPr>
        <w:t xml:space="preserve"> and of “optimal loudness”</w:t>
      </w:r>
      <w:r w:rsidRPr="00E16545">
        <w:rPr>
          <w:lang w:val="en-US"/>
        </w:rPr>
        <w:t>.</w:t>
      </w:r>
      <w:r>
        <w:rPr>
          <w:lang w:val="en-US"/>
        </w:rPr>
        <w:t xml:space="preserve"> </w:t>
      </w:r>
      <w:r w:rsidRPr="00E16545">
        <w:rPr>
          <w:lang w:val="en-US"/>
        </w:rPr>
        <w:t xml:space="preserve">A screenshot of the graphical training interface is included in the instructions in Appendix </w:t>
      </w:r>
      <w:r>
        <w:rPr>
          <w:lang w:val="en-US"/>
        </w:rPr>
        <w:t>II.</w:t>
      </w:r>
    </w:p>
    <w:p w14:paraId="5F6D5749" w14:textId="77777777" w:rsidR="000F686E" w:rsidRDefault="000F686E" w:rsidP="000F686E">
      <w:pPr>
        <w:jc w:val="both"/>
        <w:rPr>
          <w:lang w:val="en-US"/>
        </w:rPr>
      </w:pPr>
      <w:r>
        <w:rPr>
          <w:lang w:val="en-US"/>
        </w:rPr>
        <w:t xml:space="preserve">Preceding trials </w:t>
      </w:r>
      <w:r w:rsidRPr="00E16545">
        <w:rPr>
          <w:lang w:val="en-US"/>
        </w:rPr>
        <w:t>help the listeners familiariz</w:t>
      </w:r>
      <w:r>
        <w:rPr>
          <w:lang w:val="en-US"/>
        </w:rPr>
        <w:t>e</w:t>
      </w:r>
      <w:r w:rsidRPr="00E16545">
        <w:rPr>
          <w:lang w:val="en-US"/>
        </w:rPr>
        <w:t xml:space="preserve"> with the practical </w:t>
      </w:r>
      <w:r w:rsidRPr="00E66BFC">
        <w:rPr>
          <w:i/>
          <w:lang w:val="en-US"/>
        </w:rPr>
        <w:t>usage</w:t>
      </w:r>
      <w:r w:rsidRPr="00E16545">
        <w:rPr>
          <w:lang w:val="en-US"/>
        </w:rPr>
        <w:t xml:space="preserve"> of the scales and the range of degradations to be expected. Therefore, </w:t>
      </w:r>
      <w:r>
        <w:rPr>
          <w:lang w:val="en-US"/>
        </w:rPr>
        <w:t>several</w:t>
      </w:r>
      <w:r w:rsidRPr="00E16545">
        <w:rPr>
          <w:lang w:val="en-US"/>
        </w:rPr>
        <w:t xml:space="preserve"> samples differing in quality and character of the degradation were rated in a brief dedic</w:t>
      </w:r>
      <w:r>
        <w:rPr>
          <w:lang w:val="en-US"/>
        </w:rPr>
        <w:t>ated training session.</w:t>
      </w:r>
    </w:p>
    <w:p w14:paraId="0C954C27" w14:textId="3C2095C3" w:rsidR="000F686E" w:rsidRDefault="000F686E" w:rsidP="000F686E">
      <w:pPr>
        <w:jc w:val="both"/>
      </w:pPr>
      <w:r>
        <w:t>It has to be agreed upon a common transformation rule of the raw scores to dimensional MOS</w:t>
      </w:r>
      <w:r w:rsidR="005A30C8">
        <w:t xml:space="preserve"> (MOS-C, MOS-D, MOS-L and MOS-N)</w:t>
      </w:r>
      <w:r>
        <w:t xml:space="preserve"> values. The raw ratings of the “discontinuity”, “noisiness”, “coloration” and “loudness” scores (ranging from 0 to 6 according to the scale design) can either be linearly transformed to the MOS-range [1;5], or the transformation rule according to the equation in Section 4.2.1 in COM12-C82 can be applied.</w:t>
      </w:r>
    </w:p>
    <w:p w14:paraId="5697391A" w14:textId="34C8A2F4" w:rsidR="000F686E" w:rsidRDefault="000F686E" w:rsidP="000F686E">
      <w:pPr>
        <w:jc w:val="both"/>
      </w:pPr>
      <w:r>
        <w:t xml:space="preserve">The resulting values are denoted as </w:t>
      </w:r>
      <w:r w:rsidR="005A30C8">
        <w:t>MOS-C, MOS-D, MOS-L and MOS-N.</w:t>
      </w:r>
    </w:p>
    <w:p w14:paraId="30D6714B" w14:textId="2D458DA0" w:rsidR="00D73535" w:rsidRDefault="00D73535" w:rsidP="002F45E1"/>
    <w:p w14:paraId="60570A44" w14:textId="3D095B36" w:rsidR="00D73535" w:rsidRDefault="00D73535">
      <w:pPr>
        <w:spacing w:before="0" w:after="160" w:line="259" w:lineRule="auto"/>
      </w:pPr>
      <w:r>
        <w:br w:type="page"/>
      </w:r>
    </w:p>
    <w:p w14:paraId="0720CC5A" w14:textId="77CAD29D" w:rsidR="00D73535" w:rsidRDefault="00D73535" w:rsidP="00D73535">
      <w:pPr>
        <w:pStyle w:val="AnnexNoTitle0"/>
        <w:spacing w:before="0"/>
      </w:pPr>
      <w:bookmarkStart w:id="58" w:name="_Toc512410708"/>
      <w:bookmarkStart w:id="59" w:name="_Toc514142726"/>
      <w:r w:rsidRPr="009F4968">
        <w:lastRenderedPageBreak/>
        <w:t>Annex</w:t>
      </w:r>
      <w:r>
        <w:t xml:space="preserve"> B</w:t>
      </w:r>
      <w:r>
        <w:br/>
      </w:r>
      <w:r>
        <w:br/>
        <w:t>Conformance data and conformance tests</w:t>
      </w:r>
      <w:bookmarkEnd w:id="58"/>
      <w:bookmarkEnd w:id="59"/>
    </w:p>
    <w:p w14:paraId="104C588A" w14:textId="77777777" w:rsidR="00D73535" w:rsidRDefault="00D73535" w:rsidP="00D73535">
      <w:pPr>
        <w:jc w:val="center"/>
      </w:pPr>
      <w:r>
        <w:t>(This annex forms an integral part of this Recommendation.)</w:t>
      </w:r>
    </w:p>
    <w:p w14:paraId="1291C3A9" w14:textId="77777777" w:rsidR="00CC569B" w:rsidRDefault="00CC569B" w:rsidP="00CC569B">
      <w:pPr>
        <w:pStyle w:val="Heading2"/>
      </w:pPr>
      <w:bookmarkStart w:id="60" w:name="_Toc288222486"/>
      <w:bookmarkStart w:id="61" w:name="_Toc288222946"/>
      <w:bookmarkStart w:id="62" w:name="_Toc289262637"/>
      <w:bookmarkStart w:id="63" w:name="_Toc295130642"/>
      <w:bookmarkStart w:id="64" w:name="_Toc295394485"/>
      <w:bookmarkStart w:id="65" w:name="_Toc297536471"/>
      <w:bookmarkStart w:id="66" w:name="_Toc400716265"/>
      <w:bookmarkStart w:id="67" w:name="_Toc400955756"/>
      <w:bookmarkStart w:id="68" w:name="_Toc408903968"/>
      <w:bookmarkStart w:id="69" w:name="_Toc412445381"/>
      <w:bookmarkStart w:id="70" w:name="_Toc512410709"/>
      <w:bookmarkStart w:id="71" w:name="_Toc514142727"/>
      <w:r>
        <w:t>B.1</w:t>
      </w:r>
      <w:r>
        <w:tab/>
        <w:t>List of files provided for conformance validation</w:t>
      </w:r>
      <w:bookmarkEnd w:id="60"/>
      <w:bookmarkEnd w:id="61"/>
      <w:bookmarkEnd w:id="62"/>
      <w:bookmarkEnd w:id="63"/>
      <w:bookmarkEnd w:id="64"/>
      <w:bookmarkEnd w:id="65"/>
      <w:bookmarkEnd w:id="66"/>
      <w:bookmarkEnd w:id="67"/>
      <w:bookmarkEnd w:id="68"/>
      <w:bookmarkEnd w:id="69"/>
      <w:bookmarkEnd w:id="70"/>
      <w:bookmarkEnd w:id="71"/>
    </w:p>
    <w:p w14:paraId="7D0BE07D" w14:textId="6F7F379E" w:rsidR="00CC569B" w:rsidRDefault="00CC569B" w:rsidP="005A30C8">
      <w:pPr>
        <w:jc w:val="both"/>
      </w:pPr>
      <w:r>
        <w:t xml:space="preserve">The conformance validation process described below refers to the following files, which are provided in the </w:t>
      </w:r>
      <w:r>
        <w:rPr>
          <w:rFonts w:asciiTheme="majorBidi" w:hAnsiTheme="majorBidi" w:cstheme="majorBidi"/>
        </w:rPr>
        <w:t xml:space="preserve">"_Results_PAMD" </w:t>
      </w:r>
      <w:r>
        <w:t>subdirectory of the electronic attachment:</w:t>
      </w:r>
    </w:p>
    <w:p w14:paraId="4BB02128" w14:textId="2EADE1ED" w:rsidR="00CC569B" w:rsidRPr="00232616" w:rsidRDefault="00CC569B" w:rsidP="005A30C8">
      <w:pPr>
        <w:pStyle w:val="enumlev1"/>
        <w:tabs>
          <w:tab w:val="clear" w:pos="1588"/>
          <w:tab w:val="clear" w:pos="1985"/>
          <w:tab w:val="left" w:pos="3840"/>
        </w:tabs>
        <w:ind w:left="3840" w:hanging="3840"/>
        <w:jc w:val="both"/>
      </w:pPr>
      <w:r>
        <w:t>•</w:t>
      </w:r>
      <w:r>
        <w:tab/>
        <w:t>Test_1_results_ref.txt</w:t>
      </w:r>
      <w:r>
        <w:tab/>
      </w:r>
      <w:r>
        <w:rPr>
          <w:i/>
          <w:iCs/>
        </w:rPr>
        <w:t>file pairs and ITU-T P</w:t>
      </w:r>
      <w:r w:rsidR="00874633">
        <w:rPr>
          <w:i/>
          <w:iCs/>
        </w:rPr>
        <w:t>AMD</w:t>
      </w:r>
      <w:r>
        <w:rPr>
          <w:i/>
          <w:iCs/>
        </w:rPr>
        <w:t xml:space="preserve"> scores for test 1</w:t>
      </w:r>
      <w:r>
        <w:rPr>
          <w:iCs/>
        </w:rPr>
        <w:t>;</w:t>
      </w:r>
    </w:p>
    <w:p w14:paraId="3EF4DE36" w14:textId="7717DE36" w:rsidR="00CC569B" w:rsidRPr="00232616" w:rsidRDefault="00CC569B" w:rsidP="005A30C8">
      <w:pPr>
        <w:pStyle w:val="enumlev1"/>
        <w:tabs>
          <w:tab w:val="clear" w:pos="1588"/>
          <w:tab w:val="clear" w:pos="1985"/>
          <w:tab w:val="left" w:pos="3840"/>
        </w:tabs>
        <w:ind w:left="3840" w:hanging="3840"/>
        <w:jc w:val="both"/>
      </w:pPr>
      <w:r>
        <w:t>•</w:t>
      </w:r>
      <w:r>
        <w:tab/>
        <w:t>Test_2_results_ref.txt</w:t>
      </w:r>
      <w:r>
        <w:tab/>
      </w:r>
      <w:r w:rsidR="00874633">
        <w:rPr>
          <w:i/>
          <w:iCs/>
        </w:rPr>
        <w:t>file pairs and ITU-T PAMD scores for test 2</w:t>
      </w:r>
      <w:r>
        <w:rPr>
          <w:iCs/>
        </w:rPr>
        <w:t>;</w:t>
      </w:r>
    </w:p>
    <w:p w14:paraId="66ED068F" w14:textId="57699D4F" w:rsidR="00CC569B" w:rsidRPr="00232616" w:rsidRDefault="00CC569B" w:rsidP="005A30C8">
      <w:pPr>
        <w:pStyle w:val="enumlev1"/>
        <w:tabs>
          <w:tab w:val="clear" w:pos="1588"/>
          <w:tab w:val="clear" w:pos="1985"/>
          <w:tab w:val="left" w:pos="3840"/>
        </w:tabs>
        <w:ind w:left="3840" w:hanging="3840"/>
        <w:jc w:val="both"/>
      </w:pPr>
      <w:r>
        <w:t>•</w:t>
      </w:r>
      <w:r>
        <w:tab/>
        <w:t>Test_3_results_ref.txt</w:t>
      </w:r>
      <w:r>
        <w:tab/>
      </w:r>
      <w:r w:rsidR="00874633">
        <w:rPr>
          <w:i/>
          <w:iCs/>
        </w:rPr>
        <w:t>file pairs and ITU-T PAMD scores for test 3</w:t>
      </w:r>
      <w:r w:rsidR="00372B4F">
        <w:rPr>
          <w:iCs/>
        </w:rPr>
        <w:t>.</w:t>
      </w:r>
    </w:p>
    <w:p w14:paraId="5992FFCC" w14:textId="7E0B519E" w:rsidR="00CC569B" w:rsidRDefault="00CC569B" w:rsidP="005A30C8">
      <w:pPr>
        <w:jc w:val="both"/>
      </w:pPr>
      <w:r>
        <w:t xml:space="preserve">The </w:t>
      </w:r>
      <w:r w:rsidRPr="00CC569B">
        <w:t>PAMD_TUB_P501</w:t>
      </w:r>
      <w:r>
        <w:t xml:space="preserve"> speech files are in WAVE format (16-bit linear PCM</w:t>
      </w:r>
      <w:r w:rsidR="00D10023">
        <w:t xml:space="preserve"> with WAVE header</w:t>
      </w:r>
      <w:r>
        <w:t xml:space="preserve">, little-endian byte ordering, at 48 kHz sampling rate). The </w:t>
      </w:r>
      <w:r>
        <w:rPr>
          <w:lang w:eastAsia="de-DE"/>
        </w:rPr>
        <w:t xml:space="preserve">SWB_TNO_601_48k and </w:t>
      </w:r>
      <w:r>
        <w:t>SWB_SQ_48k are in raw format (16-bit linear PCM, little-endian byte ordering, at 48 kHz sampling rate). These files form an integral part of this annex.</w:t>
      </w:r>
    </w:p>
    <w:p w14:paraId="776C18E9" w14:textId="5331DE87" w:rsidR="00CC569B" w:rsidRDefault="00CC569B" w:rsidP="005A30C8">
      <w:pPr>
        <w:jc w:val="both"/>
      </w:pPr>
      <w:r>
        <w:t>For all conformance tests 1 to 3, there are BAT files prepared. The BAT files assume that the reference executable is called 'PAMDmodel.exe' and is called as follows:</w:t>
      </w:r>
    </w:p>
    <w:p w14:paraId="0904A0C1" w14:textId="11129F7B" w:rsidR="00CC569B" w:rsidRDefault="00CC569B" w:rsidP="005A30C8">
      <w:pPr>
        <w:jc w:val="both"/>
        <w:rPr>
          <w:i/>
        </w:rPr>
      </w:pPr>
      <w:r>
        <w:rPr>
          <w:i/>
        </w:rPr>
        <w:t xml:space="preserve">PAMDmodel &lt;reference.raw&gt; &lt;degraded.raw&gt; &lt;Sampling Frequency / Hz&gt; &lt;Mode: </w:t>
      </w:r>
      <w:r w:rsidR="006B73E3">
        <w:rPr>
          <w:i/>
        </w:rPr>
        <w:t>FB</w:t>
      </w:r>
      <w:r>
        <w:rPr>
          <w:i/>
        </w:rPr>
        <w:t>&gt;</w:t>
      </w:r>
    </w:p>
    <w:p w14:paraId="1197B434" w14:textId="469D6CFD" w:rsidR="00CC569B" w:rsidRDefault="00CC569B" w:rsidP="00CC569B">
      <w:pPr>
        <w:pStyle w:val="Heading2"/>
      </w:pPr>
      <w:bookmarkStart w:id="72" w:name="_Toc134333113"/>
      <w:bookmarkStart w:id="73" w:name="_Toc125792916"/>
      <w:bookmarkStart w:id="74" w:name="_Toc54509964"/>
      <w:bookmarkStart w:id="75" w:name="_Toc53986996"/>
      <w:bookmarkStart w:id="76" w:name="_Toc48619682"/>
      <w:bookmarkStart w:id="77" w:name="_Toc41191064"/>
      <w:bookmarkStart w:id="78" w:name="_Toc288222487"/>
      <w:bookmarkStart w:id="79" w:name="_Toc288222947"/>
      <w:bookmarkStart w:id="80" w:name="_Toc289262638"/>
      <w:bookmarkStart w:id="81" w:name="_Toc295130643"/>
      <w:bookmarkStart w:id="82" w:name="_Toc295394486"/>
      <w:bookmarkStart w:id="83" w:name="_Toc297536472"/>
      <w:bookmarkStart w:id="84" w:name="_Toc400716266"/>
      <w:bookmarkStart w:id="85" w:name="_Toc400955757"/>
      <w:bookmarkStart w:id="86" w:name="_Toc408903969"/>
      <w:bookmarkStart w:id="87" w:name="_Toc412445382"/>
      <w:bookmarkStart w:id="88" w:name="_Toc512410710"/>
      <w:bookmarkStart w:id="89" w:name="_Toc514142728"/>
      <w:r>
        <w:t>B.2</w:t>
      </w:r>
      <w:r>
        <w:tab/>
        <w:t>Conformance tests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16A3BE1" w14:textId="4E814D2A" w:rsidR="00874633" w:rsidRPr="00874633" w:rsidRDefault="00CC569B">
      <w:pPr>
        <w:pStyle w:val="Heading3"/>
      </w:pPr>
      <w:bookmarkStart w:id="90" w:name="_Toc41191065"/>
      <w:bookmarkStart w:id="91" w:name="_Toc288222488"/>
      <w:bookmarkStart w:id="92" w:name="_Toc288222948"/>
      <w:bookmarkStart w:id="93" w:name="_Toc295130644"/>
      <w:r>
        <w:t>B.2.1</w:t>
      </w:r>
      <w:r>
        <w:tab/>
        <w:t>Conformance data sets</w:t>
      </w:r>
      <w:bookmarkEnd w:id="90"/>
      <w:bookmarkEnd w:id="91"/>
      <w:bookmarkEnd w:id="92"/>
      <w:bookmarkEnd w:id="93"/>
    </w:p>
    <w:p w14:paraId="1345ACDA" w14:textId="190790AA" w:rsidR="00874633" w:rsidRDefault="00CC569B" w:rsidP="00CC569B">
      <w:r>
        <w:t>The data sets for the conformance tests are as given in Table B.1 below:</w:t>
      </w:r>
    </w:p>
    <w:tbl>
      <w:tblPr>
        <w:tblpPr w:leftFromText="180" w:rightFromText="180" w:vertAnchor="text" w:tblpY="7"/>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58"/>
        <w:gridCol w:w="1262"/>
        <w:gridCol w:w="7152"/>
      </w:tblGrid>
      <w:tr w:rsidR="00874633" w14:paraId="3CBF1434" w14:textId="77777777" w:rsidTr="00E76A9C">
        <w:trPr>
          <w:cantSplit/>
          <w:tblHeader/>
        </w:trPr>
        <w:tc>
          <w:tcPr>
            <w:tcW w:w="9072" w:type="dxa"/>
            <w:gridSpan w:val="3"/>
            <w:tcBorders>
              <w:top w:val="nil"/>
              <w:left w:val="nil"/>
              <w:right w:val="nil"/>
            </w:tcBorders>
            <w:vAlign w:val="center"/>
          </w:tcPr>
          <w:p w14:paraId="2DCA161D" w14:textId="77777777" w:rsidR="00874633" w:rsidRDefault="00874633" w:rsidP="00605119">
            <w:pPr>
              <w:pStyle w:val="TableNoTitle0"/>
              <w:rPr>
                <w:lang w:eastAsia="de-DE"/>
              </w:rPr>
            </w:pPr>
            <w:r>
              <w:t>Table B.1 – Data sets for the conformance tests</w:t>
            </w:r>
          </w:p>
        </w:tc>
      </w:tr>
      <w:tr w:rsidR="00874633" w14:paraId="24A51A55" w14:textId="77777777" w:rsidTr="00E76A9C">
        <w:trPr>
          <w:cantSplit/>
          <w:tblHeader/>
        </w:trPr>
        <w:tc>
          <w:tcPr>
            <w:tcW w:w="658" w:type="dxa"/>
            <w:vAlign w:val="center"/>
          </w:tcPr>
          <w:p w14:paraId="0976D52D" w14:textId="77777777" w:rsidR="00874633" w:rsidRDefault="00874633" w:rsidP="00605119">
            <w:pPr>
              <w:pStyle w:val="Tablehead"/>
              <w:rPr>
                <w:lang w:eastAsia="de-DE"/>
              </w:rPr>
            </w:pPr>
            <w:r>
              <w:rPr>
                <w:lang w:eastAsia="de-DE"/>
              </w:rPr>
              <w:t>Test</w:t>
            </w:r>
          </w:p>
        </w:tc>
        <w:tc>
          <w:tcPr>
            <w:tcW w:w="1262" w:type="dxa"/>
            <w:vAlign w:val="center"/>
          </w:tcPr>
          <w:p w14:paraId="2EDCE15C" w14:textId="77777777" w:rsidR="00874633" w:rsidRDefault="00874633" w:rsidP="00605119">
            <w:pPr>
              <w:pStyle w:val="Tablehead"/>
              <w:rPr>
                <w:lang w:eastAsia="de-DE"/>
              </w:rPr>
            </w:pPr>
            <w:r>
              <w:rPr>
                <w:lang w:eastAsia="de-DE"/>
              </w:rPr>
              <w:t>Number of file pairs</w:t>
            </w:r>
          </w:p>
        </w:tc>
        <w:tc>
          <w:tcPr>
            <w:tcW w:w="7152" w:type="dxa"/>
            <w:vAlign w:val="center"/>
          </w:tcPr>
          <w:p w14:paraId="6ABE613C" w14:textId="77777777" w:rsidR="00874633" w:rsidRDefault="00874633" w:rsidP="00605119">
            <w:pPr>
              <w:pStyle w:val="Tablehead"/>
              <w:rPr>
                <w:lang w:eastAsia="de-DE"/>
              </w:rPr>
            </w:pPr>
            <w:r>
              <w:rPr>
                <w:lang w:eastAsia="de-DE"/>
              </w:rPr>
              <w:t>Data set</w:t>
            </w:r>
          </w:p>
        </w:tc>
      </w:tr>
      <w:tr w:rsidR="00874633" w14:paraId="5BC40AB0" w14:textId="77777777" w:rsidTr="00E76A9C">
        <w:trPr>
          <w:cantSplit/>
        </w:trPr>
        <w:tc>
          <w:tcPr>
            <w:tcW w:w="658" w:type="dxa"/>
          </w:tcPr>
          <w:p w14:paraId="6CEFF90E" w14:textId="77777777" w:rsidR="00874633" w:rsidRPr="00205D12" w:rsidRDefault="00874633" w:rsidP="00605119">
            <w:pPr>
              <w:pStyle w:val="Tabletext"/>
              <w:jc w:val="center"/>
            </w:pPr>
            <w:r w:rsidRPr="00205D12">
              <w:t>1</w:t>
            </w:r>
          </w:p>
        </w:tc>
        <w:tc>
          <w:tcPr>
            <w:tcW w:w="1262" w:type="dxa"/>
          </w:tcPr>
          <w:p w14:paraId="4D32878B" w14:textId="77777777" w:rsidR="00874633" w:rsidRPr="00205D12" w:rsidRDefault="00874633" w:rsidP="00605119">
            <w:pPr>
              <w:pStyle w:val="Tabletext"/>
              <w:jc w:val="center"/>
            </w:pPr>
            <w:r w:rsidRPr="00205D12">
              <w:t>2</w:t>
            </w:r>
            <w:r>
              <w:t>4</w:t>
            </w:r>
            <w:r w:rsidRPr="00205D12">
              <w:t>0</w:t>
            </w:r>
          </w:p>
        </w:tc>
        <w:tc>
          <w:tcPr>
            <w:tcW w:w="7152" w:type="dxa"/>
          </w:tcPr>
          <w:p w14:paraId="2686CA45" w14:textId="48C08632" w:rsidR="00874633" w:rsidRPr="00205D12" w:rsidRDefault="00874633" w:rsidP="00605119">
            <w:pPr>
              <w:pStyle w:val="Tabletext"/>
            </w:pPr>
            <w:r w:rsidRPr="00205D12">
              <w:t xml:space="preserve">Clause </w:t>
            </w:r>
            <w:r>
              <w:t>B</w:t>
            </w:r>
            <w:r w:rsidRPr="00205D12">
              <w:t xml:space="preserve">.1 </w:t>
            </w:r>
            <w:r>
              <w:t>'</w:t>
            </w:r>
            <w:r w:rsidRPr="006B73E3">
              <w:t>PAMD_TUB_P501</w:t>
            </w:r>
            <w:r>
              <w:t>'</w:t>
            </w:r>
            <w:r w:rsidRPr="00205D12">
              <w:t xml:space="preserve"> as attached (Test </w:t>
            </w:r>
            <w:r>
              <w:t>1</w:t>
            </w:r>
            <w:r w:rsidRPr="00205D12">
              <w:t>).</w:t>
            </w:r>
          </w:p>
          <w:p w14:paraId="1C0A8CB0" w14:textId="77777777" w:rsidR="00874633" w:rsidRPr="00820AFC" w:rsidRDefault="00874633" w:rsidP="00605119">
            <w:pPr>
              <w:pStyle w:val="Tabletext"/>
              <w:rPr>
                <w:i/>
                <w:iCs/>
              </w:rPr>
            </w:pPr>
            <w:r w:rsidRPr="00205D12">
              <w:t xml:space="preserve">– </w:t>
            </w:r>
            <w:r w:rsidRPr="00820AFC">
              <w:rPr>
                <w:i/>
                <w:iCs/>
              </w:rPr>
              <w:t>Mandatory</w:t>
            </w:r>
            <w:r w:rsidRPr="00205D12">
              <w:t xml:space="preserve"> –</w:t>
            </w:r>
          </w:p>
        </w:tc>
      </w:tr>
      <w:tr w:rsidR="00874633" w14:paraId="4B059415" w14:textId="77777777" w:rsidTr="00E76A9C">
        <w:trPr>
          <w:cantSplit/>
        </w:trPr>
        <w:tc>
          <w:tcPr>
            <w:tcW w:w="658" w:type="dxa"/>
          </w:tcPr>
          <w:p w14:paraId="0ADAD81C" w14:textId="77777777" w:rsidR="00874633" w:rsidRPr="00205D12" w:rsidRDefault="00874633" w:rsidP="00605119">
            <w:pPr>
              <w:pStyle w:val="Tabletext"/>
              <w:jc w:val="center"/>
            </w:pPr>
            <w:r w:rsidRPr="00205D12">
              <w:t>2</w:t>
            </w:r>
          </w:p>
        </w:tc>
        <w:tc>
          <w:tcPr>
            <w:tcW w:w="1262" w:type="dxa"/>
          </w:tcPr>
          <w:p w14:paraId="08A1594E" w14:textId="77777777" w:rsidR="00874633" w:rsidRPr="00205D12" w:rsidRDefault="00874633" w:rsidP="00605119">
            <w:pPr>
              <w:pStyle w:val="Tabletext"/>
              <w:jc w:val="center"/>
            </w:pPr>
            <w:r w:rsidRPr="00205D12">
              <w:t>200</w:t>
            </w:r>
          </w:p>
        </w:tc>
        <w:tc>
          <w:tcPr>
            <w:tcW w:w="7152" w:type="dxa"/>
          </w:tcPr>
          <w:p w14:paraId="30EBC27B" w14:textId="74086B3A" w:rsidR="00874633" w:rsidRPr="00205D12" w:rsidRDefault="00874633" w:rsidP="00605119">
            <w:pPr>
              <w:pStyle w:val="Tabletext"/>
            </w:pPr>
            <w:r w:rsidRPr="00205D12">
              <w:t xml:space="preserve">Clause </w:t>
            </w:r>
            <w:r>
              <w:t>B</w:t>
            </w:r>
            <w:r w:rsidRPr="00205D12">
              <w:t xml:space="preserve">.1 </w:t>
            </w:r>
            <w:r>
              <w:t>'</w:t>
            </w:r>
            <w:r w:rsidRPr="00205D12">
              <w:t>SWB_TNO_601_48k</w:t>
            </w:r>
            <w:r>
              <w:t>'</w:t>
            </w:r>
            <w:r w:rsidRPr="00205D12">
              <w:t xml:space="preserve"> as attached (Test </w:t>
            </w:r>
            <w:r>
              <w:t>2</w:t>
            </w:r>
            <w:r w:rsidRPr="00205D12">
              <w:t>).</w:t>
            </w:r>
          </w:p>
          <w:p w14:paraId="5F90A48D" w14:textId="77777777" w:rsidR="00874633" w:rsidRPr="00820AFC" w:rsidRDefault="00874633" w:rsidP="00605119">
            <w:pPr>
              <w:pStyle w:val="Tabletext"/>
              <w:rPr>
                <w:i/>
                <w:iCs/>
              </w:rPr>
            </w:pPr>
            <w:r w:rsidRPr="00205D12">
              <w:t xml:space="preserve">– </w:t>
            </w:r>
            <w:r w:rsidRPr="00820AFC">
              <w:rPr>
                <w:i/>
                <w:iCs/>
              </w:rPr>
              <w:t>Mandatory</w:t>
            </w:r>
            <w:r w:rsidRPr="00205D12">
              <w:t xml:space="preserve"> –</w:t>
            </w:r>
          </w:p>
        </w:tc>
      </w:tr>
      <w:tr w:rsidR="00874633" w14:paraId="2634A98D" w14:textId="77777777" w:rsidTr="00E76A9C">
        <w:trPr>
          <w:cantSplit/>
        </w:trPr>
        <w:tc>
          <w:tcPr>
            <w:tcW w:w="658" w:type="dxa"/>
          </w:tcPr>
          <w:p w14:paraId="300EC1D2" w14:textId="77777777" w:rsidR="00874633" w:rsidRPr="00205D12" w:rsidRDefault="00874633" w:rsidP="00605119">
            <w:pPr>
              <w:pStyle w:val="Tabletext"/>
              <w:jc w:val="center"/>
            </w:pPr>
            <w:r w:rsidRPr="00205D12">
              <w:t>3</w:t>
            </w:r>
          </w:p>
        </w:tc>
        <w:tc>
          <w:tcPr>
            <w:tcW w:w="1262" w:type="dxa"/>
          </w:tcPr>
          <w:p w14:paraId="412E671C" w14:textId="77777777" w:rsidR="00874633" w:rsidRPr="00205D12" w:rsidRDefault="00874633" w:rsidP="00605119">
            <w:pPr>
              <w:pStyle w:val="Tabletext"/>
              <w:jc w:val="center"/>
            </w:pPr>
            <w:r w:rsidRPr="00205D12">
              <w:t>50</w:t>
            </w:r>
          </w:p>
        </w:tc>
        <w:tc>
          <w:tcPr>
            <w:tcW w:w="7152" w:type="dxa"/>
          </w:tcPr>
          <w:p w14:paraId="2C368480" w14:textId="7FB131BD" w:rsidR="00874633" w:rsidRPr="00205D12" w:rsidRDefault="00874633" w:rsidP="00605119">
            <w:pPr>
              <w:pStyle w:val="Tabletext"/>
            </w:pPr>
            <w:r w:rsidRPr="00205D12">
              <w:t xml:space="preserve">Clause </w:t>
            </w:r>
            <w:r>
              <w:t>B</w:t>
            </w:r>
            <w:r w:rsidRPr="00205D12">
              <w:t xml:space="preserve">.1 </w:t>
            </w:r>
            <w:r>
              <w:t>'</w:t>
            </w:r>
            <w:r w:rsidRPr="00205D12">
              <w:t>SWB_SQ_48k</w:t>
            </w:r>
            <w:r>
              <w:t>'</w:t>
            </w:r>
            <w:r w:rsidRPr="00205D12">
              <w:t xml:space="preserve"> as attached (Test </w:t>
            </w:r>
            <w:r>
              <w:t>3</w:t>
            </w:r>
            <w:r w:rsidRPr="00205D12">
              <w:t>).</w:t>
            </w:r>
          </w:p>
          <w:p w14:paraId="4285E87C" w14:textId="77777777" w:rsidR="00874633" w:rsidRPr="00820AFC" w:rsidRDefault="00874633" w:rsidP="00605119">
            <w:pPr>
              <w:pStyle w:val="Tabletext"/>
              <w:rPr>
                <w:i/>
                <w:iCs/>
              </w:rPr>
            </w:pPr>
            <w:r w:rsidRPr="00205D12">
              <w:t xml:space="preserve">– </w:t>
            </w:r>
            <w:r w:rsidRPr="00820AFC">
              <w:rPr>
                <w:i/>
                <w:iCs/>
              </w:rPr>
              <w:t>Mandatory</w:t>
            </w:r>
            <w:r w:rsidRPr="00205D12">
              <w:t xml:space="preserve"> –</w:t>
            </w:r>
          </w:p>
        </w:tc>
      </w:tr>
    </w:tbl>
    <w:p w14:paraId="5D39EABF" w14:textId="77777777" w:rsidR="00CC569B" w:rsidRDefault="00CC569B" w:rsidP="00CC569B"/>
    <w:p w14:paraId="76DE59B4" w14:textId="62424E82" w:rsidR="00CC569B" w:rsidRDefault="006B73E3" w:rsidP="00CC569B">
      <w:pPr>
        <w:pStyle w:val="Heading3"/>
      </w:pPr>
      <w:bookmarkStart w:id="94" w:name="_Toc41191066"/>
      <w:bookmarkStart w:id="95" w:name="_Toc288222489"/>
      <w:bookmarkStart w:id="96" w:name="_Toc288222949"/>
      <w:bookmarkStart w:id="97" w:name="_Toc295130645"/>
      <w:r>
        <w:t>B</w:t>
      </w:r>
      <w:r w:rsidR="00CC569B">
        <w:t>.2.2</w:t>
      </w:r>
      <w:r w:rsidR="00CC569B">
        <w:tab/>
        <w:t>Conformance requirements</w:t>
      </w:r>
      <w:bookmarkEnd w:id="94"/>
      <w:bookmarkEnd w:id="95"/>
      <w:bookmarkEnd w:id="96"/>
      <w:bookmarkEnd w:id="97"/>
    </w:p>
    <w:p w14:paraId="4B244321" w14:textId="1C887D77" w:rsidR="00CC569B" w:rsidRDefault="00CC569B" w:rsidP="00E76A9C">
      <w:pPr>
        <w:jc w:val="both"/>
      </w:pPr>
      <w:r>
        <w:t xml:space="preserve">The test requirements are the confirmation of very narrow distribution of differences to the reference values provided in clause </w:t>
      </w:r>
      <w:r w:rsidR="006B73E3">
        <w:t>B</w:t>
      </w:r>
      <w:r>
        <w:t>.1.</w:t>
      </w:r>
      <w:r w:rsidR="00E76A9C">
        <w:t xml:space="preserve"> The requirements refer to all MOS-C, MOS-D, MOS-L and MOS-N scores.</w:t>
      </w:r>
    </w:p>
    <w:p w14:paraId="493022D4" w14:textId="337FD708" w:rsidR="00CC569B" w:rsidRDefault="00CC569B" w:rsidP="00E76A9C">
      <w:pPr>
        <w:jc w:val="both"/>
      </w:pPr>
      <w:r>
        <w:t>The allowed distribution of differences across all mandatory tests 1, 2</w:t>
      </w:r>
      <w:r w:rsidR="006B73E3">
        <w:t xml:space="preserve"> and</w:t>
      </w:r>
      <w:r>
        <w:t xml:space="preserve"> 3</w:t>
      </w:r>
      <w:r w:rsidR="006B73E3">
        <w:t xml:space="preserve"> </w:t>
      </w:r>
      <w:r>
        <w:t xml:space="preserve">are summarized in the following table below. The requirements are based on the absolute difference in the </w:t>
      </w:r>
      <w:r w:rsidR="00AA2F51">
        <w:t>model</w:t>
      </w:r>
      <w:r>
        <w:t xml:space="preserve"> score between the implementation under test and the reference values given in clause </w:t>
      </w:r>
      <w:r w:rsidR="006B73E3">
        <w:t>B</w:t>
      </w:r>
      <w:r>
        <w:t>.1.</w:t>
      </w:r>
    </w:p>
    <w:p w14:paraId="56B4F0B0" w14:textId="62265221" w:rsidR="00CC569B" w:rsidRDefault="00CC569B" w:rsidP="00CC569B">
      <w:pPr>
        <w:pStyle w:val="TableNoTitle0"/>
      </w:pPr>
      <w:r>
        <w:lastRenderedPageBreak/>
        <w:t xml:space="preserve">Table </w:t>
      </w:r>
      <w:r w:rsidR="003312F7">
        <w:t>B</w:t>
      </w:r>
      <w:r>
        <w:t>.2 – Allowed distribution of differences across all mandatory tests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5"/>
        <w:gridCol w:w="3337"/>
      </w:tblGrid>
      <w:tr w:rsidR="00CC569B" w14:paraId="632409C6" w14:textId="77777777" w:rsidTr="00CC569B">
        <w:trPr>
          <w:jc w:val="center"/>
        </w:trPr>
        <w:tc>
          <w:tcPr>
            <w:tcW w:w="4175" w:type="dxa"/>
          </w:tcPr>
          <w:p w14:paraId="76826953" w14:textId="77777777" w:rsidR="00CC569B" w:rsidRDefault="00CC569B" w:rsidP="00CC569B">
            <w:pPr>
              <w:pStyle w:val="Tablehead"/>
              <w:rPr>
                <w:szCs w:val="24"/>
              </w:rPr>
            </w:pPr>
            <w:r>
              <w:t>Absolute difference</w:t>
            </w:r>
          </w:p>
        </w:tc>
        <w:tc>
          <w:tcPr>
            <w:tcW w:w="3337" w:type="dxa"/>
          </w:tcPr>
          <w:p w14:paraId="040F89BF" w14:textId="77777777" w:rsidR="00CC569B" w:rsidRDefault="00CC569B" w:rsidP="00CC569B">
            <w:pPr>
              <w:pStyle w:val="Tablehead"/>
              <w:rPr>
                <w:szCs w:val="24"/>
              </w:rPr>
            </w:pPr>
            <w:r>
              <w:t>Allowed occurrence</w:t>
            </w:r>
          </w:p>
        </w:tc>
      </w:tr>
      <w:tr w:rsidR="00CC569B" w14:paraId="13A274E0" w14:textId="77777777" w:rsidTr="00CC569B">
        <w:trPr>
          <w:jc w:val="center"/>
        </w:trPr>
        <w:tc>
          <w:tcPr>
            <w:tcW w:w="4175" w:type="dxa"/>
          </w:tcPr>
          <w:p w14:paraId="7897E344" w14:textId="77777777" w:rsidR="00CC569B" w:rsidRDefault="00CC569B" w:rsidP="00CC569B">
            <w:pPr>
              <w:pStyle w:val="Tabletext"/>
              <w:jc w:val="center"/>
              <w:rPr>
                <w:szCs w:val="24"/>
              </w:rPr>
            </w:pPr>
            <w:r>
              <w:t>&gt; 0.0001</w:t>
            </w:r>
          </w:p>
        </w:tc>
        <w:tc>
          <w:tcPr>
            <w:tcW w:w="3337" w:type="dxa"/>
          </w:tcPr>
          <w:p w14:paraId="75F6AEF2" w14:textId="77777777" w:rsidR="00CC569B" w:rsidRDefault="00CC569B" w:rsidP="00CC569B">
            <w:pPr>
              <w:pStyle w:val="Tabletext"/>
              <w:jc w:val="center"/>
              <w:rPr>
                <w:szCs w:val="24"/>
              </w:rPr>
            </w:pPr>
            <w:r>
              <w:t>5.00%</w:t>
            </w:r>
          </w:p>
        </w:tc>
      </w:tr>
      <w:tr w:rsidR="00CC569B" w14:paraId="3DE389E2" w14:textId="77777777" w:rsidTr="00CC569B">
        <w:trPr>
          <w:jc w:val="center"/>
        </w:trPr>
        <w:tc>
          <w:tcPr>
            <w:tcW w:w="4175" w:type="dxa"/>
          </w:tcPr>
          <w:p w14:paraId="5A6A6BB2" w14:textId="77777777" w:rsidR="00CC569B" w:rsidRDefault="00CC569B" w:rsidP="00CC569B">
            <w:pPr>
              <w:pStyle w:val="Tabletext"/>
              <w:jc w:val="center"/>
              <w:rPr>
                <w:szCs w:val="24"/>
              </w:rPr>
            </w:pPr>
            <w:r>
              <w:t>&gt; 0.001</w:t>
            </w:r>
          </w:p>
        </w:tc>
        <w:tc>
          <w:tcPr>
            <w:tcW w:w="3337" w:type="dxa"/>
          </w:tcPr>
          <w:p w14:paraId="3FB27FF4" w14:textId="77777777" w:rsidR="00CC569B" w:rsidRDefault="00CC569B" w:rsidP="00CC569B">
            <w:pPr>
              <w:pStyle w:val="Tabletext"/>
              <w:jc w:val="center"/>
              <w:rPr>
                <w:szCs w:val="24"/>
              </w:rPr>
            </w:pPr>
            <w:r>
              <w:t>1.00%</w:t>
            </w:r>
          </w:p>
        </w:tc>
      </w:tr>
      <w:tr w:rsidR="00CC569B" w14:paraId="14390D46" w14:textId="77777777" w:rsidTr="00CC569B">
        <w:trPr>
          <w:jc w:val="center"/>
        </w:trPr>
        <w:tc>
          <w:tcPr>
            <w:tcW w:w="4175" w:type="dxa"/>
          </w:tcPr>
          <w:p w14:paraId="5D2D7F90" w14:textId="77777777" w:rsidR="00CC569B" w:rsidRDefault="00CC569B" w:rsidP="00CC569B">
            <w:pPr>
              <w:pStyle w:val="Tabletext"/>
              <w:jc w:val="center"/>
              <w:rPr>
                <w:szCs w:val="24"/>
              </w:rPr>
            </w:pPr>
            <w:r>
              <w:t>&gt; 0.01</w:t>
            </w:r>
          </w:p>
        </w:tc>
        <w:tc>
          <w:tcPr>
            <w:tcW w:w="3337" w:type="dxa"/>
          </w:tcPr>
          <w:p w14:paraId="358396B2" w14:textId="77777777" w:rsidR="00CC569B" w:rsidRDefault="00CC569B" w:rsidP="00CC569B">
            <w:pPr>
              <w:pStyle w:val="Tabletext"/>
              <w:jc w:val="center"/>
              <w:rPr>
                <w:szCs w:val="24"/>
              </w:rPr>
            </w:pPr>
            <w:r>
              <w:t>0.50%</w:t>
            </w:r>
          </w:p>
        </w:tc>
      </w:tr>
      <w:tr w:rsidR="00CC569B" w14:paraId="0B02C1FF" w14:textId="77777777" w:rsidTr="00CC569B">
        <w:trPr>
          <w:jc w:val="center"/>
        </w:trPr>
        <w:tc>
          <w:tcPr>
            <w:tcW w:w="4175" w:type="dxa"/>
          </w:tcPr>
          <w:p w14:paraId="6BBEEB67" w14:textId="77777777" w:rsidR="00CC569B" w:rsidRDefault="00CC569B" w:rsidP="00CC569B">
            <w:pPr>
              <w:pStyle w:val="Tabletext"/>
              <w:jc w:val="center"/>
              <w:rPr>
                <w:szCs w:val="24"/>
              </w:rPr>
            </w:pPr>
            <w:r>
              <w:t>&gt; 0.1</w:t>
            </w:r>
          </w:p>
        </w:tc>
        <w:tc>
          <w:tcPr>
            <w:tcW w:w="3337" w:type="dxa"/>
          </w:tcPr>
          <w:p w14:paraId="1659B85F" w14:textId="77777777" w:rsidR="00CC569B" w:rsidRDefault="00CC569B" w:rsidP="00CC569B">
            <w:pPr>
              <w:pStyle w:val="Tabletext"/>
              <w:jc w:val="center"/>
              <w:rPr>
                <w:szCs w:val="24"/>
              </w:rPr>
            </w:pPr>
            <w:r>
              <w:t>0.05%</w:t>
            </w:r>
          </w:p>
        </w:tc>
      </w:tr>
      <w:tr w:rsidR="00CC569B" w14:paraId="6326BB52" w14:textId="77777777" w:rsidTr="00CC569B">
        <w:trPr>
          <w:jc w:val="center"/>
        </w:trPr>
        <w:tc>
          <w:tcPr>
            <w:tcW w:w="4175" w:type="dxa"/>
          </w:tcPr>
          <w:p w14:paraId="03D910EF" w14:textId="77777777" w:rsidR="00CC569B" w:rsidRDefault="00CC569B" w:rsidP="00CC569B">
            <w:pPr>
              <w:pStyle w:val="Tabletext"/>
              <w:jc w:val="center"/>
              <w:rPr>
                <w:szCs w:val="24"/>
              </w:rPr>
            </w:pPr>
            <w:r>
              <w:t>&gt; 0.3</w:t>
            </w:r>
          </w:p>
        </w:tc>
        <w:tc>
          <w:tcPr>
            <w:tcW w:w="3337" w:type="dxa"/>
          </w:tcPr>
          <w:p w14:paraId="396B4444" w14:textId="77777777" w:rsidR="00CC569B" w:rsidRDefault="00CC569B" w:rsidP="00CC569B">
            <w:pPr>
              <w:pStyle w:val="Tabletext"/>
              <w:jc w:val="center"/>
              <w:rPr>
                <w:szCs w:val="24"/>
              </w:rPr>
            </w:pPr>
            <w:r>
              <w:t>0.00%</w:t>
            </w:r>
          </w:p>
        </w:tc>
      </w:tr>
    </w:tbl>
    <w:p w14:paraId="5FED11BA" w14:textId="77777777" w:rsidR="00CC569B" w:rsidRDefault="00CC569B" w:rsidP="00E76A9C">
      <w:pPr>
        <w:jc w:val="both"/>
      </w:pPr>
      <w:r>
        <w:t>For other databases than the defined ones in this annex, the same error distribution must not be exceeded. For unknown data, a test set of at least 2 000 file pairs – preferably from complete subjective experiments – has to be taken for that statistics.</w:t>
      </w:r>
    </w:p>
    <w:p w14:paraId="5F84281A" w14:textId="3C672248" w:rsidR="00CC569B" w:rsidRDefault="003312F7" w:rsidP="00E76A9C">
      <w:pPr>
        <w:pStyle w:val="Heading2"/>
        <w:jc w:val="both"/>
      </w:pPr>
      <w:bookmarkStart w:id="98" w:name="_Toc288222491"/>
      <w:bookmarkStart w:id="99" w:name="_Toc288222951"/>
      <w:bookmarkStart w:id="100" w:name="_Toc289262640"/>
      <w:bookmarkStart w:id="101" w:name="_Toc295130647"/>
      <w:bookmarkStart w:id="102" w:name="_Toc295394488"/>
      <w:bookmarkStart w:id="103" w:name="_Toc297536474"/>
      <w:bookmarkStart w:id="104" w:name="_Toc400716268"/>
      <w:bookmarkStart w:id="105" w:name="_Toc400955759"/>
      <w:bookmarkStart w:id="106" w:name="_Toc408903971"/>
      <w:bookmarkStart w:id="107" w:name="_Toc412445384"/>
      <w:bookmarkStart w:id="108" w:name="_Toc512410712"/>
      <w:bookmarkStart w:id="109" w:name="_Toc514142730"/>
      <w:r>
        <w:t>B</w:t>
      </w:r>
      <w:r w:rsidR="00CC569B">
        <w:t>.</w:t>
      </w:r>
      <w:r>
        <w:t>3</w:t>
      </w:r>
      <w:r w:rsidR="00CC569B">
        <w:tab/>
        <w:t>Digital attachments</w:t>
      </w:r>
      <w:bookmarkEnd w:id="98"/>
      <w:bookmarkEnd w:id="99"/>
      <w:bookmarkEnd w:id="100"/>
      <w:bookmarkEnd w:id="101"/>
      <w:bookmarkEnd w:id="102"/>
      <w:bookmarkEnd w:id="103"/>
      <w:bookmarkEnd w:id="104"/>
      <w:bookmarkEnd w:id="105"/>
      <w:bookmarkEnd w:id="106"/>
      <w:bookmarkEnd w:id="107"/>
      <w:bookmarkEnd w:id="108"/>
      <w:bookmarkEnd w:id="109"/>
    </w:p>
    <w:p w14:paraId="6C0358F7" w14:textId="2C2BDC8E" w:rsidR="00CC569B" w:rsidRDefault="00CC569B" w:rsidP="00E76A9C">
      <w:pPr>
        <w:jc w:val="both"/>
      </w:pPr>
      <w:r>
        <w:t xml:space="preserve">Processing scripts </w:t>
      </w:r>
      <w:r w:rsidR="00C54E45">
        <w:t xml:space="preserve">(.bat files) </w:t>
      </w:r>
      <w:r>
        <w:t>are contained in an electronic attachment to this Recommendation</w:t>
      </w:r>
      <w:r w:rsidR="003312F7">
        <w:t xml:space="preserve"> as</w:t>
      </w:r>
      <w:r>
        <w:t>:</w:t>
      </w:r>
    </w:p>
    <w:p w14:paraId="5778EEAB" w14:textId="0468A0BD" w:rsidR="00CC569B" w:rsidRDefault="00CC569B" w:rsidP="00E76A9C">
      <w:pPr>
        <w:pStyle w:val="enumlev1"/>
        <w:jc w:val="both"/>
        <w:rPr>
          <w:lang w:eastAsia="de-DE"/>
        </w:rPr>
      </w:pPr>
      <w:r>
        <w:rPr>
          <w:lang w:eastAsia="de-DE"/>
        </w:rPr>
        <w:t>•</w:t>
      </w:r>
      <w:r>
        <w:rPr>
          <w:lang w:eastAsia="de-DE"/>
        </w:rPr>
        <w:tab/>
        <w:t>"</w:t>
      </w:r>
      <w:r w:rsidR="003312F7" w:rsidRPr="003312F7">
        <w:rPr>
          <w:lang w:eastAsia="de-DE"/>
        </w:rPr>
        <w:t>Test_1.bat</w:t>
      </w:r>
      <w:r>
        <w:rPr>
          <w:lang w:eastAsia="de-DE"/>
        </w:rPr>
        <w:t>"</w:t>
      </w:r>
      <w:r w:rsidR="00372B4F">
        <w:rPr>
          <w:lang w:eastAsia="de-DE"/>
        </w:rPr>
        <w:t>;</w:t>
      </w:r>
    </w:p>
    <w:p w14:paraId="13F61A21" w14:textId="525CE175" w:rsidR="003312F7" w:rsidRDefault="003312F7" w:rsidP="00E76A9C">
      <w:pPr>
        <w:pStyle w:val="enumlev1"/>
        <w:jc w:val="both"/>
        <w:rPr>
          <w:lang w:eastAsia="de-DE"/>
        </w:rPr>
      </w:pPr>
      <w:r>
        <w:rPr>
          <w:lang w:eastAsia="de-DE"/>
        </w:rPr>
        <w:t>•</w:t>
      </w:r>
      <w:r>
        <w:rPr>
          <w:lang w:eastAsia="de-DE"/>
        </w:rPr>
        <w:tab/>
        <w:t>"</w:t>
      </w:r>
      <w:r w:rsidRPr="003312F7">
        <w:rPr>
          <w:lang w:eastAsia="de-DE"/>
        </w:rPr>
        <w:t>Test_</w:t>
      </w:r>
      <w:r>
        <w:rPr>
          <w:lang w:eastAsia="de-DE"/>
        </w:rPr>
        <w:t>2</w:t>
      </w:r>
      <w:r w:rsidRPr="003312F7">
        <w:rPr>
          <w:lang w:eastAsia="de-DE"/>
        </w:rPr>
        <w:t>.bat</w:t>
      </w:r>
      <w:r>
        <w:rPr>
          <w:lang w:eastAsia="de-DE"/>
        </w:rPr>
        <w:t>"</w:t>
      </w:r>
      <w:r w:rsidR="00372B4F">
        <w:rPr>
          <w:lang w:eastAsia="de-DE"/>
        </w:rPr>
        <w:t>;</w:t>
      </w:r>
    </w:p>
    <w:p w14:paraId="0FC2BC36" w14:textId="0070E08F" w:rsidR="003312F7" w:rsidRDefault="003312F7" w:rsidP="00E76A9C">
      <w:pPr>
        <w:pStyle w:val="enumlev1"/>
        <w:jc w:val="both"/>
        <w:rPr>
          <w:lang w:eastAsia="de-DE"/>
        </w:rPr>
      </w:pPr>
      <w:r>
        <w:rPr>
          <w:lang w:eastAsia="de-DE"/>
        </w:rPr>
        <w:t>•</w:t>
      </w:r>
      <w:r>
        <w:rPr>
          <w:lang w:eastAsia="de-DE"/>
        </w:rPr>
        <w:tab/>
        <w:t>"</w:t>
      </w:r>
      <w:r w:rsidRPr="003312F7">
        <w:rPr>
          <w:lang w:eastAsia="de-DE"/>
        </w:rPr>
        <w:t>Test_</w:t>
      </w:r>
      <w:r>
        <w:rPr>
          <w:lang w:eastAsia="de-DE"/>
        </w:rPr>
        <w:t>3</w:t>
      </w:r>
      <w:r w:rsidRPr="003312F7">
        <w:rPr>
          <w:lang w:eastAsia="de-DE"/>
        </w:rPr>
        <w:t>.bat</w:t>
      </w:r>
      <w:r>
        <w:rPr>
          <w:lang w:eastAsia="de-DE"/>
        </w:rPr>
        <w:t>".</w:t>
      </w:r>
    </w:p>
    <w:p w14:paraId="55690889" w14:textId="77777777" w:rsidR="00CC569B" w:rsidRDefault="00CC569B" w:rsidP="00E76A9C">
      <w:pPr>
        <w:jc w:val="both"/>
        <w:rPr>
          <w:lang w:eastAsia="de-DE"/>
        </w:rPr>
      </w:pPr>
      <w:r>
        <w:rPr>
          <w:lang w:eastAsia="de-DE"/>
        </w:rPr>
        <w:t>Enclosed speech material</w:t>
      </w:r>
      <w:r>
        <w:t xml:space="preserve"> is contained in an electronic attachment to this Recommendation in the following folders:</w:t>
      </w:r>
    </w:p>
    <w:p w14:paraId="3979579F" w14:textId="2770965D" w:rsidR="00CC569B" w:rsidRDefault="00CC569B" w:rsidP="00E76A9C">
      <w:pPr>
        <w:pStyle w:val="enumlev1"/>
        <w:jc w:val="both"/>
        <w:rPr>
          <w:lang w:eastAsia="de-DE"/>
        </w:rPr>
      </w:pPr>
      <w:r>
        <w:rPr>
          <w:lang w:eastAsia="de-DE"/>
        </w:rPr>
        <w:t>•</w:t>
      </w:r>
      <w:r>
        <w:rPr>
          <w:lang w:eastAsia="de-DE"/>
        </w:rPr>
        <w:tab/>
        <w:t>"</w:t>
      </w:r>
      <w:r w:rsidR="003312F7" w:rsidRPr="003312F7">
        <w:rPr>
          <w:lang w:eastAsia="de-DE"/>
        </w:rPr>
        <w:t>PAMD_TUB_P501</w:t>
      </w:r>
      <w:r>
        <w:rPr>
          <w:lang w:eastAsia="de-DE"/>
        </w:rPr>
        <w:t>"</w:t>
      </w:r>
      <w:r w:rsidR="00372B4F">
        <w:rPr>
          <w:lang w:eastAsia="de-DE"/>
        </w:rPr>
        <w:t>;</w:t>
      </w:r>
    </w:p>
    <w:p w14:paraId="7F233F28" w14:textId="2156B571" w:rsidR="00CC569B" w:rsidRDefault="00CC569B" w:rsidP="00E76A9C">
      <w:pPr>
        <w:pStyle w:val="enumlev1"/>
        <w:jc w:val="both"/>
        <w:rPr>
          <w:lang w:eastAsia="de-DE"/>
        </w:rPr>
      </w:pPr>
      <w:r>
        <w:rPr>
          <w:lang w:eastAsia="de-DE"/>
        </w:rPr>
        <w:t>•</w:t>
      </w:r>
      <w:r>
        <w:rPr>
          <w:lang w:eastAsia="de-DE"/>
        </w:rPr>
        <w:tab/>
        <w:t>"SWB_SQ_48k"</w:t>
      </w:r>
      <w:r w:rsidR="00372B4F">
        <w:rPr>
          <w:lang w:eastAsia="de-DE"/>
        </w:rPr>
        <w:t>;</w:t>
      </w:r>
    </w:p>
    <w:p w14:paraId="063ADDEB" w14:textId="1776055F" w:rsidR="00CC569B" w:rsidRDefault="00CC569B" w:rsidP="00E76A9C">
      <w:pPr>
        <w:pStyle w:val="enumlev1"/>
        <w:jc w:val="both"/>
        <w:rPr>
          <w:lang w:eastAsia="de-DE"/>
        </w:rPr>
      </w:pPr>
      <w:r>
        <w:rPr>
          <w:lang w:eastAsia="de-DE"/>
        </w:rPr>
        <w:t>•</w:t>
      </w:r>
      <w:r>
        <w:rPr>
          <w:lang w:eastAsia="de-DE"/>
        </w:rPr>
        <w:tab/>
        <w:t>"SWB_TNO_601".</w:t>
      </w:r>
    </w:p>
    <w:p w14:paraId="2AFCF91D" w14:textId="77777777" w:rsidR="00D73535" w:rsidRPr="00EC2A42" w:rsidRDefault="00D73535" w:rsidP="002F45E1"/>
    <w:p w14:paraId="093D69A3" w14:textId="4747924C" w:rsidR="002F45E1" w:rsidRPr="00EC2A42" w:rsidRDefault="002F45E1" w:rsidP="002F45E1">
      <w:pPr>
        <w:pStyle w:val="AppendixNotitle"/>
        <w:pageBreakBefore/>
      </w:pPr>
      <w:r w:rsidRPr="00EC2A42">
        <w:lastRenderedPageBreak/>
        <w:t>Appendix I</w:t>
      </w:r>
      <w:r w:rsidRPr="00EC2A42">
        <w:br/>
      </w:r>
      <w:r w:rsidRPr="00EC2A42">
        <w:br/>
      </w:r>
      <w:r w:rsidR="00A95E7C">
        <w:t>Reporting of the performance results for the model algorithms</w:t>
      </w:r>
      <w:r w:rsidR="00A95E7C">
        <w:br/>
        <w:t xml:space="preserve">based on the </w:t>
      </w:r>
      <w:r w:rsidR="00C522DC">
        <w:t>correlation, RMSE and RMSE</w:t>
      </w:r>
      <w:r w:rsidR="00A95E7C">
        <w:t>* metric</w:t>
      </w:r>
      <w:r w:rsidR="00C522DC">
        <w:t>s</w:t>
      </w:r>
    </w:p>
    <w:p w14:paraId="140A4BC3" w14:textId="77777777" w:rsidR="002F45E1" w:rsidRPr="00EC2A42" w:rsidRDefault="002F45E1" w:rsidP="002F45E1">
      <w:pPr>
        <w:jc w:val="center"/>
      </w:pPr>
      <w:r w:rsidRPr="00EC2A42">
        <w:t>(This appendix does not form an integral part of this Recommendation.)</w:t>
      </w:r>
      <w:r w:rsidRPr="00EC2A42">
        <w:br/>
      </w:r>
    </w:p>
    <w:p w14:paraId="278D3E65" w14:textId="1BDB186F" w:rsidR="008F6E8D" w:rsidRPr="00C522DC" w:rsidRDefault="008F6E8D" w:rsidP="00E76A9C">
      <w:pPr>
        <w:jc w:val="both"/>
      </w:pPr>
      <w:r w:rsidRPr="00C522DC">
        <w:t>Table I.1 shows the performance numbers of the model</w:t>
      </w:r>
      <w:r w:rsidR="00AA2F51">
        <w:t>s described in this Recommendation</w:t>
      </w:r>
      <w:r w:rsidRPr="00C522DC">
        <w:t xml:space="preserve"> for each of the four dimensions in the 8 databases that are</w:t>
      </w:r>
      <w:r w:rsidR="000F47AA" w:rsidRPr="00C522DC">
        <w:t xml:space="preserve"> currently</w:t>
      </w:r>
      <w:r w:rsidRPr="00C522DC">
        <w:t xml:space="preserve"> available: 5 </w:t>
      </w:r>
      <w:r w:rsidR="00E2275A" w:rsidRPr="00C522DC">
        <w:t xml:space="preserve">were </w:t>
      </w:r>
      <w:r w:rsidRPr="00C522DC">
        <w:t xml:space="preserve">used in </w:t>
      </w:r>
      <w:r w:rsidR="00E2275A" w:rsidRPr="00C522DC">
        <w:t xml:space="preserve">the </w:t>
      </w:r>
      <w:r w:rsidRPr="00C522DC">
        <w:t>training</w:t>
      </w:r>
      <w:r w:rsidR="00E2275A" w:rsidRPr="00C522DC">
        <w:t xml:space="preserve"> phase and 3 were used in the validation phase.</w:t>
      </w:r>
      <w:r w:rsidR="003668E1" w:rsidRPr="00C522DC">
        <w:t xml:space="preserve"> </w:t>
      </w:r>
    </w:p>
    <w:p w14:paraId="709F5FC3" w14:textId="77777777" w:rsidR="008F6E8D" w:rsidRPr="00C522DC" w:rsidRDefault="008F6E8D" w:rsidP="008F6E8D">
      <w:pPr>
        <w:overflowPunct w:val="0"/>
        <w:autoSpaceDE w:val="0"/>
        <w:autoSpaceDN w:val="0"/>
        <w:adjustRightInd w:val="0"/>
        <w:ind w:left="567" w:hanging="567"/>
        <w:textAlignment w:val="baseline"/>
      </w:pPr>
    </w:p>
    <w:tbl>
      <w:tblPr>
        <w:tblW w:w="10208" w:type="dxa"/>
        <w:tblLook w:val="04A0" w:firstRow="1" w:lastRow="0" w:firstColumn="1" w:lastColumn="0" w:noHBand="0" w:noVBand="1"/>
      </w:tblPr>
      <w:tblGrid>
        <w:gridCol w:w="1820"/>
        <w:gridCol w:w="661"/>
        <w:gridCol w:w="680"/>
        <w:gridCol w:w="767"/>
        <w:gridCol w:w="661"/>
        <w:gridCol w:w="680"/>
        <w:gridCol w:w="767"/>
        <w:gridCol w:w="617"/>
        <w:gridCol w:w="680"/>
        <w:gridCol w:w="767"/>
        <w:gridCol w:w="661"/>
        <w:gridCol w:w="680"/>
        <w:gridCol w:w="767"/>
      </w:tblGrid>
      <w:tr w:rsidR="008F6E8D" w:rsidRPr="00C522DC" w14:paraId="6DC2AE98" w14:textId="77777777" w:rsidTr="00D94728">
        <w:trPr>
          <w:trHeight w:val="260"/>
        </w:trPr>
        <w:tc>
          <w:tcPr>
            <w:tcW w:w="1820" w:type="dxa"/>
            <w:tcBorders>
              <w:top w:val="single" w:sz="4" w:space="0" w:color="auto"/>
              <w:left w:val="single" w:sz="4" w:space="0" w:color="auto"/>
              <w:bottom w:val="nil"/>
              <w:right w:val="single" w:sz="4" w:space="0" w:color="auto"/>
            </w:tcBorders>
            <w:shd w:val="clear" w:color="auto" w:fill="auto"/>
            <w:noWrap/>
            <w:vAlign w:val="bottom"/>
            <w:hideMark/>
          </w:tcPr>
          <w:p w14:paraId="2D29A916" w14:textId="77777777" w:rsidR="008F6E8D" w:rsidRPr="00C522DC" w:rsidRDefault="008F6E8D" w:rsidP="00D94728">
            <w:pPr>
              <w:spacing w:before="0"/>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Database</w:t>
            </w:r>
          </w:p>
        </w:tc>
        <w:tc>
          <w:tcPr>
            <w:tcW w:w="2108"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3248848A" w14:textId="201DEE65"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-N</w:t>
            </w:r>
          </w:p>
        </w:tc>
        <w:tc>
          <w:tcPr>
            <w:tcW w:w="2108" w:type="dxa"/>
            <w:gridSpan w:val="3"/>
            <w:tcBorders>
              <w:top w:val="single" w:sz="4" w:space="0" w:color="auto"/>
              <w:left w:val="nil"/>
              <w:bottom w:val="single" w:sz="4" w:space="0" w:color="auto"/>
              <w:right w:val="nil"/>
            </w:tcBorders>
            <w:shd w:val="clear" w:color="auto" w:fill="auto"/>
            <w:noWrap/>
            <w:vAlign w:val="bottom"/>
            <w:hideMark/>
          </w:tcPr>
          <w:p w14:paraId="231169EB" w14:textId="374F6F3C"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-D</w:t>
            </w:r>
          </w:p>
        </w:tc>
        <w:tc>
          <w:tcPr>
            <w:tcW w:w="2064"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E19104B" w14:textId="7D6B22C4"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-C</w:t>
            </w:r>
          </w:p>
        </w:tc>
        <w:tc>
          <w:tcPr>
            <w:tcW w:w="2108"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29308BA" w14:textId="1221AE78"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-L</w:t>
            </w:r>
          </w:p>
        </w:tc>
      </w:tr>
      <w:tr w:rsidR="008F6E8D" w:rsidRPr="00C522DC" w14:paraId="0BFF4300" w14:textId="77777777" w:rsidTr="00D94728">
        <w:trPr>
          <w:trHeight w:val="260"/>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60B0F40E" w14:textId="77777777" w:rsidR="008F6E8D" w:rsidRPr="00C522DC" w:rsidRDefault="008F6E8D" w:rsidP="00D94728">
            <w:pPr>
              <w:spacing w:before="0"/>
              <w:rPr>
                <w:rFonts w:ascii="Arial" w:eastAsia="Times New Roman" w:hAnsi="Arial" w:cs="Arial"/>
                <w:b/>
                <w:bCs/>
                <w:i/>
                <w:iCs/>
                <w:color w:val="000000"/>
                <w:sz w:val="16"/>
                <w:szCs w:val="16"/>
                <w:lang w:val="en-US" w:eastAsia="en-US"/>
              </w:rPr>
            </w:pPr>
            <w:r w:rsidRPr="00C522DC">
              <w:rPr>
                <w:rFonts w:ascii="Arial" w:eastAsia="Times New Roman" w:hAnsi="Arial" w:cs="Arial"/>
                <w:b/>
                <w:bCs/>
                <w:i/>
                <w:iCs/>
                <w:color w:val="000000"/>
                <w:sz w:val="16"/>
                <w:szCs w:val="16"/>
                <w:lang w:val="en-US" w:eastAsia="en-US"/>
              </w:rPr>
              <w:t>Validation</w:t>
            </w:r>
          </w:p>
        </w:tc>
        <w:tc>
          <w:tcPr>
            <w:tcW w:w="661" w:type="dxa"/>
            <w:tcBorders>
              <w:top w:val="single" w:sz="4" w:space="0" w:color="auto"/>
              <w:left w:val="nil"/>
              <w:bottom w:val="nil"/>
              <w:right w:val="nil"/>
            </w:tcBorders>
            <w:shd w:val="clear" w:color="auto" w:fill="auto"/>
            <w:noWrap/>
            <w:vAlign w:val="bottom"/>
            <w:hideMark/>
          </w:tcPr>
          <w:p w14:paraId="7F8F9A38"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single" w:sz="4" w:space="0" w:color="auto"/>
              <w:left w:val="nil"/>
              <w:bottom w:val="nil"/>
              <w:right w:val="nil"/>
            </w:tcBorders>
            <w:shd w:val="clear" w:color="auto" w:fill="auto"/>
            <w:noWrap/>
            <w:vAlign w:val="bottom"/>
            <w:hideMark/>
          </w:tcPr>
          <w:p w14:paraId="431C4E14"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single" w:sz="4" w:space="0" w:color="auto"/>
              <w:left w:val="nil"/>
              <w:bottom w:val="nil"/>
              <w:right w:val="single" w:sz="4" w:space="0" w:color="auto"/>
            </w:tcBorders>
            <w:shd w:val="clear" w:color="auto" w:fill="auto"/>
            <w:noWrap/>
            <w:vAlign w:val="bottom"/>
            <w:hideMark/>
          </w:tcPr>
          <w:p w14:paraId="2FEC394C"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661" w:type="dxa"/>
            <w:tcBorders>
              <w:top w:val="single" w:sz="4" w:space="0" w:color="auto"/>
              <w:left w:val="nil"/>
              <w:bottom w:val="nil"/>
              <w:right w:val="nil"/>
            </w:tcBorders>
            <w:shd w:val="clear" w:color="auto" w:fill="auto"/>
            <w:noWrap/>
            <w:vAlign w:val="bottom"/>
            <w:hideMark/>
          </w:tcPr>
          <w:p w14:paraId="145EDEE5"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single" w:sz="4" w:space="0" w:color="auto"/>
              <w:left w:val="nil"/>
              <w:bottom w:val="nil"/>
              <w:right w:val="nil"/>
            </w:tcBorders>
            <w:shd w:val="clear" w:color="auto" w:fill="auto"/>
            <w:noWrap/>
            <w:vAlign w:val="bottom"/>
            <w:hideMark/>
          </w:tcPr>
          <w:p w14:paraId="1699B935"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single" w:sz="4" w:space="0" w:color="auto"/>
              <w:left w:val="nil"/>
              <w:bottom w:val="nil"/>
              <w:right w:val="single" w:sz="4" w:space="0" w:color="auto"/>
            </w:tcBorders>
            <w:shd w:val="clear" w:color="auto" w:fill="auto"/>
            <w:noWrap/>
            <w:vAlign w:val="bottom"/>
            <w:hideMark/>
          </w:tcPr>
          <w:p w14:paraId="2262DAB5"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617" w:type="dxa"/>
            <w:tcBorders>
              <w:top w:val="single" w:sz="4" w:space="0" w:color="auto"/>
              <w:left w:val="nil"/>
              <w:bottom w:val="nil"/>
              <w:right w:val="nil"/>
            </w:tcBorders>
            <w:shd w:val="clear" w:color="auto" w:fill="auto"/>
            <w:noWrap/>
            <w:vAlign w:val="bottom"/>
            <w:hideMark/>
          </w:tcPr>
          <w:p w14:paraId="456D0AED"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single" w:sz="4" w:space="0" w:color="auto"/>
              <w:left w:val="nil"/>
              <w:bottom w:val="nil"/>
              <w:right w:val="nil"/>
            </w:tcBorders>
            <w:shd w:val="clear" w:color="auto" w:fill="auto"/>
            <w:noWrap/>
            <w:vAlign w:val="bottom"/>
            <w:hideMark/>
          </w:tcPr>
          <w:p w14:paraId="0348F048"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single" w:sz="4" w:space="0" w:color="auto"/>
              <w:left w:val="nil"/>
              <w:bottom w:val="nil"/>
              <w:right w:val="single" w:sz="4" w:space="0" w:color="auto"/>
            </w:tcBorders>
            <w:shd w:val="clear" w:color="auto" w:fill="auto"/>
            <w:noWrap/>
            <w:vAlign w:val="bottom"/>
            <w:hideMark/>
          </w:tcPr>
          <w:p w14:paraId="2036A6E4"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661" w:type="dxa"/>
            <w:tcBorders>
              <w:top w:val="single" w:sz="4" w:space="0" w:color="auto"/>
              <w:left w:val="nil"/>
              <w:bottom w:val="nil"/>
              <w:right w:val="nil"/>
            </w:tcBorders>
            <w:shd w:val="clear" w:color="auto" w:fill="auto"/>
            <w:noWrap/>
            <w:vAlign w:val="bottom"/>
            <w:hideMark/>
          </w:tcPr>
          <w:p w14:paraId="6BAD3D2A"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single" w:sz="4" w:space="0" w:color="auto"/>
              <w:left w:val="nil"/>
              <w:bottom w:val="nil"/>
              <w:right w:val="nil"/>
            </w:tcBorders>
            <w:shd w:val="clear" w:color="auto" w:fill="auto"/>
            <w:noWrap/>
            <w:vAlign w:val="bottom"/>
            <w:hideMark/>
          </w:tcPr>
          <w:p w14:paraId="701057E9"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single" w:sz="4" w:space="0" w:color="auto"/>
              <w:left w:val="nil"/>
              <w:bottom w:val="nil"/>
              <w:right w:val="single" w:sz="4" w:space="0" w:color="auto"/>
            </w:tcBorders>
            <w:shd w:val="clear" w:color="auto" w:fill="auto"/>
            <w:noWrap/>
            <w:vAlign w:val="bottom"/>
            <w:hideMark/>
          </w:tcPr>
          <w:p w14:paraId="3E0975F6"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r>
      <w:tr w:rsidR="00E2275A" w:rsidRPr="00C522DC" w14:paraId="718434B3" w14:textId="77777777" w:rsidTr="00D94728">
        <w:trPr>
          <w:trHeight w:val="250"/>
        </w:trPr>
        <w:tc>
          <w:tcPr>
            <w:tcW w:w="1820" w:type="dxa"/>
            <w:tcBorders>
              <w:top w:val="nil"/>
              <w:left w:val="single" w:sz="4" w:space="0" w:color="auto"/>
              <w:bottom w:val="nil"/>
              <w:right w:val="single" w:sz="4" w:space="0" w:color="auto"/>
            </w:tcBorders>
            <w:shd w:val="clear" w:color="auto" w:fill="auto"/>
            <w:noWrap/>
            <w:vAlign w:val="bottom"/>
            <w:hideMark/>
          </w:tcPr>
          <w:p w14:paraId="5ABA084D"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PAMD_SwissQual2</w:t>
            </w:r>
          </w:p>
        </w:tc>
        <w:tc>
          <w:tcPr>
            <w:tcW w:w="661" w:type="dxa"/>
            <w:tcBorders>
              <w:top w:val="nil"/>
              <w:left w:val="nil"/>
              <w:bottom w:val="nil"/>
              <w:right w:val="nil"/>
            </w:tcBorders>
            <w:shd w:val="clear" w:color="auto" w:fill="auto"/>
            <w:noWrap/>
            <w:vAlign w:val="bottom"/>
            <w:hideMark/>
          </w:tcPr>
          <w:p w14:paraId="2DDD5FBE"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0.910</w:t>
            </w:r>
          </w:p>
        </w:tc>
        <w:tc>
          <w:tcPr>
            <w:tcW w:w="680" w:type="dxa"/>
            <w:tcBorders>
              <w:top w:val="nil"/>
              <w:left w:val="nil"/>
              <w:bottom w:val="nil"/>
              <w:right w:val="nil"/>
            </w:tcBorders>
            <w:shd w:val="clear" w:color="auto" w:fill="auto"/>
            <w:noWrap/>
            <w:vAlign w:val="bottom"/>
            <w:hideMark/>
          </w:tcPr>
          <w:p w14:paraId="20AED9D6"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0.504</w:t>
            </w:r>
          </w:p>
        </w:tc>
        <w:tc>
          <w:tcPr>
            <w:tcW w:w="767" w:type="dxa"/>
            <w:tcBorders>
              <w:top w:val="nil"/>
              <w:left w:val="nil"/>
              <w:bottom w:val="nil"/>
              <w:right w:val="single" w:sz="4" w:space="0" w:color="auto"/>
            </w:tcBorders>
            <w:shd w:val="clear" w:color="auto" w:fill="auto"/>
            <w:noWrap/>
            <w:vAlign w:val="bottom"/>
            <w:hideMark/>
          </w:tcPr>
          <w:p w14:paraId="6EE7AA1A"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0.364</w:t>
            </w:r>
          </w:p>
        </w:tc>
        <w:tc>
          <w:tcPr>
            <w:tcW w:w="661" w:type="dxa"/>
            <w:tcBorders>
              <w:top w:val="nil"/>
              <w:left w:val="nil"/>
              <w:bottom w:val="nil"/>
              <w:right w:val="nil"/>
            </w:tcBorders>
            <w:shd w:val="clear" w:color="auto" w:fill="auto"/>
            <w:noWrap/>
            <w:vAlign w:val="bottom"/>
            <w:hideMark/>
          </w:tcPr>
          <w:p w14:paraId="48758C99" w14:textId="123C964B"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0.669</w:t>
            </w:r>
          </w:p>
        </w:tc>
        <w:tc>
          <w:tcPr>
            <w:tcW w:w="680" w:type="dxa"/>
            <w:tcBorders>
              <w:top w:val="nil"/>
              <w:left w:val="nil"/>
              <w:bottom w:val="nil"/>
              <w:right w:val="nil"/>
            </w:tcBorders>
            <w:shd w:val="clear" w:color="auto" w:fill="auto"/>
            <w:noWrap/>
            <w:vAlign w:val="bottom"/>
            <w:hideMark/>
          </w:tcPr>
          <w:p w14:paraId="609FABD0" w14:textId="780F5243"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0.731</w:t>
            </w:r>
          </w:p>
        </w:tc>
        <w:tc>
          <w:tcPr>
            <w:tcW w:w="767" w:type="dxa"/>
            <w:tcBorders>
              <w:top w:val="nil"/>
              <w:left w:val="nil"/>
              <w:bottom w:val="nil"/>
              <w:right w:val="single" w:sz="4" w:space="0" w:color="auto"/>
            </w:tcBorders>
            <w:shd w:val="clear" w:color="auto" w:fill="auto"/>
            <w:noWrap/>
            <w:vAlign w:val="bottom"/>
            <w:hideMark/>
          </w:tcPr>
          <w:p w14:paraId="688F296B" w14:textId="1EB05447" w:rsidR="00E2275A" w:rsidRPr="00C522DC" w:rsidRDefault="00E2275A" w:rsidP="00E2275A">
            <w:pPr>
              <w:spacing w:before="0"/>
              <w:jc w:val="center"/>
              <w:rPr>
                <w:rFonts w:ascii="Arial" w:eastAsia="Times New Roman" w:hAnsi="Arial" w:cs="Arial"/>
                <w:sz w:val="16"/>
                <w:szCs w:val="16"/>
                <w:lang w:val="en-US" w:eastAsia="en-US"/>
              </w:rPr>
            </w:pPr>
            <w:r w:rsidRPr="00C522DC">
              <w:rPr>
                <w:rFonts w:ascii="Arial" w:eastAsia="Times New Roman" w:hAnsi="Arial" w:cs="Arial"/>
                <w:sz w:val="16"/>
                <w:szCs w:val="16"/>
                <w:lang w:val="en-US" w:eastAsia="en-US"/>
              </w:rPr>
              <w:t>0.579</w:t>
            </w:r>
          </w:p>
        </w:tc>
        <w:tc>
          <w:tcPr>
            <w:tcW w:w="617" w:type="dxa"/>
            <w:tcBorders>
              <w:top w:val="nil"/>
              <w:left w:val="nil"/>
              <w:bottom w:val="nil"/>
              <w:right w:val="nil"/>
            </w:tcBorders>
            <w:shd w:val="clear" w:color="auto" w:fill="auto"/>
            <w:noWrap/>
            <w:vAlign w:val="bottom"/>
            <w:hideMark/>
          </w:tcPr>
          <w:p w14:paraId="5734EC6D"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0.858</w:t>
            </w:r>
          </w:p>
        </w:tc>
        <w:tc>
          <w:tcPr>
            <w:tcW w:w="680" w:type="dxa"/>
            <w:tcBorders>
              <w:top w:val="nil"/>
              <w:left w:val="nil"/>
              <w:bottom w:val="nil"/>
              <w:right w:val="nil"/>
            </w:tcBorders>
            <w:shd w:val="clear" w:color="auto" w:fill="auto"/>
            <w:noWrap/>
            <w:vAlign w:val="bottom"/>
            <w:hideMark/>
          </w:tcPr>
          <w:p w14:paraId="245EE36C"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0.449</w:t>
            </w:r>
          </w:p>
        </w:tc>
        <w:tc>
          <w:tcPr>
            <w:tcW w:w="767" w:type="dxa"/>
            <w:tcBorders>
              <w:top w:val="nil"/>
              <w:left w:val="nil"/>
              <w:bottom w:val="nil"/>
              <w:right w:val="single" w:sz="4" w:space="0" w:color="auto"/>
            </w:tcBorders>
            <w:shd w:val="clear" w:color="auto" w:fill="auto"/>
            <w:noWrap/>
            <w:vAlign w:val="bottom"/>
            <w:hideMark/>
          </w:tcPr>
          <w:p w14:paraId="67476732"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0.300</w:t>
            </w:r>
          </w:p>
        </w:tc>
        <w:tc>
          <w:tcPr>
            <w:tcW w:w="661" w:type="dxa"/>
            <w:tcBorders>
              <w:top w:val="nil"/>
              <w:left w:val="nil"/>
              <w:bottom w:val="nil"/>
              <w:right w:val="nil"/>
            </w:tcBorders>
            <w:shd w:val="clear" w:color="auto" w:fill="auto"/>
            <w:noWrap/>
            <w:vAlign w:val="bottom"/>
            <w:hideMark/>
          </w:tcPr>
          <w:p w14:paraId="394ED583"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0.483</w:t>
            </w:r>
          </w:p>
        </w:tc>
        <w:tc>
          <w:tcPr>
            <w:tcW w:w="680" w:type="dxa"/>
            <w:tcBorders>
              <w:top w:val="nil"/>
              <w:left w:val="nil"/>
              <w:bottom w:val="nil"/>
              <w:right w:val="nil"/>
            </w:tcBorders>
            <w:shd w:val="clear" w:color="auto" w:fill="auto"/>
            <w:noWrap/>
            <w:vAlign w:val="bottom"/>
            <w:hideMark/>
          </w:tcPr>
          <w:p w14:paraId="2061CF1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0.307</w:t>
            </w:r>
          </w:p>
        </w:tc>
        <w:tc>
          <w:tcPr>
            <w:tcW w:w="767" w:type="dxa"/>
            <w:tcBorders>
              <w:top w:val="nil"/>
              <w:left w:val="nil"/>
              <w:bottom w:val="nil"/>
              <w:right w:val="single" w:sz="4" w:space="0" w:color="auto"/>
            </w:tcBorders>
            <w:shd w:val="clear" w:color="auto" w:fill="auto"/>
            <w:noWrap/>
            <w:vAlign w:val="bottom"/>
            <w:hideMark/>
          </w:tcPr>
          <w:p w14:paraId="635290A7"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0.167</w:t>
            </w:r>
          </w:p>
        </w:tc>
      </w:tr>
      <w:tr w:rsidR="00E2275A" w:rsidRPr="00C522DC" w14:paraId="3B1FC33D" w14:textId="77777777" w:rsidTr="00D94728">
        <w:trPr>
          <w:trHeight w:val="250"/>
        </w:trPr>
        <w:tc>
          <w:tcPr>
            <w:tcW w:w="1820" w:type="dxa"/>
            <w:tcBorders>
              <w:top w:val="nil"/>
              <w:left w:val="single" w:sz="4" w:space="0" w:color="auto"/>
              <w:bottom w:val="nil"/>
              <w:right w:val="single" w:sz="4" w:space="0" w:color="auto"/>
            </w:tcBorders>
            <w:shd w:val="clear" w:color="auto" w:fill="auto"/>
            <w:noWrap/>
            <w:vAlign w:val="bottom"/>
            <w:hideMark/>
          </w:tcPr>
          <w:p w14:paraId="77E6B5A7"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PAMD_TUB1val</w:t>
            </w:r>
          </w:p>
        </w:tc>
        <w:tc>
          <w:tcPr>
            <w:tcW w:w="661" w:type="dxa"/>
            <w:tcBorders>
              <w:top w:val="nil"/>
              <w:left w:val="nil"/>
              <w:bottom w:val="nil"/>
              <w:right w:val="nil"/>
            </w:tcBorders>
            <w:shd w:val="clear" w:color="auto" w:fill="auto"/>
            <w:noWrap/>
            <w:vAlign w:val="bottom"/>
            <w:hideMark/>
          </w:tcPr>
          <w:p w14:paraId="68D3C6F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0.905</w:t>
            </w:r>
          </w:p>
        </w:tc>
        <w:tc>
          <w:tcPr>
            <w:tcW w:w="680" w:type="dxa"/>
            <w:tcBorders>
              <w:top w:val="nil"/>
              <w:left w:val="nil"/>
              <w:bottom w:val="nil"/>
              <w:right w:val="nil"/>
            </w:tcBorders>
            <w:shd w:val="clear" w:color="auto" w:fill="auto"/>
            <w:noWrap/>
            <w:vAlign w:val="bottom"/>
            <w:hideMark/>
          </w:tcPr>
          <w:p w14:paraId="1F850950"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0.396</w:t>
            </w:r>
          </w:p>
        </w:tc>
        <w:tc>
          <w:tcPr>
            <w:tcW w:w="767" w:type="dxa"/>
            <w:tcBorders>
              <w:top w:val="nil"/>
              <w:left w:val="nil"/>
              <w:bottom w:val="nil"/>
              <w:right w:val="single" w:sz="4" w:space="0" w:color="auto"/>
            </w:tcBorders>
            <w:shd w:val="clear" w:color="auto" w:fill="auto"/>
            <w:noWrap/>
            <w:vAlign w:val="bottom"/>
            <w:hideMark/>
          </w:tcPr>
          <w:p w14:paraId="4DC30725"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0.275</w:t>
            </w:r>
          </w:p>
        </w:tc>
        <w:tc>
          <w:tcPr>
            <w:tcW w:w="661" w:type="dxa"/>
            <w:tcBorders>
              <w:top w:val="nil"/>
              <w:left w:val="nil"/>
              <w:bottom w:val="nil"/>
              <w:right w:val="nil"/>
            </w:tcBorders>
            <w:shd w:val="clear" w:color="auto" w:fill="auto"/>
            <w:noWrap/>
            <w:vAlign w:val="bottom"/>
            <w:hideMark/>
          </w:tcPr>
          <w:p w14:paraId="4DF6026A" w14:textId="5F898E5A"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0.792</w:t>
            </w:r>
          </w:p>
        </w:tc>
        <w:tc>
          <w:tcPr>
            <w:tcW w:w="680" w:type="dxa"/>
            <w:tcBorders>
              <w:top w:val="nil"/>
              <w:left w:val="nil"/>
              <w:bottom w:val="nil"/>
              <w:right w:val="nil"/>
            </w:tcBorders>
            <w:shd w:val="clear" w:color="auto" w:fill="auto"/>
            <w:noWrap/>
            <w:vAlign w:val="bottom"/>
            <w:hideMark/>
          </w:tcPr>
          <w:p w14:paraId="71C76C87" w14:textId="62D96C93"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0.539</w:t>
            </w:r>
          </w:p>
        </w:tc>
        <w:tc>
          <w:tcPr>
            <w:tcW w:w="767" w:type="dxa"/>
            <w:tcBorders>
              <w:top w:val="nil"/>
              <w:left w:val="nil"/>
              <w:bottom w:val="nil"/>
              <w:right w:val="single" w:sz="4" w:space="0" w:color="auto"/>
            </w:tcBorders>
            <w:shd w:val="clear" w:color="auto" w:fill="auto"/>
            <w:noWrap/>
            <w:vAlign w:val="bottom"/>
            <w:hideMark/>
          </w:tcPr>
          <w:p w14:paraId="0A9B76F3" w14:textId="70706225" w:rsidR="00E2275A" w:rsidRPr="00C522DC" w:rsidRDefault="00E2275A" w:rsidP="00E2275A">
            <w:pPr>
              <w:spacing w:before="0"/>
              <w:jc w:val="center"/>
              <w:rPr>
                <w:rFonts w:ascii="Arial" w:eastAsia="Times New Roman" w:hAnsi="Arial" w:cs="Arial"/>
                <w:sz w:val="16"/>
                <w:szCs w:val="16"/>
                <w:lang w:val="en-US" w:eastAsia="en-US"/>
              </w:rPr>
            </w:pPr>
            <w:r w:rsidRPr="00C522DC">
              <w:rPr>
                <w:rFonts w:ascii="Arial" w:eastAsia="Times New Roman" w:hAnsi="Arial" w:cs="Arial"/>
                <w:sz w:val="16"/>
                <w:szCs w:val="16"/>
                <w:lang w:val="en-US" w:eastAsia="en-US"/>
              </w:rPr>
              <w:t>0.425</w:t>
            </w:r>
          </w:p>
        </w:tc>
        <w:tc>
          <w:tcPr>
            <w:tcW w:w="617" w:type="dxa"/>
            <w:tcBorders>
              <w:top w:val="nil"/>
              <w:left w:val="nil"/>
              <w:bottom w:val="nil"/>
              <w:right w:val="nil"/>
            </w:tcBorders>
            <w:shd w:val="clear" w:color="auto" w:fill="auto"/>
            <w:noWrap/>
            <w:vAlign w:val="bottom"/>
            <w:hideMark/>
          </w:tcPr>
          <w:p w14:paraId="092EFE2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0.787</w:t>
            </w:r>
          </w:p>
        </w:tc>
        <w:tc>
          <w:tcPr>
            <w:tcW w:w="680" w:type="dxa"/>
            <w:tcBorders>
              <w:top w:val="nil"/>
              <w:left w:val="nil"/>
              <w:bottom w:val="nil"/>
              <w:right w:val="nil"/>
            </w:tcBorders>
            <w:shd w:val="clear" w:color="auto" w:fill="auto"/>
            <w:noWrap/>
            <w:vAlign w:val="bottom"/>
            <w:hideMark/>
          </w:tcPr>
          <w:p w14:paraId="6AD8E8A5"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0.464</w:t>
            </w:r>
          </w:p>
        </w:tc>
        <w:tc>
          <w:tcPr>
            <w:tcW w:w="767" w:type="dxa"/>
            <w:tcBorders>
              <w:top w:val="nil"/>
              <w:left w:val="nil"/>
              <w:bottom w:val="nil"/>
              <w:right w:val="single" w:sz="4" w:space="0" w:color="auto"/>
            </w:tcBorders>
            <w:shd w:val="clear" w:color="auto" w:fill="auto"/>
            <w:noWrap/>
            <w:vAlign w:val="bottom"/>
            <w:hideMark/>
          </w:tcPr>
          <w:p w14:paraId="1E61F0EA"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0.340</w:t>
            </w:r>
          </w:p>
        </w:tc>
        <w:tc>
          <w:tcPr>
            <w:tcW w:w="661" w:type="dxa"/>
            <w:tcBorders>
              <w:top w:val="nil"/>
              <w:left w:val="nil"/>
              <w:bottom w:val="nil"/>
              <w:right w:val="nil"/>
            </w:tcBorders>
            <w:shd w:val="clear" w:color="auto" w:fill="auto"/>
            <w:noWrap/>
            <w:vAlign w:val="bottom"/>
            <w:hideMark/>
          </w:tcPr>
          <w:p w14:paraId="2E63F4EF"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0.904</w:t>
            </w:r>
          </w:p>
        </w:tc>
        <w:tc>
          <w:tcPr>
            <w:tcW w:w="680" w:type="dxa"/>
            <w:tcBorders>
              <w:top w:val="nil"/>
              <w:left w:val="nil"/>
              <w:bottom w:val="nil"/>
              <w:right w:val="nil"/>
            </w:tcBorders>
            <w:shd w:val="clear" w:color="auto" w:fill="auto"/>
            <w:noWrap/>
            <w:vAlign w:val="bottom"/>
            <w:hideMark/>
          </w:tcPr>
          <w:p w14:paraId="4BB849F1"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0.365</w:t>
            </w:r>
          </w:p>
        </w:tc>
        <w:tc>
          <w:tcPr>
            <w:tcW w:w="767" w:type="dxa"/>
            <w:tcBorders>
              <w:top w:val="nil"/>
              <w:left w:val="nil"/>
              <w:bottom w:val="nil"/>
              <w:right w:val="single" w:sz="4" w:space="0" w:color="auto"/>
            </w:tcBorders>
            <w:shd w:val="clear" w:color="auto" w:fill="auto"/>
            <w:noWrap/>
            <w:vAlign w:val="bottom"/>
            <w:hideMark/>
          </w:tcPr>
          <w:p w14:paraId="77F98993"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0.268</w:t>
            </w:r>
          </w:p>
        </w:tc>
      </w:tr>
      <w:tr w:rsidR="00E2275A" w:rsidRPr="00C522DC" w14:paraId="33E815BC" w14:textId="77777777" w:rsidTr="00D94728">
        <w:trPr>
          <w:trHeight w:val="260"/>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4C91D84C"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PAMD_Orange2</w:t>
            </w:r>
          </w:p>
        </w:tc>
        <w:tc>
          <w:tcPr>
            <w:tcW w:w="661" w:type="dxa"/>
            <w:tcBorders>
              <w:top w:val="nil"/>
              <w:left w:val="nil"/>
              <w:bottom w:val="single" w:sz="4" w:space="0" w:color="auto"/>
              <w:right w:val="nil"/>
            </w:tcBorders>
            <w:shd w:val="clear" w:color="auto" w:fill="auto"/>
            <w:noWrap/>
            <w:vAlign w:val="bottom"/>
            <w:hideMark/>
          </w:tcPr>
          <w:p w14:paraId="1223ACFC"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0.892</w:t>
            </w:r>
          </w:p>
        </w:tc>
        <w:tc>
          <w:tcPr>
            <w:tcW w:w="680" w:type="dxa"/>
            <w:tcBorders>
              <w:top w:val="nil"/>
              <w:left w:val="nil"/>
              <w:bottom w:val="single" w:sz="4" w:space="0" w:color="auto"/>
              <w:right w:val="nil"/>
            </w:tcBorders>
            <w:shd w:val="clear" w:color="auto" w:fill="auto"/>
            <w:noWrap/>
            <w:vAlign w:val="bottom"/>
            <w:hideMark/>
          </w:tcPr>
          <w:p w14:paraId="7DAFFD0F"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0.486</w:t>
            </w:r>
          </w:p>
        </w:tc>
        <w:tc>
          <w:tcPr>
            <w:tcW w:w="767" w:type="dxa"/>
            <w:tcBorders>
              <w:top w:val="nil"/>
              <w:left w:val="nil"/>
              <w:bottom w:val="single" w:sz="4" w:space="0" w:color="auto"/>
              <w:right w:val="single" w:sz="4" w:space="0" w:color="auto"/>
            </w:tcBorders>
            <w:shd w:val="clear" w:color="auto" w:fill="auto"/>
            <w:noWrap/>
            <w:vAlign w:val="bottom"/>
            <w:hideMark/>
          </w:tcPr>
          <w:p w14:paraId="638C2D85"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0.319</w:t>
            </w:r>
          </w:p>
        </w:tc>
        <w:tc>
          <w:tcPr>
            <w:tcW w:w="661" w:type="dxa"/>
            <w:tcBorders>
              <w:top w:val="nil"/>
              <w:left w:val="nil"/>
              <w:bottom w:val="single" w:sz="4" w:space="0" w:color="auto"/>
              <w:right w:val="nil"/>
            </w:tcBorders>
            <w:shd w:val="clear" w:color="auto" w:fill="auto"/>
            <w:noWrap/>
            <w:vAlign w:val="bottom"/>
            <w:hideMark/>
          </w:tcPr>
          <w:p w14:paraId="13BB37F0" w14:textId="0F99A296"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0.853</w:t>
            </w:r>
          </w:p>
        </w:tc>
        <w:tc>
          <w:tcPr>
            <w:tcW w:w="680" w:type="dxa"/>
            <w:tcBorders>
              <w:top w:val="nil"/>
              <w:left w:val="nil"/>
              <w:bottom w:val="single" w:sz="4" w:space="0" w:color="auto"/>
              <w:right w:val="nil"/>
            </w:tcBorders>
            <w:shd w:val="clear" w:color="auto" w:fill="auto"/>
            <w:noWrap/>
            <w:vAlign w:val="bottom"/>
            <w:hideMark/>
          </w:tcPr>
          <w:p w14:paraId="105DA5E4" w14:textId="3AF29A7B"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0.371</w:t>
            </w:r>
          </w:p>
        </w:tc>
        <w:tc>
          <w:tcPr>
            <w:tcW w:w="767" w:type="dxa"/>
            <w:tcBorders>
              <w:top w:val="nil"/>
              <w:left w:val="nil"/>
              <w:bottom w:val="single" w:sz="4" w:space="0" w:color="auto"/>
              <w:right w:val="single" w:sz="4" w:space="0" w:color="auto"/>
            </w:tcBorders>
            <w:shd w:val="clear" w:color="auto" w:fill="auto"/>
            <w:noWrap/>
            <w:vAlign w:val="bottom"/>
            <w:hideMark/>
          </w:tcPr>
          <w:p w14:paraId="73B1DC0A" w14:textId="631BE6B4"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0.230</w:t>
            </w:r>
          </w:p>
        </w:tc>
        <w:tc>
          <w:tcPr>
            <w:tcW w:w="617" w:type="dxa"/>
            <w:tcBorders>
              <w:top w:val="nil"/>
              <w:left w:val="nil"/>
              <w:bottom w:val="single" w:sz="4" w:space="0" w:color="auto"/>
              <w:right w:val="nil"/>
            </w:tcBorders>
            <w:shd w:val="clear" w:color="auto" w:fill="auto"/>
            <w:noWrap/>
            <w:vAlign w:val="bottom"/>
            <w:hideMark/>
          </w:tcPr>
          <w:p w14:paraId="09535F07"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0.683</w:t>
            </w:r>
          </w:p>
        </w:tc>
        <w:tc>
          <w:tcPr>
            <w:tcW w:w="680" w:type="dxa"/>
            <w:tcBorders>
              <w:top w:val="nil"/>
              <w:left w:val="nil"/>
              <w:bottom w:val="single" w:sz="4" w:space="0" w:color="auto"/>
              <w:right w:val="nil"/>
            </w:tcBorders>
            <w:shd w:val="clear" w:color="auto" w:fill="auto"/>
            <w:noWrap/>
            <w:vAlign w:val="bottom"/>
            <w:hideMark/>
          </w:tcPr>
          <w:p w14:paraId="5E713887"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0.425</w:t>
            </w:r>
          </w:p>
        </w:tc>
        <w:tc>
          <w:tcPr>
            <w:tcW w:w="767" w:type="dxa"/>
            <w:tcBorders>
              <w:top w:val="nil"/>
              <w:left w:val="nil"/>
              <w:bottom w:val="single" w:sz="4" w:space="0" w:color="auto"/>
              <w:right w:val="single" w:sz="4" w:space="0" w:color="auto"/>
            </w:tcBorders>
            <w:shd w:val="clear" w:color="auto" w:fill="auto"/>
            <w:noWrap/>
            <w:vAlign w:val="bottom"/>
            <w:hideMark/>
          </w:tcPr>
          <w:p w14:paraId="38927A9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0.233</w:t>
            </w:r>
          </w:p>
        </w:tc>
        <w:tc>
          <w:tcPr>
            <w:tcW w:w="661" w:type="dxa"/>
            <w:tcBorders>
              <w:top w:val="nil"/>
              <w:left w:val="nil"/>
              <w:bottom w:val="single" w:sz="4" w:space="0" w:color="auto"/>
              <w:right w:val="nil"/>
            </w:tcBorders>
            <w:shd w:val="clear" w:color="auto" w:fill="auto"/>
            <w:noWrap/>
            <w:vAlign w:val="bottom"/>
            <w:hideMark/>
          </w:tcPr>
          <w:p w14:paraId="6675F41B"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0.601</w:t>
            </w:r>
          </w:p>
        </w:tc>
        <w:tc>
          <w:tcPr>
            <w:tcW w:w="680" w:type="dxa"/>
            <w:tcBorders>
              <w:top w:val="nil"/>
              <w:left w:val="nil"/>
              <w:bottom w:val="single" w:sz="4" w:space="0" w:color="auto"/>
              <w:right w:val="nil"/>
            </w:tcBorders>
            <w:shd w:val="clear" w:color="auto" w:fill="auto"/>
            <w:noWrap/>
            <w:vAlign w:val="bottom"/>
            <w:hideMark/>
          </w:tcPr>
          <w:p w14:paraId="5622964F"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0.449</w:t>
            </w:r>
          </w:p>
        </w:tc>
        <w:tc>
          <w:tcPr>
            <w:tcW w:w="767" w:type="dxa"/>
            <w:tcBorders>
              <w:top w:val="nil"/>
              <w:left w:val="nil"/>
              <w:bottom w:val="single" w:sz="4" w:space="0" w:color="auto"/>
              <w:right w:val="single" w:sz="4" w:space="0" w:color="auto"/>
            </w:tcBorders>
            <w:shd w:val="clear" w:color="auto" w:fill="auto"/>
            <w:noWrap/>
            <w:vAlign w:val="bottom"/>
            <w:hideMark/>
          </w:tcPr>
          <w:p w14:paraId="07ED4120"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0.299</w:t>
            </w:r>
          </w:p>
        </w:tc>
      </w:tr>
    </w:tbl>
    <w:p w14:paraId="69968E1C" w14:textId="77777777" w:rsidR="008F6E8D" w:rsidRPr="00C522DC" w:rsidRDefault="008F6E8D" w:rsidP="008F6E8D"/>
    <w:tbl>
      <w:tblPr>
        <w:tblW w:w="10076" w:type="dxa"/>
        <w:tblLook w:val="04A0" w:firstRow="1" w:lastRow="0" w:firstColumn="1" w:lastColumn="0" w:noHBand="0" w:noVBand="1"/>
      </w:tblPr>
      <w:tblGrid>
        <w:gridCol w:w="1820"/>
        <w:gridCol w:w="617"/>
        <w:gridCol w:w="680"/>
        <w:gridCol w:w="767"/>
        <w:gridCol w:w="617"/>
        <w:gridCol w:w="680"/>
        <w:gridCol w:w="767"/>
        <w:gridCol w:w="617"/>
        <w:gridCol w:w="680"/>
        <w:gridCol w:w="767"/>
        <w:gridCol w:w="617"/>
        <w:gridCol w:w="680"/>
        <w:gridCol w:w="767"/>
      </w:tblGrid>
      <w:tr w:rsidR="008F6E8D" w:rsidRPr="00C522DC" w14:paraId="63FEEADB" w14:textId="77777777" w:rsidTr="00D94728">
        <w:trPr>
          <w:trHeight w:val="260"/>
        </w:trPr>
        <w:tc>
          <w:tcPr>
            <w:tcW w:w="1820" w:type="dxa"/>
            <w:tcBorders>
              <w:top w:val="single" w:sz="4" w:space="0" w:color="auto"/>
              <w:left w:val="single" w:sz="4" w:space="0" w:color="auto"/>
              <w:bottom w:val="nil"/>
              <w:right w:val="single" w:sz="4" w:space="0" w:color="auto"/>
            </w:tcBorders>
            <w:shd w:val="clear" w:color="auto" w:fill="auto"/>
            <w:noWrap/>
            <w:vAlign w:val="bottom"/>
            <w:hideMark/>
          </w:tcPr>
          <w:p w14:paraId="4FD6A695" w14:textId="77777777" w:rsidR="008F6E8D" w:rsidRPr="00C522DC" w:rsidRDefault="008F6E8D" w:rsidP="00D94728">
            <w:pPr>
              <w:spacing w:before="0"/>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Database</w:t>
            </w:r>
          </w:p>
        </w:tc>
        <w:tc>
          <w:tcPr>
            <w:tcW w:w="206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78C176DF" w14:textId="312EEF69"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-N</w:t>
            </w:r>
          </w:p>
        </w:tc>
        <w:tc>
          <w:tcPr>
            <w:tcW w:w="2064" w:type="dxa"/>
            <w:gridSpan w:val="3"/>
            <w:tcBorders>
              <w:top w:val="single" w:sz="4" w:space="0" w:color="auto"/>
              <w:left w:val="nil"/>
              <w:bottom w:val="single" w:sz="4" w:space="0" w:color="auto"/>
              <w:right w:val="nil"/>
            </w:tcBorders>
            <w:shd w:val="clear" w:color="auto" w:fill="auto"/>
            <w:noWrap/>
            <w:vAlign w:val="bottom"/>
            <w:hideMark/>
          </w:tcPr>
          <w:p w14:paraId="30FA3390" w14:textId="70A3635C"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-D</w:t>
            </w:r>
          </w:p>
        </w:tc>
        <w:tc>
          <w:tcPr>
            <w:tcW w:w="2064"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998DA2E" w14:textId="4727C6EB"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-C</w:t>
            </w:r>
          </w:p>
        </w:tc>
        <w:tc>
          <w:tcPr>
            <w:tcW w:w="206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7F6D966" w14:textId="5C070102"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MOS</w:t>
            </w:r>
            <w:r w:rsidR="001D48A6">
              <w:rPr>
                <w:rFonts w:ascii="Arial" w:eastAsia="Times New Roman" w:hAnsi="Arial" w:cs="Arial"/>
                <w:b/>
                <w:bCs/>
                <w:color w:val="000000"/>
                <w:sz w:val="16"/>
                <w:szCs w:val="16"/>
                <w:lang w:val="en-US" w:eastAsia="en-US"/>
              </w:rPr>
              <w:t>-L</w:t>
            </w:r>
          </w:p>
        </w:tc>
      </w:tr>
      <w:tr w:rsidR="008F6E8D" w:rsidRPr="00C522DC" w14:paraId="7A540EFD" w14:textId="77777777" w:rsidTr="00D94728">
        <w:trPr>
          <w:trHeight w:val="260"/>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4584B45E" w14:textId="77777777" w:rsidR="008F6E8D" w:rsidRPr="00C522DC" w:rsidRDefault="008F6E8D" w:rsidP="00D94728">
            <w:pPr>
              <w:spacing w:before="0"/>
              <w:rPr>
                <w:rFonts w:ascii="Arial" w:eastAsia="Times New Roman" w:hAnsi="Arial" w:cs="Arial"/>
                <w:b/>
                <w:bCs/>
                <w:i/>
                <w:iCs/>
                <w:color w:val="000000"/>
                <w:sz w:val="16"/>
                <w:szCs w:val="16"/>
                <w:lang w:val="en-US" w:eastAsia="en-US"/>
              </w:rPr>
            </w:pPr>
            <w:r w:rsidRPr="00C522DC">
              <w:rPr>
                <w:rFonts w:ascii="Arial" w:eastAsia="Times New Roman" w:hAnsi="Arial" w:cs="Arial"/>
                <w:b/>
                <w:bCs/>
                <w:i/>
                <w:iCs/>
                <w:color w:val="000000"/>
                <w:sz w:val="16"/>
                <w:szCs w:val="16"/>
                <w:lang w:val="en-US" w:eastAsia="en-US"/>
              </w:rPr>
              <w:t>Training</w:t>
            </w:r>
          </w:p>
        </w:tc>
        <w:tc>
          <w:tcPr>
            <w:tcW w:w="617" w:type="dxa"/>
            <w:tcBorders>
              <w:top w:val="nil"/>
              <w:left w:val="nil"/>
              <w:bottom w:val="nil"/>
              <w:right w:val="nil"/>
            </w:tcBorders>
            <w:shd w:val="clear" w:color="auto" w:fill="auto"/>
            <w:noWrap/>
            <w:vAlign w:val="bottom"/>
            <w:hideMark/>
          </w:tcPr>
          <w:p w14:paraId="0F0847B4"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nil"/>
              <w:left w:val="nil"/>
              <w:bottom w:val="nil"/>
              <w:right w:val="nil"/>
            </w:tcBorders>
            <w:shd w:val="clear" w:color="auto" w:fill="auto"/>
            <w:noWrap/>
            <w:vAlign w:val="bottom"/>
            <w:hideMark/>
          </w:tcPr>
          <w:p w14:paraId="4BB377CB"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nil"/>
              <w:left w:val="nil"/>
              <w:bottom w:val="nil"/>
              <w:right w:val="single" w:sz="4" w:space="0" w:color="auto"/>
            </w:tcBorders>
            <w:shd w:val="clear" w:color="auto" w:fill="auto"/>
            <w:noWrap/>
            <w:vAlign w:val="bottom"/>
            <w:hideMark/>
          </w:tcPr>
          <w:p w14:paraId="3F077173"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617" w:type="dxa"/>
            <w:tcBorders>
              <w:top w:val="single" w:sz="4" w:space="0" w:color="auto"/>
              <w:left w:val="nil"/>
              <w:bottom w:val="nil"/>
              <w:right w:val="nil"/>
            </w:tcBorders>
            <w:shd w:val="clear" w:color="auto" w:fill="auto"/>
            <w:noWrap/>
            <w:vAlign w:val="bottom"/>
            <w:hideMark/>
          </w:tcPr>
          <w:p w14:paraId="1B98264A"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single" w:sz="4" w:space="0" w:color="auto"/>
              <w:left w:val="nil"/>
              <w:bottom w:val="nil"/>
              <w:right w:val="nil"/>
            </w:tcBorders>
            <w:shd w:val="clear" w:color="auto" w:fill="auto"/>
            <w:noWrap/>
            <w:vAlign w:val="bottom"/>
            <w:hideMark/>
          </w:tcPr>
          <w:p w14:paraId="3701B2BC"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single" w:sz="4" w:space="0" w:color="auto"/>
              <w:left w:val="nil"/>
              <w:bottom w:val="nil"/>
              <w:right w:val="single" w:sz="4" w:space="0" w:color="auto"/>
            </w:tcBorders>
            <w:shd w:val="clear" w:color="auto" w:fill="auto"/>
            <w:noWrap/>
            <w:vAlign w:val="bottom"/>
            <w:hideMark/>
          </w:tcPr>
          <w:p w14:paraId="5732A592"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617" w:type="dxa"/>
            <w:tcBorders>
              <w:top w:val="nil"/>
              <w:left w:val="nil"/>
              <w:bottom w:val="nil"/>
              <w:right w:val="nil"/>
            </w:tcBorders>
            <w:shd w:val="clear" w:color="auto" w:fill="auto"/>
            <w:noWrap/>
            <w:vAlign w:val="bottom"/>
            <w:hideMark/>
          </w:tcPr>
          <w:p w14:paraId="4D06B29F"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nil"/>
              <w:left w:val="nil"/>
              <w:bottom w:val="nil"/>
              <w:right w:val="nil"/>
            </w:tcBorders>
            <w:shd w:val="clear" w:color="auto" w:fill="auto"/>
            <w:noWrap/>
            <w:vAlign w:val="bottom"/>
            <w:hideMark/>
          </w:tcPr>
          <w:p w14:paraId="14FF5CC6"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nil"/>
              <w:left w:val="nil"/>
              <w:bottom w:val="nil"/>
              <w:right w:val="single" w:sz="4" w:space="0" w:color="auto"/>
            </w:tcBorders>
            <w:shd w:val="clear" w:color="auto" w:fill="auto"/>
            <w:noWrap/>
            <w:vAlign w:val="bottom"/>
            <w:hideMark/>
          </w:tcPr>
          <w:p w14:paraId="2396D7B2"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617" w:type="dxa"/>
            <w:tcBorders>
              <w:top w:val="single" w:sz="4" w:space="0" w:color="auto"/>
              <w:left w:val="nil"/>
              <w:bottom w:val="nil"/>
              <w:right w:val="nil"/>
            </w:tcBorders>
            <w:shd w:val="clear" w:color="auto" w:fill="auto"/>
            <w:noWrap/>
            <w:vAlign w:val="bottom"/>
            <w:hideMark/>
          </w:tcPr>
          <w:p w14:paraId="6CDD913E"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w:t>
            </w:r>
          </w:p>
        </w:tc>
        <w:tc>
          <w:tcPr>
            <w:tcW w:w="680" w:type="dxa"/>
            <w:tcBorders>
              <w:top w:val="single" w:sz="4" w:space="0" w:color="auto"/>
              <w:left w:val="nil"/>
              <w:bottom w:val="nil"/>
              <w:right w:val="nil"/>
            </w:tcBorders>
            <w:shd w:val="clear" w:color="auto" w:fill="auto"/>
            <w:noWrap/>
            <w:vAlign w:val="bottom"/>
            <w:hideMark/>
          </w:tcPr>
          <w:p w14:paraId="0B19DF9A"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c>
          <w:tcPr>
            <w:tcW w:w="767" w:type="dxa"/>
            <w:tcBorders>
              <w:top w:val="single" w:sz="4" w:space="0" w:color="auto"/>
              <w:left w:val="nil"/>
              <w:bottom w:val="nil"/>
              <w:right w:val="single" w:sz="4" w:space="0" w:color="auto"/>
            </w:tcBorders>
            <w:shd w:val="clear" w:color="auto" w:fill="auto"/>
            <w:noWrap/>
            <w:vAlign w:val="bottom"/>
            <w:hideMark/>
          </w:tcPr>
          <w:p w14:paraId="7AA3D5F5" w14:textId="77777777" w:rsidR="008F6E8D" w:rsidRPr="00C522DC" w:rsidRDefault="008F6E8D" w:rsidP="00D94728">
            <w:pPr>
              <w:spacing w:before="0"/>
              <w:jc w:val="center"/>
              <w:rPr>
                <w:rFonts w:ascii="Arial" w:eastAsia="Times New Roman" w:hAnsi="Arial" w:cs="Arial"/>
                <w:b/>
                <w:bCs/>
                <w:color w:val="000000"/>
                <w:sz w:val="16"/>
                <w:szCs w:val="16"/>
                <w:lang w:val="en-US" w:eastAsia="en-US"/>
              </w:rPr>
            </w:pPr>
            <w:r w:rsidRPr="00C522DC">
              <w:rPr>
                <w:rFonts w:ascii="Arial" w:eastAsia="Times New Roman" w:hAnsi="Arial" w:cs="Arial"/>
                <w:b/>
                <w:bCs/>
                <w:color w:val="000000"/>
                <w:sz w:val="16"/>
                <w:szCs w:val="16"/>
                <w:lang w:val="en-US" w:eastAsia="en-US"/>
              </w:rPr>
              <w:t>RMSE*</w:t>
            </w:r>
          </w:p>
        </w:tc>
      </w:tr>
      <w:tr w:rsidR="00E2275A" w:rsidRPr="00C522DC" w14:paraId="0E47B831" w14:textId="77777777" w:rsidTr="00D94728">
        <w:trPr>
          <w:trHeight w:val="250"/>
        </w:trPr>
        <w:tc>
          <w:tcPr>
            <w:tcW w:w="1820" w:type="dxa"/>
            <w:tcBorders>
              <w:top w:val="nil"/>
              <w:left w:val="single" w:sz="4" w:space="0" w:color="auto"/>
              <w:bottom w:val="nil"/>
              <w:right w:val="single" w:sz="4" w:space="0" w:color="auto"/>
            </w:tcBorders>
            <w:shd w:val="clear" w:color="auto" w:fill="auto"/>
            <w:noWrap/>
            <w:vAlign w:val="bottom"/>
            <w:hideMark/>
          </w:tcPr>
          <w:p w14:paraId="05CFEAD6"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PAMD_SwissQual1</w:t>
            </w:r>
          </w:p>
        </w:tc>
        <w:tc>
          <w:tcPr>
            <w:tcW w:w="617" w:type="dxa"/>
            <w:tcBorders>
              <w:top w:val="nil"/>
              <w:left w:val="nil"/>
              <w:bottom w:val="nil"/>
              <w:right w:val="nil"/>
            </w:tcBorders>
            <w:shd w:val="clear" w:color="auto" w:fill="auto"/>
            <w:noWrap/>
            <w:vAlign w:val="bottom"/>
            <w:hideMark/>
          </w:tcPr>
          <w:p w14:paraId="1470CF03"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0.956</w:t>
            </w:r>
          </w:p>
        </w:tc>
        <w:tc>
          <w:tcPr>
            <w:tcW w:w="680" w:type="dxa"/>
            <w:tcBorders>
              <w:top w:val="nil"/>
              <w:left w:val="nil"/>
              <w:bottom w:val="nil"/>
              <w:right w:val="nil"/>
            </w:tcBorders>
            <w:shd w:val="clear" w:color="auto" w:fill="auto"/>
            <w:noWrap/>
            <w:vAlign w:val="bottom"/>
            <w:hideMark/>
          </w:tcPr>
          <w:p w14:paraId="46C27391"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0.300</w:t>
            </w:r>
          </w:p>
        </w:tc>
        <w:tc>
          <w:tcPr>
            <w:tcW w:w="767" w:type="dxa"/>
            <w:tcBorders>
              <w:top w:val="nil"/>
              <w:left w:val="nil"/>
              <w:bottom w:val="nil"/>
              <w:right w:val="single" w:sz="4" w:space="0" w:color="auto"/>
            </w:tcBorders>
            <w:shd w:val="clear" w:color="auto" w:fill="auto"/>
            <w:noWrap/>
            <w:vAlign w:val="bottom"/>
            <w:hideMark/>
          </w:tcPr>
          <w:p w14:paraId="2CD85479"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0.174</w:t>
            </w:r>
          </w:p>
        </w:tc>
        <w:tc>
          <w:tcPr>
            <w:tcW w:w="617" w:type="dxa"/>
            <w:tcBorders>
              <w:top w:val="nil"/>
              <w:left w:val="nil"/>
              <w:bottom w:val="nil"/>
              <w:right w:val="nil"/>
            </w:tcBorders>
            <w:shd w:val="clear" w:color="auto" w:fill="auto"/>
            <w:noWrap/>
            <w:vAlign w:val="bottom"/>
            <w:hideMark/>
          </w:tcPr>
          <w:p w14:paraId="022D74C9" w14:textId="365FA2BE"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0.870</w:t>
            </w:r>
          </w:p>
        </w:tc>
        <w:tc>
          <w:tcPr>
            <w:tcW w:w="680" w:type="dxa"/>
            <w:tcBorders>
              <w:top w:val="nil"/>
              <w:left w:val="nil"/>
              <w:bottom w:val="nil"/>
              <w:right w:val="nil"/>
            </w:tcBorders>
            <w:shd w:val="clear" w:color="auto" w:fill="auto"/>
            <w:noWrap/>
            <w:vAlign w:val="bottom"/>
            <w:hideMark/>
          </w:tcPr>
          <w:p w14:paraId="24E5F9CB" w14:textId="425B0AFF"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0.315</w:t>
            </w:r>
          </w:p>
        </w:tc>
        <w:tc>
          <w:tcPr>
            <w:tcW w:w="767" w:type="dxa"/>
            <w:tcBorders>
              <w:top w:val="nil"/>
              <w:left w:val="nil"/>
              <w:bottom w:val="nil"/>
              <w:right w:val="single" w:sz="4" w:space="0" w:color="auto"/>
            </w:tcBorders>
            <w:shd w:val="clear" w:color="auto" w:fill="auto"/>
            <w:noWrap/>
            <w:vAlign w:val="bottom"/>
            <w:hideMark/>
          </w:tcPr>
          <w:p w14:paraId="25ACB21F" w14:textId="55959340"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0.147</w:t>
            </w:r>
          </w:p>
        </w:tc>
        <w:tc>
          <w:tcPr>
            <w:tcW w:w="617" w:type="dxa"/>
            <w:tcBorders>
              <w:top w:val="nil"/>
              <w:left w:val="nil"/>
              <w:bottom w:val="nil"/>
              <w:right w:val="nil"/>
            </w:tcBorders>
            <w:shd w:val="clear" w:color="auto" w:fill="auto"/>
            <w:noWrap/>
            <w:vAlign w:val="bottom"/>
            <w:hideMark/>
          </w:tcPr>
          <w:p w14:paraId="6D3A23C7"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0.864</w:t>
            </w:r>
          </w:p>
        </w:tc>
        <w:tc>
          <w:tcPr>
            <w:tcW w:w="680" w:type="dxa"/>
            <w:tcBorders>
              <w:top w:val="nil"/>
              <w:left w:val="nil"/>
              <w:bottom w:val="nil"/>
              <w:right w:val="nil"/>
            </w:tcBorders>
            <w:shd w:val="clear" w:color="auto" w:fill="auto"/>
            <w:noWrap/>
            <w:vAlign w:val="bottom"/>
            <w:hideMark/>
          </w:tcPr>
          <w:p w14:paraId="6A7B854C"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0.390</w:t>
            </w:r>
          </w:p>
        </w:tc>
        <w:tc>
          <w:tcPr>
            <w:tcW w:w="767" w:type="dxa"/>
            <w:tcBorders>
              <w:top w:val="nil"/>
              <w:left w:val="nil"/>
              <w:bottom w:val="nil"/>
              <w:right w:val="single" w:sz="4" w:space="0" w:color="auto"/>
            </w:tcBorders>
            <w:shd w:val="clear" w:color="auto" w:fill="auto"/>
            <w:noWrap/>
            <w:vAlign w:val="bottom"/>
            <w:hideMark/>
          </w:tcPr>
          <w:p w14:paraId="1FB5A621"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0.241</w:t>
            </w:r>
          </w:p>
        </w:tc>
        <w:tc>
          <w:tcPr>
            <w:tcW w:w="617" w:type="dxa"/>
            <w:tcBorders>
              <w:top w:val="nil"/>
              <w:left w:val="nil"/>
              <w:bottom w:val="nil"/>
              <w:right w:val="nil"/>
            </w:tcBorders>
            <w:shd w:val="clear" w:color="auto" w:fill="auto"/>
            <w:noWrap/>
            <w:vAlign w:val="bottom"/>
            <w:hideMark/>
          </w:tcPr>
          <w:p w14:paraId="16B2FA96"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0.863</w:t>
            </w:r>
          </w:p>
        </w:tc>
        <w:tc>
          <w:tcPr>
            <w:tcW w:w="680" w:type="dxa"/>
            <w:tcBorders>
              <w:top w:val="nil"/>
              <w:left w:val="nil"/>
              <w:bottom w:val="nil"/>
              <w:right w:val="nil"/>
            </w:tcBorders>
            <w:shd w:val="clear" w:color="auto" w:fill="auto"/>
            <w:noWrap/>
            <w:vAlign w:val="bottom"/>
            <w:hideMark/>
          </w:tcPr>
          <w:p w14:paraId="6B44019D"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0.337</w:t>
            </w:r>
          </w:p>
        </w:tc>
        <w:tc>
          <w:tcPr>
            <w:tcW w:w="767" w:type="dxa"/>
            <w:tcBorders>
              <w:top w:val="nil"/>
              <w:left w:val="nil"/>
              <w:bottom w:val="nil"/>
              <w:right w:val="single" w:sz="4" w:space="0" w:color="auto"/>
            </w:tcBorders>
            <w:shd w:val="clear" w:color="auto" w:fill="auto"/>
            <w:noWrap/>
            <w:vAlign w:val="bottom"/>
            <w:hideMark/>
          </w:tcPr>
          <w:p w14:paraId="2AFEDBEC"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0.134</w:t>
            </w:r>
          </w:p>
        </w:tc>
      </w:tr>
      <w:tr w:rsidR="00E2275A" w:rsidRPr="00C522DC" w14:paraId="4AB88218" w14:textId="77777777" w:rsidTr="00D94728">
        <w:trPr>
          <w:trHeight w:val="250"/>
        </w:trPr>
        <w:tc>
          <w:tcPr>
            <w:tcW w:w="1820" w:type="dxa"/>
            <w:tcBorders>
              <w:top w:val="nil"/>
              <w:left w:val="single" w:sz="4" w:space="0" w:color="auto"/>
              <w:bottom w:val="nil"/>
              <w:right w:val="single" w:sz="4" w:space="0" w:color="auto"/>
            </w:tcBorders>
            <w:shd w:val="clear" w:color="auto" w:fill="auto"/>
            <w:noWrap/>
            <w:vAlign w:val="bottom"/>
            <w:hideMark/>
          </w:tcPr>
          <w:p w14:paraId="7071DFE7"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PAMD_Orange1</w:t>
            </w:r>
          </w:p>
        </w:tc>
        <w:tc>
          <w:tcPr>
            <w:tcW w:w="617" w:type="dxa"/>
            <w:tcBorders>
              <w:top w:val="nil"/>
              <w:left w:val="nil"/>
              <w:bottom w:val="nil"/>
              <w:right w:val="nil"/>
            </w:tcBorders>
            <w:shd w:val="clear" w:color="auto" w:fill="auto"/>
            <w:noWrap/>
            <w:vAlign w:val="bottom"/>
            <w:hideMark/>
          </w:tcPr>
          <w:p w14:paraId="5BA7924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0.928</w:t>
            </w:r>
          </w:p>
        </w:tc>
        <w:tc>
          <w:tcPr>
            <w:tcW w:w="680" w:type="dxa"/>
            <w:tcBorders>
              <w:top w:val="nil"/>
              <w:left w:val="nil"/>
              <w:bottom w:val="nil"/>
              <w:right w:val="nil"/>
            </w:tcBorders>
            <w:shd w:val="clear" w:color="auto" w:fill="auto"/>
            <w:noWrap/>
            <w:vAlign w:val="bottom"/>
            <w:hideMark/>
          </w:tcPr>
          <w:p w14:paraId="46A3CD9D"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0.387</w:t>
            </w:r>
          </w:p>
        </w:tc>
        <w:tc>
          <w:tcPr>
            <w:tcW w:w="767" w:type="dxa"/>
            <w:tcBorders>
              <w:top w:val="nil"/>
              <w:left w:val="nil"/>
              <w:bottom w:val="nil"/>
              <w:right w:val="single" w:sz="4" w:space="0" w:color="auto"/>
            </w:tcBorders>
            <w:shd w:val="clear" w:color="auto" w:fill="auto"/>
            <w:noWrap/>
            <w:vAlign w:val="bottom"/>
            <w:hideMark/>
          </w:tcPr>
          <w:p w14:paraId="1513EABC"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0.189</w:t>
            </w:r>
          </w:p>
        </w:tc>
        <w:tc>
          <w:tcPr>
            <w:tcW w:w="617" w:type="dxa"/>
            <w:tcBorders>
              <w:top w:val="nil"/>
              <w:left w:val="nil"/>
              <w:bottom w:val="nil"/>
              <w:right w:val="nil"/>
            </w:tcBorders>
            <w:shd w:val="clear" w:color="auto" w:fill="auto"/>
            <w:noWrap/>
            <w:vAlign w:val="bottom"/>
            <w:hideMark/>
          </w:tcPr>
          <w:p w14:paraId="3820FAF3" w14:textId="17C6100F"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0.802</w:t>
            </w:r>
          </w:p>
        </w:tc>
        <w:tc>
          <w:tcPr>
            <w:tcW w:w="680" w:type="dxa"/>
            <w:tcBorders>
              <w:top w:val="nil"/>
              <w:left w:val="nil"/>
              <w:bottom w:val="nil"/>
              <w:right w:val="nil"/>
            </w:tcBorders>
            <w:shd w:val="clear" w:color="auto" w:fill="auto"/>
            <w:noWrap/>
            <w:vAlign w:val="bottom"/>
            <w:hideMark/>
          </w:tcPr>
          <w:p w14:paraId="64480F25" w14:textId="7E88F0FD"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0.467</w:t>
            </w:r>
          </w:p>
        </w:tc>
        <w:tc>
          <w:tcPr>
            <w:tcW w:w="767" w:type="dxa"/>
            <w:tcBorders>
              <w:top w:val="nil"/>
              <w:left w:val="nil"/>
              <w:bottom w:val="nil"/>
              <w:right w:val="single" w:sz="4" w:space="0" w:color="auto"/>
            </w:tcBorders>
            <w:shd w:val="clear" w:color="auto" w:fill="auto"/>
            <w:noWrap/>
            <w:vAlign w:val="bottom"/>
            <w:hideMark/>
          </w:tcPr>
          <w:p w14:paraId="3B79FA99" w14:textId="0AADC291"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0.288</w:t>
            </w:r>
          </w:p>
        </w:tc>
        <w:tc>
          <w:tcPr>
            <w:tcW w:w="617" w:type="dxa"/>
            <w:tcBorders>
              <w:top w:val="nil"/>
              <w:left w:val="nil"/>
              <w:bottom w:val="nil"/>
              <w:right w:val="nil"/>
            </w:tcBorders>
            <w:shd w:val="clear" w:color="auto" w:fill="auto"/>
            <w:noWrap/>
            <w:vAlign w:val="bottom"/>
            <w:hideMark/>
          </w:tcPr>
          <w:p w14:paraId="518F9899"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0.841</w:t>
            </w:r>
          </w:p>
        </w:tc>
        <w:tc>
          <w:tcPr>
            <w:tcW w:w="680" w:type="dxa"/>
            <w:tcBorders>
              <w:top w:val="nil"/>
              <w:left w:val="nil"/>
              <w:bottom w:val="nil"/>
              <w:right w:val="nil"/>
            </w:tcBorders>
            <w:shd w:val="clear" w:color="auto" w:fill="auto"/>
            <w:noWrap/>
            <w:vAlign w:val="bottom"/>
            <w:hideMark/>
          </w:tcPr>
          <w:p w14:paraId="0CDDF755"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0.396</w:t>
            </w:r>
          </w:p>
        </w:tc>
        <w:tc>
          <w:tcPr>
            <w:tcW w:w="767" w:type="dxa"/>
            <w:tcBorders>
              <w:top w:val="nil"/>
              <w:left w:val="nil"/>
              <w:bottom w:val="nil"/>
              <w:right w:val="single" w:sz="4" w:space="0" w:color="auto"/>
            </w:tcBorders>
            <w:shd w:val="clear" w:color="auto" w:fill="auto"/>
            <w:noWrap/>
            <w:vAlign w:val="bottom"/>
            <w:hideMark/>
          </w:tcPr>
          <w:p w14:paraId="3A6631E0"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0.205</w:t>
            </w:r>
          </w:p>
        </w:tc>
        <w:tc>
          <w:tcPr>
            <w:tcW w:w="617" w:type="dxa"/>
            <w:tcBorders>
              <w:top w:val="nil"/>
              <w:left w:val="nil"/>
              <w:bottom w:val="nil"/>
              <w:right w:val="nil"/>
            </w:tcBorders>
            <w:shd w:val="clear" w:color="auto" w:fill="auto"/>
            <w:noWrap/>
            <w:vAlign w:val="bottom"/>
            <w:hideMark/>
          </w:tcPr>
          <w:p w14:paraId="7D94287A"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0.714</w:t>
            </w:r>
          </w:p>
        </w:tc>
        <w:tc>
          <w:tcPr>
            <w:tcW w:w="680" w:type="dxa"/>
            <w:tcBorders>
              <w:top w:val="nil"/>
              <w:left w:val="nil"/>
              <w:bottom w:val="nil"/>
              <w:right w:val="nil"/>
            </w:tcBorders>
            <w:shd w:val="clear" w:color="auto" w:fill="auto"/>
            <w:noWrap/>
            <w:vAlign w:val="bottom"/>
            <w:hideMark/>
          </w:tcPr>
          <w:p w14:paraId="37E1C2D0"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0.366</w:t>
            </w:r>
          </w:p>
        </w:tc>
        <w:tc>
          <w:tcPr>
            <w:tcW w:w="767" w:type="dxa"/>
            <w:tcBorders>
              <w:top w:val="nil"/>
              <w:left w:val="nil"/>
              <w:bottom w:val="nil"/>
              <w:right w:val="single" w:sz="4" w:space="0" w:color="auto"/>
            </w:tcBorders>
            <w:shd w:val="clear" w:color="auto" w:fill="auto"/>
            <w:noWrap/>
            <w:vAlign w:val="bottom"/>
            <w:hideMark/>
          </w:tcPr>
          <w:p w14:paraId="6AFB6E04"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0.219</w:t>
            </w:r>
          </w:p>
        </w:tc>
      </w:tr>
      <w:tr w:rsidR="00E2275A" w:rsidRPr="00C522DC" w14:paraId="38FF0871" w14:textId="77777777" w:rsidTr="00D94728">
        <w:trPr>
          <w:trHeight w:val="250"/>
        </w:trPr>
        <w:tc>
          <w:tcPr>
            <w:tcW w:w="1820" w:type="dxa"/>
            <w:tcBorders>
              <w:top w:val="nil"/>
              <w:left w:val="single" w:sz="4" w:space="0" w:color="auto"/>
              <w:bottom w:val="nil"/>
              <w:right w:val="single" w:sz="4" w:space="0" w:color="auto"/>
            </w:tcBorders>
            <w:shd w:val="clear" w:color="auto" w:fill="auto"/>
            <w:noWrap/>
            <w:vAlign w:val="bottom"/>
            <w:hideMark/>
          </w:tcPr>
          <w:p w14:paraId="2363A943"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PAMD_DTAG3</w:t>
            </w:r>
          </w:p>
        </w:tc>
        <w:tc>
          <w:tcPr>
            <w:tcW w:w="617" w:type="dxa"/>
            <w:tcBorders>
              <w:top w:val="nil"/>
              <w:left w:val="nil"/>
              <w:bottom w:val="nil"/>
              <w:right w:val="nil"/>
            </w:tcBorders>
            <w:shd w:val="clear" w:color="auto" w:fill="auto"/>
            <w:noWrap/>
            <w:vAlign w:val="bottom"/>
            <w:hideMark/>
          </w:tcPr>
          <w:p w14:paraId="41614150"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0.892</w:t>
            </w:r>
          </w:p>
        </w:tc>
        <w:tc>
          <w:tcPr>
            <w:tcW w:w="680" w:type="dxa"/>
            <w:tcBorders>
              <w:top w:val="nil"/>
              <w:left w:val="nil"/>
              <w:bottom w:val="nil"/>
              <w:right w:val="nil"/>
            </w:tcBorders>
            <w:shd w:val="clear" w:color="auto" w:fill="auto"/>
            <w:noWrap/>
            <w:vAlign w:val="bottom"/>
            <w:hideMark/>
          </w:tcPr>
          <w:p w14:paraId="4B1368F6"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0.328</w:t>
            </w:r>
          </w:p>
        </w:tc>
        <w:tc>
          <w:tcPr>
            <w:tcW w:w="767" w:type="dxa"/>
            <w:tcBorders>
              <w:top w:val="nil"/>
              <w:left w:val="nil"/>
              <w:bottom w:val="nil"/>
              <w:right w:val="single" w:sz="4" w:space="0" w:color="auto"/>
            </w:tcBorders>
            <w:shd w:val="clear" w:color="auto" w:fill="auto"/>
            <w:noWrap/>
            <w:vAlign w:val="bottom"/>
            <w:hideMark/>
          </w:tcPr>
          <w:p w14:paraId="42AE8979"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0.217</w:t>
            </w:r>
          </w:p>
        </w:tc>
        <w:tc>
          <w:tcPr>
            <w:tcW w:w="617" w:type="dxa"/>
            <w:tcBorders>
              <w:top w:val="nil"/>
              <w:left w:val="nil"/>
              <w:bottom w:val="nil"/>
              <w:right w:val="nil"/>
            </w:tcBorders>
            <w:shd w:val="clear" w:color="auto" w:fill="auto"/>
            <w:noWrap/>
            <w:vAlign w:val="bottom"/>
            <w:hideMark/>
          </w:tcPr>
          <w:p w14:paraId="3CDCB435" w14:textId="7B5F1409"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0.828</w:t>
            </w:r>
          </w:p>
        </w:tc>
        <w:tc>
          <w:tcPr>
            <w:tcW w:w="680" w:type="dxa"/>
            <w:tcBorders>
              <w:top w:val="nil"/>
              <w:left w:val="nil"/>
              <w:bottom w:val="nil"/>
              <w:right w:val="nil"/>
            </w:tcBorders>
            <w:shd w:val="clear" w:color="auto" w:fill="auto"/>
            <w:noWrap/>
            <w:vAlign w:val="bottom"/>
            <w:hideMark/>
          </w:tcPr>
          <w:p w14:paraId="79FA3981" w14:textId="0AE4E8EB"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0.341</w:t>
            </w:r>
          </w:p>
        </w:tc>
        <w:tc>
          <w:tcPr>
            <w:tcW w:w="767" w:type="dxa"/>
            <w:tcBorders>
              <w:top w:val="nil"/>
              <w:left w:val="nil"/>
              <w:bottom w:val="nil"/>
              <w:right w:val="single" w:sz="4" w:space="0" w:color="auto"/>
            </w:tcBorders>
            <w:shd w:val="clear" w:color="auto" w:fill="auto"/>
            <w:noWrap/>
            <w:vAlign w:val="bottom"/>
            <w:hideMark/>
          </w:tcPr>
          <w:p w14:paraId="0F7D0B6B" w14:textId="3E7013B3"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0.226</w:t>
            </w:r>
          </w:p>
        </w:tc>
        <w:tc>
          <w:tcPr>
            <w:tcW w:w="617" w:type="dxa"/>
            <w:tcBorders>
              <w:top w:val="nil"/>
              <w:left w:val="nil"/>
              <w:bottom w:val="nil"/>
              <w:right w:val="nil"/>
            </w:tcBorders>
            <w:shd w:val="clear" w:color="auto" w:fill="auto"/>
            <w:noWrap/>
            <w:vAlign w:val="bottom"/>
            <w:hideMark/>
          </w:tcPr>
          <w:p w14:paraId="4B2BBD9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0.879</w:t>
            </w:r>
          </w:p>
        </w:tc>
        <w:tc>
          <w:tcPr>
            <w:tcW w:w="680" w:type="dxa"/>
            <w:tcBorders>
              <w:top w:val="nil"/>
              <w:left w:val="nil"/>
              <w:bottom w:val="nil"/>
              <w:right w:val="nil"/>
            </w:tcBorders>
            <w:shd w:val="clear" w:color="auto" w:fill="auto"/>
            <w:noWrap/>
            <w:vAlign w:val="bottom"/>
            <w:hideMark/>
          </w:tcPr>
          <w:p w14:paraId="6815531F"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0.336</w:t>
            </w:r>
          </w:p>
        </w:tc>
        <w:tc>
          <w:tcPr>
            <w:tcW w:w="767" w:type="dxa"/>
            <w:tcBorders>
              <w:top w:val="nil"/>
              <w:left w:val="nil"/>
              <w:bottom w:val="nil"/>
              <w:right w:val="single" w:sz="4" w:space="0" w:color="auto"/>
            </w:tcBorders>
            <w:shd w:val="clear" w:color="auto" w:fill="auto"/>
            <w:noWrap/>
            <w:vAlign w:val="bottom"/>
            <w:hideMark/>
          </w:tcPr>
          <w:p w14:paraId="1522C37A"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0.204</w:t>
            </w:r>
          </w:p>
        </w:tc>
        <w:tc>
          <w:tcPr>
            <w:tcW w:w="617" w:type="dxa"/>
            <w:tcBorders>
              <w:top w:val="nil"/>
              <w:left w:val="nil"/>
              <w:bottom w:val="nil"/>
              <w:right w:val="nil"/>
            </w:tcBorders>
            <w:shd w:val="clear" w:color="auto" w:fill="auto"/>
            <w:noWrap/>
            <w:vAlign w:val="bottom"/>
            <w:hideMark/>
          </w:tcPr>
          <w:p w14:paraId="71B1D26B"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0.899</w:t>
            </w:r>
          </w:p>
        </w:tc>
        <w:tc>
          <w:tcPr>
            <w:tcW w:w="680" w:type="dxa"/>
            <w:tcBorders>
              <w:top w:val="nil"/>
              <w:left w:val="nil"/>
              <w:bottom w:val="nil"/>
              <w:right w:val="nil"/>
            </w:tcBorders>
            <w:shd w:val="clear" w:color="auto" w:fill="auto"/>
            <w:noWrap/>
            <w:vAlign w:val="bottom"/>
            <w:hideMark/>
          </w:tcPr>
          <w:p w14:paraId="4DE24E6D"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0.306</w:t>
            </w:r>
          </w:p>
        </w:tc>
        <w:tc>
          <w:tcPr>
            <w:tcW w:w="767" w:type="dxa"/>
            <w:tcBorders>
              <w:top w:val="nil"/>
              <w:left w:val="nil"/>
              <w:bottom w:val="nil"/>
              <w:right w:val="single" w:sz="4" w:space="0" w:color="auto"/>
            </w:tcBorders>
            <w:shd w:val="clear" w:color="auto" w:fill="auto"/>
            <w:noWrap/>
            <w:vAlign w:val="bottom"/>
            <w:hideMark/>
          </w:tcPr>
          <w:p w14:paraId="7DE799AA"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0.181</w:t>
            </w:r>
          </w:p>
        </w:tc>
      </w:tr>
      <w:tr w:rsidR="00E2275A" w:rsidRPr="00C522DC" w14:paraId="5A2A6C06" w14:textId="77777777" w:rsidTr="00D94728">
        <w:trPr>
          <w:trHeight w:val="250"/>
        </w:trPr>
        <w:tc>
          <w:tcPr>
            <w:tcW w:w="1820" w:type="dxa"/>
            <w:tcBorders>
              <w:top w:val="nil"/>
              <w:left w:val="single" w:sz="4" w:space="0" w:color="auto"/>
              <w:bottom w:val="nil"/>
              <w:right w:val="single" w:sz="4" w:space="0" w:color="auto"/>
            </w:tcBorders>
            <w:shd w:val="clear" w:color="auto" w:fill="auto"/>
            <w:noWrap/>
            <w:vAlign w:val="bottom"/>
            <w:hideMark/>
          </w:tcPr>
          <w:p w14:paraId="2AF3B04B"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PAMD_DTAG2</w:t>
            </w:r>
          </w:p>
        </w:tc>
        <w:tc>
          <w:tcPr>
            <w:tcW w:w="617" w:type="dxa"/>
            <w:tcBorders>
              <w:top w:val="nil"/>
              <w:left w:val="nil"/>
              <w:bottom w:val="nil"/>
              <w:right w:val="nil"/>
            </w:tcBorders>
            <w:shd w:val="clear" w:color="auto" w:fill="auto"/>
            <w:noWrap/>
            <w:vAlign w:val="bottom"/>
            <w:hideMark/>
          </w:tcPr>
          <w:p w14:paraId="61BEED8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0.841</w:t>
            </w:r>
          </w:p>
        </w:tc>
        <w:tc>
          <w:tcPr>
            <w:tcW w:w="680" w:type="dxa"/>
            <w:tcBorders>
              <w:top w:val="nil"/>
              <w:left w:val="nil"/>
              <w:bottom w:val="nil"/>
              <w:right w:val="nil"/>
            </w:tcBorders>
            <w:shd w:val="clear" w:color="auto" w:fill="auto"/>
            <w:noWrap/>
            <w:vAlign w:val="bottom"/>
            <w:hideMark/>
          </w:tcPr>
          <w:p w14:paraId="74AB74C3"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0.458</w:t>
            </w:r>
          </w:p>
        </w:tc>
        <w:tc>
          <w:tcPr>
            <w:tcW w:w="767" w:type="dxa"/>
            <w:tcBorders>
              <w:top w:val="nil"/>
              <w:left w:val="nil"/>
              <w:bottom w:val="nil"/>
              <w:right w:val="single" w:sz="4" w:space="0" w:color="auto"/>
            </w:tcBorders>
            <w:shd w:val="clear" w:color="auto" w:fill="auto"/>
            <w:noWrap/>
            <w:vAlign w:val="bottom"/>
            <w:hideMark/>
          </w:tcPr>
          <w:p w14:paraId="70AB4E6E"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0.230</w:t>
            </w:r>
          </w:p>
        </w:tc>
        <w:tc>
          <w:tcPr>
            <w:tcW w:w="617" w:type="dxa"/>
            <w:tcBorders>
              <w:top w:val="nil"/>
              <w:left w:val="nil"/>
              <w:bottom w:val="nil"/>
              <w:right w:val="nil"/>
            </w:tcBorders>
            <w:shd w:val="clear" w:color="auto" w:fill="auto"/>
            <w:noWrap/>
            <w:vAlign w:val="bottom"/>
            <w:hideMark/>
          </w:tcPr>
          <w:p w14:paraId="76ECB9E2" w14:textId="4F2DC5E9"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0.855</w:t>
            </w:r>
          </w:p>
        </w:tc>
        <w:tc>
          <w:tcPr>
            <w:tcW w:w="680" w:type="dxa"/>
            <w:tcBorders>
              <w:top w:val="nil"/>
              <w:left w:val="nil"/>
              <w:bottom w:val="nil"/>
              <w:right w:val="nil"/>
            </w:tcBorders>
            <w:shd w:val="clear" w:color="auto" w:fill="auto"/>
            <w:noWrap/>
            <w:vAlign w:val="bottom"/>
            <w:hideMark/>
          </w:tcPr>
          <w:p w14:paraId="72A410E7" w14:textId="06172383"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0.490</w:t>
            </w:r>
          </w:p>
        </w:tc>
        <w:tc>
          <w:tcPr>
            <w:tcW w:w="767" w:type="dxa"/>
            <w:tcBorders>
              <w:top w:val="nil"/>
              <w:left w:val="nil"/>
              <w:bottom w:val="nil"/>
              <w:right w:val="single" w:sz="4" w:space="0" w:color="auto"/>
            </w:tcBorders>
            <w:shd w:val="clear" w:color="auto" w:fill="auto"/>
            <w:noWrap/>
            <w:vAlign w:val="bottom"/>
            <w:hideMark/>
          </w:tcPr>
          <w:p w14:paraId="1B296D39" w14:textId="3BE97FCC"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0.342</w:t>
            </w:r>
          </w:p>
        </w:tc>
        <w:tc>
          <w:tcPr>
            <w:tcW w:w="617" w:type="dxa"/>
            <w:tcBorders>
              <w:top w:val="nil"/>
              <w:left w:val="nil"/>
              <w:bottom w:val="nil"/>
              <w:right w:val="nil"/>
            </w:tcBorders>
            <w:shd w:val="clear" w:color="auto" w:fill="auto"/>
            <w:noWrap/>
            <w:vAlign w:val="bottom"/>
            <w:hideMark/>
          </w:tcPr>
          <w:p w14:paraId="1F4FEE90"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0.965</w:t>
            </w:r>
          </w:p>
        </w:tc>
        <w:tc>
          <w:tcPr>
            <w:tcW w:w="680" w:type="dxa"/>
            <w:tcBorders>
              <w:top w:val="nil"/>
              <w:left w:val="nil"/>
              <w:bottom w:val="nil"/>
              <w:right w:val="nil"/>
            </w:tcBorders>
            <w:shd w:val="clear" w:color="auto" w:fill="auto"/>
            <w:noWrap/>
            <w:vAlign w:val="bottom"/>
            <w:hideMark/>
          </w:tcPr>
          <w:p w14:paraId="587FCF65"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0.307</w:t>
            </w:r>
          </w:p>
        </w:tc>
        <w:tc>
          <w:tcPr>
            <w:tcW w:w="767" w:type="dxa"/>
            <w:tcBorders>
              <w:top w:val="nil"/>
              <w:left w:val="nil"/>
              <w:bottom w:val="nil"/>
              <w:right w:val="single" w:sz="4" w:space="0" w:color="auto"/>
            </w:tcBorders>
            <w:shd w:val="clear" w:color="auto" w:fill="auto"/>
            <w:noWrap/>
            <w:vAlign w:val="bottom"/>
            <w:hideMark/>
          </w:tcPr>
          <w:p w14:paraId="3A4441AA"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0.183</w:t>
            </w:r>
          </w:p>
        </w:tc>
        <w:tc>
          <w:tcPr>
            <w:tcW w:w="617" w:type="dxa"/>
            <w:tcBorders>
              <w:top w:val="nil"/>
              <w:left w:val="nil"/>
              <w:bottom w:val="nil"/>
              <w:right w:val="nil"/>
            </w:tcBorders>
            <w:shd w:val="clear" w:color="auto" w:fill="auto"/>
            <w:noWrap/>
            <w:vAlign w:val="bottom"/>
            <w:hideMark/>
          </w:tcPr>
          <w:p w14:paraId="6797E6C7"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 </w:t>
            </w:r>
          </w:p>
        </w:tc>
        <w:tc>
          <w:tcPr>
            <w:tcW w:w="680" w:type="dxa"/>
            <w:tcBorders>
              <w:top w:val="nil"/>
              <w:left w:val="nil"/>
              <w:bottom w:val="nil"/>
              <w:right w:val="nil"/>
            </w:tcBorders>
            <w:shd w:val="clear" w:color="auto" w:fill="auto"/>
            <w:noWrap/>
            <w:vAlign w:val="bottom"/>
            <w:hideMark/>
          </w:tcPr>
          <w:p w14:paraId="497D6032" w14:textId="77777777" w:rsidR="00E2275A" w:rsidRPr="00C522DC" w:rsidRDefault="00E2275A" w:rsidP="00E2275A">
            <w:pPr>
              <w:spacing w:before="0"/>
              <w:jc w:val="center"/>
              <w:rPr>
                <w:rFonts w:ascii="Arial" w:eastAsia="Times New Roman" w:hAnsi="Arial" w:cs="Arial"/>
                <w:color w:val="000000"/>
                <w:sz w:val="16"/>
                <w:szCs w:val="16"/>
                <w:lang w:val="en-US" w:eastAsia="en-US"/>
              </w:rPr>
            </w:pPr>
          </w:p>
        </w:tc>
        <w:tc>
          <w:tcPr>
            <w:tcW w:w="767" w:type="dxa"/>
            <w:tcBorders>
              <w:top w:val="nil"/>
              <w:left w:val="nil"/>
              <w:bottom w:val="nil"/>
              <w:right w:val="single" w:sz="4" w:space="0" w:color="auto"/>
            </w:tcBorders>
            <w:shd w:val="clear" w:color="auto" w:fill="auto"/>
            <w:noWrap/>
            <w:vAlign w:val="bottom"/>
            <w:hideMark/>
          </w:tcPr>
          <w:p w14:paraId="69E03A53"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 </w:t>
            </w:r>
          </w:p>
        </w:tc>
      </w:tr>
      <w:tr w:rsidR="00E2275A" w:rsidRPr="00C522DC" w14:paraId="49EE5BFF" w14:textId="77777777" w:rsidTr="00D94728">
        <w:trPr>
          <w:trHeight w:val="250"/>
        </w:trPr>
        <w:tc>
          <w:tcPr>
            <w:tcW w:w="1820" w:type="dxa"/>
            <w:tcBorders>
              <w:top w:val="nil"/>
              <w:left w:val="single" w:sz="4" w:space="0" w:color="auto"/>
              <w:bottom w:val="single" w:sz="4" w:space="0" w:color="auto"/>
              <w:right w:val="single" w:sz="4" w:space="0" w:color="auto"/>
            </w:tcBorders>
            <w:shd w:val="clear" w:color="auto" w:fill="auto"/>
            <w:noWrap/>
            <w:vAlign w:val="bottom"/>
            <w:hideMark/>
          </w:tcPr>
          <w:p w14:paraId="287F1545" w14:textId="77777777" w:rsidR="00E2275A" w:rsidRPr="00C522DC" w:rsidRDefault="00E2275A" w:rsidP="00E2275A">
            <w:pPr>
              <w:spacing w:before="0"/>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PAMD_DTAG1</w:t>
            </w:r>
          </w:p>
        </w:tc>
        <w:tc>
          <w:tcPr>
            <w:tcW w:w="617" w:type="dxa"/>
            <w:tcBorders>
              <w:top w:val="nil"/>
              <w:left w:val="nil"/>
              <w:bottom w:val="single" w:sz="4" w:space="0" w:color="auto"/>
              <w:right w:val="nil"/>
            </w:tcBorders>
            <w:shd w:val="clear" w:color="auto" w:fill="auto"/>
            <w:noWrap/>
            <w:vAlign w:val="bottom"/>
            <w:hideMark/>
          </w:tcPr>
          <w:p w14:paraId="2E5FD1E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0.939</w:t>
            </w:r>
          </w:p>
        </w:tc>
        <w:tc>
          <w:tcPr>
            <w:tcW w:w="680" w:type="dxa"/>
            <w:tcBorders>
              <w:top w:val="nil"/>
              <w:left w:val="nil"/>
              <w:bottom w:val="single" w:sz="4" w:space="0" w:color="auto"/>
              <w:right w:val="nil"/>
            </w:tcBorders>
            <w:shd w:val="clear" w:color="auto" w:fill="auto"/>
            <w:noWrap/>
            <w:vAlign w:val="bottom"/>
            <w:hideMark/>
          </w:tcPr>
          <w:p w14:paraId="2D0482F4"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0.299</w:t>
            </w:r>
          </w:p>
        </w:tc>
        <w:tc>
          <w:tcPr>
            <w:tcW w:w="767" w:type="dxa"/>
            <w:tcBorders>
              <w:top w:val="nil"/>
              <w:left w:val="nil"/>
              <w:bottom w:val="single" w:sz="4" w:space="0" w:color="auto"/>
              <w:right w:val="single" w:sz="4" w:space="0" w:color="auto"/>
            </w:tcBorders>
            <w:shd w:val="clear" w:color="auto" w:fill="auto"/>
            <w:noWrap/>
            <w:vAlign w:val="bottom"/>
            <w:hideMark/>
          </w:tcPr>
          <w:p w14:paraId="2120A40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0.158</w:t>
            </w:r>
          </w:p>
        </w:tc>
        <w:tc>
          <w:tcPr>
            <w:tcW w:w="617" w:type="dxa"/>
            <w:tcBorders>
              <w:top w:val="nil"/>
              <w:left w:val="nil"/>
              <w:bottom w:val="single" w:sz="4" w:space="0" w:color="auto"/>
              <w:right w:val="nil"/>
            </w:tcBorders>
            <w:shd w:val="clear" w:color="auto" w:fill="auto"/>
            <w:noWrap/>
            <w:vAlign w:val="bottom"/>
            <w:hideMark/>
          </w:tcPr>
          <w:p w14:paraId="7C419521" w14:textId="1989569C"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0.830</w:t>
            </w:r>
          </w:p>
        </w:tc>
        <w:tc>
          <w:tcPr>
            <w:tcW w:w="680" w:type="dxa"/>
            <w:tcBorders>
              <w:top w:val="nil"/>
              <w:left w:val="nil"/>
              <w:bottom w:val="single" w:sz="4" w:space="0" w:color="auto"/>
              <w:right w:val="nil"/>
            </w:tcBorders>
            <w:shd w:val="clear" w:color="auto" w:fill="auto"/>
            <w:noWrap/>
            <w:vAlign w:val="bottom"/>
            <w:hideMark/>
          </w:tcPr>
          <w:p w14:paraId="7B03051A" w14:textId="6CA3970B"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0.460</w:t>
            </w:r>
          </w:p>
        </w:tc>
        <w:tc>
          <w:tcPr>
            <w:tcW w:w="767" w:type="dxa"/>
            <w:tcBorders>
              <w:top w:val="nil"/>
              <w:left w:val="nil"/>
              <w:bottom w:val="single" w:sz="4" w:space="0" w:color="auto"/>
              <w:right w:val="single" w:sz="4" w:space="0" w:color="auto"/>
            </w:tcBorders>
            <w:shd w:val="clear" w:color="auto" w:fill="auto"/>
            <w:noWrap/>
            <w:vAlign w:val="bottom"/>
            <w:hideMark/>
          </w:tcPr>
          <w:p w14:paraId="3DE7A8DC" w14:textId="579B5769"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0.256</w:t>
            </w:r>
          </w:p>
        </w:tc>
        <w:tc>
          <w:tcPr>
            <w:tcW w:w="617" w:type="dxa"/>
            <w:tcBorders>
              <w:top w:val="nil"/>
              <w:left w:val="nil"/>
              <w:bottom w:val="single" w:sz="4" w:space="0" w:color="auto"/>
              <w:right w:val="nil"/>
            </w:tcBorders>
            <w:shd w:val="clear" w:color="auto" w:fill="auto"/>
            <w:noWrap/>
            <w:vAlign w:val="bottom"/>
            <w:hideMark/>
          </w:tcPr>
          <w:p w14:paraId="7B45E7D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0.934</w:t>
            </w:r>
          </w:p>
        </w:tc>
        <w:tc>
          <w:tcPr>
            <w:tcW w:w="680" w:type="dxa"/>
            <w:tcBorders>
              <w:top w:val="nil"/>
              <w:left w:val="nil"/>
              <w:bottom w:val="single" w:sz="4" w:space="0" w:color="auto"/>
              <w:right w:val="nil"/>
            </w:tcBorders>
            <w:shd w:val="clear" w:color="auto" w:fill="auto"/>
            <w:noWrap/>
            <w:vAlign w:val="bottom"/>
            <w:hideMark/>
          </w:tcPr>
          <w:p w14:paraId="43DC4733"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0.305</w:t>
            </w:r>
          </w:p>
        </w:tc>
        <w:tc>
          <w:tcPr>
            <w:tcW w:w="767" w:type="dxa"/>
            <w:tcBorders>
              <w:top w:val="nil"/>
              <w:left w:val="nil"/>
              <w:bottom w:val="single" w:sz="4" w:space="0" w:color="auto"/>
              <w:right w:val="single" w:sz="4" w:space="0" w:color="auto"/>
            </w:tcBorders>
            <w:shd w:val="clear" w:color="auto" w:fill="auto"/>
            <w:noWrap/>
            <w:vAlign w:val="bottom"/>
            <w:hideMark/>
          </w:tcPr>
          <w:p w14:paraId="74A44192"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sz w:val="16"/>
                <w:szCs w:val="16"/>
                <w:lang w:val="en-US" w:eastAsia="en-US"/>
              </w:rPr>
              <w:t>0.130</w:t>
            </w:r>
          </w:p>
        </w:tc>
        <w:tc>
          <w:tcPr>
            <w:tcW w:w="617" w:type="dxa"/>
            <w:tcBorders>
              <w:top w:val="nil"/>
              <w:left w:val="nil"/>
              <w:bottom w:val="single" w:sz="4" w:space="0" w:color="auto"/>
              <w:right w:val="nil"/>
            </w:tcBorders>
            <w:shd w:val="clear" w:color="auto" w:fill="auto"/>
            <w:noWrap/>
            <w:vAlign w:val="bottom"/>
            <w:hideMark/>
          </w:tcPr>
          <w:p w14:paraId="5C747A45"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 </w:t>
            </w:r>
          </w:p>
        </w:tc>
        <w:tc>
          <w:tcPr>
            <w:tcW w:w="680" w:type="dxa"/>
            <w:tcBorders>
              <w:top w:val="nil"/>
              <w:left w:val="nil"/>
              <w:bottom w:val="single" w:sz="4" w:space="0" w:color="auto"/>
              <w:right w:val="nil"/>
            </w:tcBorders>
            <w:shd w:val="clear" w:color="auto" w:fill="auto"/>
            <w:noWrap/>
            <w:vAlign w:val="bottom"/>
            <w:hideMark/>
          </w:tcPr>
          <w:p w14:paraId="7B838932"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 </w:t>
            </w:r>
          </w:p>
        </w:tc>
        <w:tc>
          <w:tcPr>
            <w:tcW w:w="767" w:type="dxa"/>
            <w:tcBorders>
              <w:top w:val="nil"/>
              <w:left w:val="nil"/>
              <w:bottom w:val="single" w:sz="4" w:space="0" w:color="auto"/>
              <w:right w:val="single" w:sz="4" w:space="0" w:color="auto"/>
            </w:tcBorders>
            <w:shd w:val="clear" w:color="auto" w:fill="auto"/>
            <w:noWrap/>
            <w:vAlign w:val="bottom"/>
            <w:hideMark/>
          </w:tcPr>
          <w:p w14:paraId="00334518" w14:textId="77777777" w:rsidR="00E2275A" w:rsidRPr="00C522DC" w:rsidRDefault="00E2275A" w:rsidP="00E2275A">
            <w:pPr>
              <w:spacing w:before="0"/>
              <w:jc w:val="center"/>
              <w:rPr>
                <w:rFonts w:ascii="Arial" w:eastAsia="Times New Roman" w:hAnsi="Arial" w:cs="Arial"/>
                <w:color w:val="000000"/>
                <w:sz w:val="16"/>
                <w:szCs w:val="16"/>
                <w:lang w:val="en-US" w:eastAsia="en-US"/>
              </w:rPr>
            </w:pPr>
            <w:r w:rsidRPr="00C522DC">
              <w:rPr>
                <w:rFonts w:ascii="Arial" w:eastAsia="Times New Roman" w:hAnsi="Arial" w:cs="Arial"/>
                <w:color w:val="000000"/>
                <w:sz w:val="16"/>
                <w:szCs w:val="16"/>
                <w:lang w:val="en-US" w:eastAsia="en-US"/>
              </w:rPr>
              <w:t> </w:t>
            </w:r>
          </w:p>
        </w:tc>
      </w:tr>
    </w:tbl>
    <w:p w14:paraId="584C1AE8" w14:textId="575847F4" w:rsidR="008F6E8D" w:rsidRDefault="008F6E8D" w:rsidP="008F6E8D">
      <w:pPr>
        <w:pStyle w:val="TableNotitle"/>
      </w:pPr>
      <w:r w:rsidRPr="00C522DC">
        <w:t>Table I.1. Results of the model</w:t>
      </w:r>
      <w:r w:rsidR="00AA2F51">
        <w:t>s described in this Recommendation</w:t>
      </w:r>
      <w:r w:rsidRPr="00C522DC">
        <w:t xml:space="preserve"> on available databases. </w:t>
      </w:r>
      <w:r w:rsidR="00C56D35" w:rsidRPr="00C522DC">
        <w:t xml:space="preserve">RMSE values are computed after </w:t>
      </w:r>
      <w:r w:rsidR="002B3092" w:rsidRPr="00C522DC">
        <w:t xml:space="preserve">a </w:t>
      </w:r>
      <w:r w:rsidR="00C56D35" w:rsidRPr="00C522DC">
        <w:t xml:space="preserve">1st order </w:t>
      </w:r>
      <w:r w:rsidR="00BB0F22" w:rsidRPr="00C522DC">
        <w:t xml:space="preserve">polynomial </w:t>
      </w:r>
      <w:r w:rsidR="00C56D35" w:rsidRPr="00C522DC">
        <w:t xml:space="preserve">mapping, while RMSE* values are computed after </w:t>
      </w:r>
      <w:r w:rsidR="002B3092" w:rsidRPr="00C522DC">
        <w:t xml:space="preserve">a </w:t>
      </w:r>
      <w:r w:rsidR="00C56D35" w:rsidRPr="00C522DC">
        <w:t xml:space="preserve">3rd order </w:t>
      </w:r>
      <w:r w:rsidR="00BB0F22" w:rsidRPr="00C522DC">
        <w:t xml:space="preserve">polynomial </w:t>
      </w:r>
      <w:r w:rsidR="00C56D35" w:rsidRPr="00C522DC">
        <w:t>mapping.</w:t>
      </w:r>
    </w:p>
    <w:p w14:paraId="7AB11344" w14:textId="77777777" w:rsidR="008F6E8D" w:rsidRDefault="008F6E8D" w:rsidP="008F6E8D">
      <w:pPr>
        <w:overflowPunct w:val="0"/>
        <w:autoSpaceDE w:val="0"/>
        <w:autoSpaceDN w:val="0"/>
        <w:adjustRightInd w:val="0"/>
        <w:textAlignment w:val="baseline"/>
      </w:pPr>
    </w:p>
    <w:p w14:paraId="7EEF14D3" w14:textId="77777777" w:rsidR="008F6E8D" w:rsidRDefault="008F6E8D" w:rsidP="002F45E1"/>
    <w:p w14:paraId="281A23AF" w14:textId="72CC00EE" w:rsidR="00CE0C8E" w:rsidRDefault="00CE0C8E">
      <w:pPr>
        <w:spacing w:before="0" w:after="160" w:line="259" w:lineRule="auto"/>
      </w:pPr>
      <w:r>
        <w:br w:type="page"/>
      </w:r>
    </w:p>
    <w:p w14:paraId="440E0B57" w14:textId="5F6CD7F2" w:rsidR="00CE0C8E" w:rsidRPr="00EC2A42" w:rsidRDefault="00CE0C8E" w:rsidP="00CE0C8E">
      <w:pPr>
        <w:pStyle w:val="AppendixNotitle"/>
        <w:pageBreakBefore/>
      </w:pPr>
      <w:r w:rsidRPr="00EC2A42">
        <w:lastRenderedPageBreak/>
        <w:t>Appendix I</w:t>
      </w:r>
      <w:r>
        <w:t>I</w:t>
      </w:r>
      <w:r w:rsidRPr="00EC2A42">
        <w:br/>
      </w:r>
      <w:r w:rsidRPr="00EC2A42">
        <w:br/>
      </w:r>
      <w:r>
        <w:t>Test Instructions</w:t>
      </w:r>
    </w:p>
    <w:p w14:paraId="69D5EFEE" w14:textId="77777777" w:rsidR="00CE0C8E" w:rsidRPr="00EC2A42" w:rsidRDefault="00CE0C8E" w:rsidP="00CE0C8E">
      <w:pPr>
        <w:jc w:val="center"/>
      </w:pPr>
      <w:r w:rsidRPr="00EC2A42">
        <w:t>(This appendix does not form an integral part of this Recommendation.)</w:t>
      </w:r>
      <w:r w:rsidRPr="00EC2A42">
        <w:br/>
      </w:r>
    </w:p>
    <w:p w14:paraId="5E86F5BC" w14:textId="77777777" w:rsidR="00B6430E" w:rsidRDefault="00B6430E" w:rsidP="00B6430E">
      <w:pPr>
        <w:jc w:val="both"/>
      </w:pPr>
      <w:r>
        <w:t xml:space="preserve">Thank you for attending this experiment. Please take your time for reading these instructions. If you have any questions, please approach the experimenter. </w:t>
      </w:r>
    </w:p>
    <w:p w14:paraId="7A8E1E83" w14:textId="77777777" w:rsidR="00B6430E" w:rsidRDefault="00B6430E" w:rsidP="00B6430E">
      <w:pPr>
        <w:jc w:val="both"/>
      </w:pPr>
      <w:r>
        <w:t xml:space="preserve">You are taking part in a listening test today where you are going to judge </w:t>
      </w:r>
      <w:r w:rsidRPr="007A007A">
        <w:rPr>
          <w:i/>
        </w:rPr>
        <w:t>features</w:t>
      </w:r>
      <w:r>
        <w:t xml:space="preserve"> of speech samples. Each sample was spoken by the same speaker but differs in its characteristic.</w:t>
      </w:r>
    </w:p>
    <w:p w14:paraId="3935730A" w14:textId="77777777" w:rsidR="00B6430E" w:rsidRDefault="00B6430E" w:rsidP="00B6430E">
      <w:pPr>
        <w:jc w:val="both"/>
      </w:pPr>
      <w:r>
        <w:t xml:space="preserve">The characteristic of each sample should be judged by means of </w:t>
      </w:r>
      <w:r>
        <w:rPr>
          <w:i/>
        </w:rPr>
        <w:t>three descriptive scales</w:t>
      </w:r>
      <w:r>
        <w:t>. As a first step, you are going to get accustomed with them. In the following, the scales and their usage will be described.</w:t>
      </w:r>
    </w:p>
    <w:p w14:paraId="528B0C64" w14:textId="77777777" w:rsidR="00B6430E" w:rsidRDefault="00B6430E" w:rsidP="00B6430E">
      <w:pPr>
        <w:jc w:val="both"/>
      </w:pPr>
      <w:r>
        <w:t xml:space="preserve">Each scale is labelled with attributes at both ends. You are going to give a judgment about in how far the </w:t>
      </w:r>
      <w:r>
        <w:rPr>
          <w:i/>
        </w:rPr>
        <w:t>characteristic</w:t>
      </w:r>
      <w:r>
        <w:t xml:space="preserve"> of a speech sample can be described by the attributes.</w:t>
      </w:r>
    </w:p>
    <w:p w14:paraId="3B67364A" w14:textId="77777777" w:rsidR="00B6430E" w:rsidRDefault="00B6430E" w:rsidP="00B6430E">
      <w:pPr>
        <w:jc w:val="both"/>
      </w:pPr>
      <w:r>
        <w:rPr>
          <w:i/>
        </w:rPr>
        <w:t>1.) Noisiness</w:t>
      </w:r>
    </w:p>
    <w:p w14:paraId="019A862F" w14:textId="77777777" w:rsidR="00B6430E" w:rsidRDefault="00B6430E" w:rsidP="00B6430E">
      <w:pPr>
        <w:jc w:val="both"/>
      </w:pPr>
      <w:r>
        <w:t>One of the scales is labelled with “noisy” and “not noisy”. It is depicted in the following:</w:t>
      </w:r>
    </w:p>
    <w:p w14:paraId="201A6FA0" w14:textId="77777777" w:rsidR="00B6430E" w:rsidRPr="00E16545" w:rsidRDefault="00B6430E" w:rsidP="00B6430E">
      <w:pPr>
        <w:jc w:val="both"/>
        <w:rPr>
          <w:lang w:val="en-US"/>
        </w:rPr>
      </w:pPr>
    </w:p>
    <w:p w14:paraId="31390998" w14:textId="7016052D" w:rsidR="00B6430E" w:rsidRPr="00E16545" w:rsidRDefault="00C522DC" w:rsidP="00B6430E">
      <w:pPr>
        <w:keepNext/>
        <w:jc w:val="center"/>
        <w:rPr>
          <w:lang w:val="en-US"/>
        </w:rPr>
      </w:pPr>
      <w:r>
        <w:rPr>
          <w:noProof/>
          <w:lang w:val="en-US"/>
        </w:rPr>
        <w:drawing>
          <wp:inline distT="0" distB="0" distL="0" distR="0" wp14:anchorId="153CE5AB" wp14:editId="5C439827">
            <wp:extent cx="5320146" cy="631971"/>
            <wp:effectExtent l="0" t="0" r="127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a:extLst>
                        <a:ext uri="{28A0092B-C50C-407E-A947-70E740481C1C}">
                          <a14:useLocalDpi xmlns:a14="http://schemas.microsoft.com/office/drawing/2010/main" val="0"/>
                        </a:ext>
                      </a:extLst>
                    </a:blip>
                    <a:stretch>
                      <a:fillRect/>
                    </a:stretch>
                  </pic:blipFill>
                  <pic:spPr>
                    <a:xfrm>
                      <a:off x="0" y="0"/>
                      <a:ext cx="5409376" cy="642570"/>
                    </a:xfrm>
                    <a:prstGeom prst="rect">
                      <a:avLst/>
                    </a:prstGeom>
                  </pic:spPr>
                </pic:pic>
              </a:graphicData>
            </a:graphic>
          </wp:inline>
        </w:drawing>
      </w:r>
    </w:p>
    <w:p w14:paraId="7431E199" w14:textId="18F6C5F8" w:rsidR="00B6430E" w:rsidRPr="00E16545" w:rsidRDefault="00B6430E" w:rsidP="00B6430E">
      <w:pPr>
        <w:pStyle w:val="Caption"/>
        <w:jc w:val="center"/>
        <w:rPr>
          <w:b/>
          <w:lang w:val="en-US"/>
        </w:rPr>
      </w:pPr>
      <w:r w:rsidRPr="00E16545">
        <w:rPr>
          <w:b/>
          <w:lang w:val="en-US"/>
        </w:rPr>
        <w:t>"Noisiness" scale.</w:t>
      </w:r>
    </w:p>
    <w:p w14:paraId="38A896D1" w14:textId="77777777" w:rsidR="00B6430E" w:rsidRPr="00023B1A" w:rsidRDefault="00B6430E" w:rsidP="00B6430E">
      <w:pPr>
        <w:jc w:val="both"/>
        <w:rPr>
          <w:lang w:val="en-US"/>
        </w:rPr>
      </w:pPr>
    </w:p>
    <w:p w14:paraId="36AEA545" w14:textId="77777777" w:rsidR="00B6430E" w:rsidRDefault="00B6430E" w:rsidP="00B6430E">
      <w:pPr>
        <w:jc w:val="both"/>
      </w:pPr>
      <w:r>
        <w:t xml:space="preserve">With this scale, the </w:t>
      </w:r>
      <w:r>
        <w:rPr>
          <w:i/>
        </w:rPr>
        <w:t>noisiness</w:t>
      </w:r>
      <w:r>
        <w:t xml:space="preserve"> of the sample should be judged. The labels “not noisy” and “noisy” can be paraphrased with</w:t>
      </w:r>
      <w:r w:rsidRPr="00372BF3">
        <w:t xml:space="preserve"> the terms </w:t>
      </w:r>
      <w:r w:rsidRPr="00D448D4">
        <w:rPr>
          <w:i/>
        </w:rPr>
        <w:t>not hissing</w:t>
      </w:r>
      <w:r w:rsidRPr="00372BF3">
        <w:t xml:space="preserve"> and </w:t>
      </w:r>
      <w:r w:rsidRPr="00D448D4">
        <w:rPr>
          <w:i/>
        </w:rPr>
        <w:t>hissing</w:t>
      </w:r>
      <w:r w:rsidRPr="00372BF3">
        <w:t>, respectively</w:t>
      </w:r>
      <w:r>
        <w:t>.</w:t>
      </w:r>
    </w:p>
    <w:p w14:paraId="65071DA2" w14:textId="77777777" w:rsidR="00B6430E" w:rsidRDefault="00B6430E" w:rsidP="00B6430E">
      <w:pPr>
        <w:jc w:val="both"/>
      </w:pPr>
      <w:r>
        <w:t xml:space="preserve">If you think that the speech sample is </w:t>
      </w:r>
      <w:r>
        <w:rPr>
          <w:i/>
        </w:rPr>
        <w:t>very noisy</w:t>
      </w:r>
      <w:r>
        <w:t xml:space="preserve"> move the software slider to the following position:</w:t>
      </w:r>
    </w:p>
    <w:p w14:paraId="5D08BA53" w14:textId="7B1FFBF9" w:rsidR="00B6430E" w:rsidRDefault="00472F6E" w:rsidP="00B6430E">
      <w:pPr>
        <w:jc w:val="center"/>
      </w:pPr>
      <w:r>
        <w:rPr>
          <w:noProof/>
        </w:rPr>
        <w:drawing>
          <wp:inline distT="0" distB="0" distL="0" distR="0" wp14:anchorId="5AB2ACED" wp14:editId="13A0F883">
            <wp:extent cx="4359564" cy="985979"/>
            <wp:effectExtent l="0" t="0" r="0" b="5080"/>
            <wp:docPr id="11" name="Picture 11" descr="A picture containing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rectangle&#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403287" cy="995868"/>
                    </a:xfrm>
                    <a:prstGeom prst="rect">
                      <a:avLst/>
                    </a:prstGeom>
                  </pic:spPr>
                </pic:pic>
              </a:graphicData>
            </a:graphic>
          </wp:inline>
        </w:drawing>
      </w:r>
    </w:p>
    <w:p w14:paraId="32E0E043" w14:textId="77777777" w:rsidR="00B6430E" w:rsidRDefault="00B6430E" w:rsidP="00B6430E">
      <w:pPr>
        <w:jc w:val="both"/>
      </w:pPr>
    </w:p>
    <w:p w14:paraId="78084992" w14:textId="77777777" w:rsidR="00B6430E" w:rsidRDefault="00B6430E" w:rsidP="00B6430E">
      <w:pPr>
        <w:jc w:val="both"/>
      </w:pPr>
      <w:r>
        <w:t>If you do not perceive any noisiness, move the slider to the position “not noisy”:</w:t>
      </w:r>
    </w:p>
    <w:p w14:paraId="70FB6112" w14:textId="5404DF3D" w:rsidR="00B6430E" w:rsidRDefault="00472F6E" w:rsidP="00B6430E">
      <w:pPr>
        <w:jc w:val="center"/>
      </w:pPr>
      <w:r>
        <w:rPr>
          <w:noProof/>
        </w:rPr>
        <w:drawing>
          <wp:inline distT="0" distB="0" distL="0" distR="0" wp14:anchorId="59A7F830" wp14:editId="1BE921DB">
            <wp:extent cx="4239491" cy="980374"/>
            <wp:effectExtent l="0" t="0" r="2540" b="0"/>
            <wp:docPr id="12" name="Picture 12" descr="A picture containing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rectangl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332510" cy="1001884"/>
                    </a:xfrm>
                    <a:prstGeom prst="rect">
                      <a:avLst/>
                    </a:prstGeom>
                  </pic:spPr>
                </pic:pic>
              </a:graphicData>
            </a:graphic>
          </wp:inline>
        </w:drawing>
      </w:r>
    </w:p>
    <w:p w14:paraId="76C7D344" w14:textId="77777777" w:rsidR="00B6430E" w:rsidRDefault="00B6430E" w:rsidP="00B6430E">
      <w:pPr>
        <w:jc w:val="both"/>
      </w:pPr>
    </w:p>
    <w:p w14:paraId="6B00CEE9" w14:textId="77777777" w:rsidR="00B6430E" w:rsidRDefault="00B6430E" w:rsidP="00B6430E">
      <w:pPr>
        <w:jc w:val="both"/>
      </w:pPr>
      <w:r>
        <w:t>You can make use of the whole range of the scale in order to describe the degree in noisiness. For instance, if you think the degree in noisiness is just moderate, you could move the slider to this position:</w:t>
      </w:r>
    </w:p>
    <w:p w14:paraId="190EC08D" w14:textId="4C03E0D0" w:rsidR="00B6430E" w:rsidRDefault="00472F6E" w:rsidP="00B6430E">
      <w:pPr>
        <w:jc w:val="center"/>
      </w:pPr>
      <w:r>
        <w:rPr>
          <w:noProof/>
        </w:rPr>
        <w:lastRenderedPageBreak/>
        <w:drawing>
          <wp:inline distT="0" distB="0" distL="0" distR="0" wp14:anchorId="31386BB0" wp14:editId="5C880AFD">
            <wp:extent cx="4378037" cy="987886"/>
            <wp:effectExtent l="0" t="0" r="3810" b="3175"/>
            <wp:docPr id="13" name="Picture 1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Shape&#10;&#10;Description automatically generated with low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29460" cy="999489"/>
                    </a:xfrm>
                    <a:prstGeom prst="rect">
                      <a:avLst/>
                    </a:prstGeom>
                  </pic:spPr>
                </pic:pic>
              </a:graphicData>
            </a:graphic>
          </wp:inline>
        </w:drawing>
      </w:r>
    </w:p>
    <w:p w14:paraId="65FD9718" w14:textId="77777777" w:rsidR="00B6430E" w:rsidRDefault="00B6430E" w:rsidP="00B6430E">
      <w:pPr>
        <w:jc w:val="both"/>
      </w:pPr>
    </w:p>
    <w:p w14:paraId="4C9A648F" w14:textId="77777777" w:rsidR="00B6430E" w:rsidRDefault="00B6430E" w:rsidP="00B6430E">
      <w:pPr>
        <w:jc w:val="both"/>
      </w:pPr>
      <w:r>
        <w:t>Perhaps, the sample is distinctly noisy, but not extremely noisy, your judgment could look as follows:</w:t>
      </w:r>
    </w:p>
    <w:p w14:paraId="5A10B0EB" w14:textId="77777777" w:rsidR="00B6430E" w:rsidRDefault="00B6430E" w:rsidP="00B6430E">
      <w:pPr>
        <w:jc w:val="both"/>
      </w:pPr>
    </w:p>
    <w:p w14:paraId="4D600196" w14:textId="7F650D1B" w:rsidR="00B6430E" w:rsidRDefault="00472F6E" w:rsidP="00B6430E">
      <w:pPr>
        <w:jc w:val="center"/>
      </w:pPr>
      <w:r>
        <w:rPr>
          <w:noProof/>
        </w:rPr>
        <w:drawing>
          <wp:inline distT="0" distB="0" distL="0" distR="0" wp14:anchorId="6BC49EFA" wp14:editId="7113DC0C">
            <wp:extent cx="4461164" cy="995072"/>
            <wp:effectExtent l="0" t="0" r="0" b="0"/>
            <wp:docPr id="14" name="Picture 14" descr="A picture containing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rectangle&#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513951" cy="1006846"/>
                    </a:xfrm>
                    <a:prstGeom prst="rect">
                      <a:avLst/>
                    </a:prstGeom>
                  </pic:spPr>
                </pic:pic>
              </a:graphicData>
            </a:graphic>
          </wp:inline>
        </w:drawing>
      </w:r>
    </w:p>
    <w:p w14:paraId="7729A5A4" w14:textId="77777777" w:rsidR="00B6430E" w:rsidRDefault="00B6430E" w:rsidP="00B6430E">
      <w:pPr>
        <w:jc w:val="both"/>
      </w:pPr>
    </w:p>
    <w:p w14:paraId="13C46FBB" w14:textId="77777777" w:rsidR="00B6430E" w:rsidRDefault="00B6430E" w:rsidP="00B6430E">
      <w:pPr>
        <w:jc w:val="both"/>
      </w:pPr>
      <w:r>
        <w:t>If needed, you can make use of the spaces if you do not want to decide between two tick marks.</w:t>
      </w:r>
    </w:p>
    <w:p w14:paraId="71FF02D1" w14:textId="77777777" w:rsidR="00B6430E" w:rsidRDefault="00B6430E" w:rsidP="00B6430E">
      <w:pPr>
        <w:jc w:val="both"/>
      </w:pPr>
      <w:r>
        <w:t>In particular, you can use the “overflow areas” beyond the labels if those do not suffice for you judgment, e.g.:</w:t>
      </w:r>
    </w:p>
    <w:p w14:paraId="5F1BFA5E" w14:textId="34BD4CD8" w:rsidR="00B6430E" w:rsidRDefault="00472F6E" w:rsidP="00B6430E">
      <w:pPr>
        <w:jc w:val="center"/>
      </w:pPr>
      <w:r>
        <w:rPr>
          <w:noProof/>
        </w:rPr>
        <w:drawing>
          <wp:inline distT="0" distB="0" distL="0" distR="0" wp14:anchorId="4CA0CBC6" wp14:editId="4FB64165">
            <wp:extent cx="4405746" cy="982711"/>
            <wp:effectExtent l="0" t="0" r="1270" b="0"/>
            <wp:docPr id="15" name="Picture 15" descr="A picture containing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rectangle&#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454955" cy="993687"/>
                    </a:xfrm>
                    <a:prstGeom prst="rect">
                      <a:avLst/>
                    </a:prstGeom>
                  </pic:spPr>
                </pic:pic>
              </a:graphicData>
            </a:graphic>
          </wp:inline>
        </w:drawing>
      </w:r>
    </w:p>
    <w:p w14:paraId="4F60DE76" w14:textId="77777777" w:rsidR="00B6430E" w:rsidRDefault="00B6430E" w:rsidP="00B6430E">
      <w:pPr>
        <w:jc w:val="both"/>
      </w:pPr>
    </w:p>
    <w:p w14:paraId="52432770" w14:textId="77777777" w:rsidR="00B6430E" w:rsidRDefault="00B6430E" w:rsidP="00B6430E">
      <w:pPr>
        <w:jc w:val="both"/>
        <w:rPr>
          <w:i/>
        </w:rPr>
      </w:pPr>
      <w:r>
        <w:rPr>
          <w:i/>
        </w:rPr>
        <w:t>2.) Discontinuity</w:t>
      </w:r>
    </w:p>
    <w:p w14:paraId="754CD3F8" w14:textId="77777777" w:rsidR="00B6430E" w:rsidRDefault="00B6430E" w:rsidP="00B6430E">
      <w:pPr>
        <w:jc w:val="both"/>
      </w:pPr>
      <w:r>
        <w:t xml:space="preserve">By means of a second scale you are going to judge the </w:t>
      </w:r>
      <w:r>
        <w:rPr>
          <w:i/>
        </w:rPr>
        <w:t>discontinuity</w:t>
      </w:r>
      <w:r>
        <w:t xml:space="preserve"> of a sample:</w:t>
      </w:r>
    </w:p>
    <w:p w14:paraId="1F6CBA98" w14:textId="77777777" w:rsidR="00B6430E" w:rsidRPr="00E16545" w:rsidRDefault="00B6430E" w:rsidP="00B6430E">
      <w:pPr>
        <w:rPr>
          <w:lang w:val="en-US"/>
        </w:rPr>
      </w:pPr>
    </w:p>
    <w:p w14:paraId="293F2978" w14:textId="3F500819" w:rsidR="00B6430E" w:rsidRPr="00E16545" w:rsidRDefault="00472F6E" w:rsidP="00B6430E">
      <w:pPr>
        <w:keepNext/>
        <w:jc w:val="center"/>
        <w:rPr>
          <w:lang w:val="en-US"/>
        </w:rPr>
      </w:pPr>
      <w:r>
        <w:rPr>
          <w:noProof/>
          <w:lang w:val="en-US"/>
        </w:rPr>
        <w:drawing>
          <wp:inline distT="0" distB="0" distL="0" distR="0" wp14:anchorId="214CFCED" wp14:editId="218FCED1">
            <wp:extent cx="5292148" cy="62864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5387640" cy="639988"/>
                    </a:xfrm>
                    <a:prstGeom prst="rect">
                      <a:avLst/>
                    </a:prstGeom>
                  </pic:spPr>
                </pic:pic>
              </a:graphicData>
            </a:graphic>
          </wp:inline>
        </w:drawing>
      </w:r>
    </w:p>
    <w:p w14:paraId="7726A8AC" w14:textId="46090461" w:rsidR="00B6430E" w:rsidRPr="00E16545" w:rsidRDefault="00B6430E" w:rsidP="00B6430E">
      <w:pPr>
        <w:pStyle w:val="Caption"/>
        <w:jc w:val="center"/>
        <w:rPr>
          <w:b/>
          <w:lang w:val="en-US"/>
        </w:rPr>
      </w:pPr>
      <w:r w:rsidRPr="00E16545">
        <w:rPr>
          <w:b/>
          <w:lang w:val="en-US"/>
        </w:rPr>
        <w:t>"Discontinuity" scale.</w:t>
      </w:r>
    </w:p>
    <w:p w14:paraId="2121C4A6" w14:textId="77777777" w:rsidR="00B6430E" w:rsidRDefault="00B6430E" w:rsidP="00B6430E">
      <w:pPr>
        <w:jc w:val="both"/>
      </w:pPr>
    </w:p>
    <w:p w14:paraId="2781D904" w14:textId="77777777" w:rsidR="00B6430E" w:rsidRDefault="00B6430E" w:rsidP="00B6430E">
      <w:pPr>
        <w:jc w:val="both"/>
      </w:pPr>
      <w:r>
        <w:t xml:space="preserve">The term “continuous” means that the speech sample is completely </w:t>
      </w:r>
      <w:r w:rsidRPr="00D448D4">
        <w:rPr>
          <w:i/>
        </w:rPr>
        <w:t>regular</w:t>
      </w:r>
      <w:r>
        <w:t xml:space="preserve">, </w:t>
      </w:r>
      <w:r w:rsidRPr="00D448D4">
        <w:rPr>
          <w:i/>
        </w:rPr>
        <w:t>steady</w:t>
      </w:r>
      <w:r>
        <w:t xml:space="preserve">, </w:t>
      </w:r>
      <w:r w:rsidRPr="00D448D4">
        <w:rPr>
          <w:i/>
        </w:rPr>
        <w:t>not chopped</w:t>
      </w:r>
      <w:r>
        <w:t xml:space="preserve">, </w:t>
      </w:r>
      <w:r w:rsidRPr="00D448D4">
        <w:rPr>
          <w:i/>
        </w:rPr>
        <w:t>not bubbling</w:t>
      </w:r>
      <w:r>
        <w:t xml:space="preserve">, and </w:t>
      </w:r>
      <w:r w:rsidRPr="00D448D4">
        <w:rPr>
          <w:i/>
        </w:rPr>
        <w:t>not ragged</w:t>
      </w:r>
      <w:r>
        <w:t xml:space="preserve">. “Discontinuous” can be paraphrased with the terms </w:t>
      </w:r>
      <w:r w:rsidRPr="00D448D4">
        <w:rPr>
          <w:i/>
        </w:rPr>
        <w:t>irregular</w:t>
      </w:r>
      <w:r>
        <w:t xml:space="preserve">, </w:t>
      </w:r>
      <w:r w:rsidRPr="00D448D4">
        <w:rPr>
          <w:i/>
        </w:rPr>
        <w:t>shaky</w:t>
      </w:r>
      <w:r>
        <w:t xml:space="preserve">, </w:t>
      </w:r>
      <w:r w:rsidRPr="00D448D4">
        <w:rPr>
          <w:i/>
        </w:rPr>
        <w:t>chopped</w:t>
      </w:r>
      <w:r>
        <w:t xml:space="preserve">, </w:t>
      </w:r>
      <w:r w:rsidRPr="00D448D4">
        <w:rPr>
          <w:i/>
        </w:rPr>
        <w:t>bubbling</w:t>
      </w:r>
      <w:r>
        <w:t xml:space="preserve">, and </w:t>
      </w:r>
      <w:r w:rsidRPr="00D448D4">
        <w:rPr>
          <w:i/>
        </w:rPr>
        <w:t>ragged</w:t>
      </w:r>
      <w:r>
        <w:t>.</w:t>
      </w:r>
    </w:p>
    <w:p w14:paraId="34B433C2" w14:textId="4BD40773" w:rsidR="00B6430E" w:rsidRPr="00B6430E" w:rsidRDefault="00B6430E" w:rsidP="00B6430E">
      <w:pPr>
        <w:jc w:val="both"/>
      </w:pPr>
      <w:r>
        <w:t>The usage of the scale takes place in the same way as it was described for the noisiness scale (see above).</w:t>
      </w:r>
    </w:p>
    <w:p w14:paraId="00327126" w14:textId="77777777" w:rsidR="00B6430E" w:rsidRDefault="00B6430E" w:rsidP="00B6430E">
      <w:pPr>
        <w:jc w:val="both"/>
      </w:pPr>
      <w:r>
        <w:rPr>
          <w:i/>
        </w:rPr>
        <w:t>3.) Coloration</w:t>
      </w:r>
    </w:p>
    <w:p w14:paraId="2A2B5FDA" w14:textId="77777777" w:rsidR="00B6430E" w:rsidRPr="00023B1A" w:rsidRDefault="00B6430E" w:rsidP="00B6430E">
      <w:pPr>
        <w:jc w:val="both"/>
      </w:pPr>
      <w:r>
        <w:t xml:space="preserve">The third scale serves for describing the </w:t>
      </w:r>
      <w:r>
        <w:rPr>
          <w:i/>
        </w:rPr>
        <w:t>coloration</w:t>
      </w:r>
      <w:r>
        <w:t xml:space="preserve"> of a sample</w:t>
      </w:r>
    </w:p>
    <w:p w14:paraId="5D08E5A4" w14:textId="100CF0CB" w:rsidR="00B6430E" w:rsidRPr="00E16545" w:rsidRDefault="00472F6E" w:rsidP="00B6430E">
      <w:pPr>
        <w:keepNext/>
        <w:jc w:val="center"/>
        <w:rPr>
          <w:lang w:val="en-US"/>
        </w:rPr>
      </w:pPr>
      <w:r>
        <w:rPr>
          <w:noProof/>
          <w:lang w:val="en-US"/>
        </w:rPr>
        <w:lastRenderedPageBreak/>
        <w:drawing>
          <wp:inline distT="0" distB="0" distL="0" distR="0" wp14:anchorId="78997848" wp14:editId="32A85133">
            <wp:extent cx="5246255" cy="623193"/>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4">
                      <a:extLst>
                        <a:ext uri="{28A0092B-C50C-407E-A947-70E740481C1C}">
                          <a14:useLocalDpi xmlns:a14="http://schemas.microsoft.com/office/drawing/2010/main" val="0"/>
                        </a:ext>
                      </a:extLst>
                    </a:blip>
                    <a:stretch>
                      <a:fillRect/>
                    </a:stretch>
                  </pic:blipFill>
                  <pic:spPr>
                    <a:xfrm>
                      <a:off x="0" y="0"/>
                      <a:ext cx="5343115" cy="634699"/>
                    </a:xfrm>
                    <a:prstGeom prst="rect">
                      <a:avLst/>
                    </a:prstGeom>
                  </pic:spPr>
                </pic:pic>
              </a:graphicData>
            </a:graphic>
          </wp:inline>
        </w:drawing>
      </w:r>
    </w:p>
    <w:p w14:paraId="395EBCB0" w14:textId="1749FF37" w:rsidR="00B6430E" w:rsidRPr="00E16545" w:rsidRDefault="00B6430E" w:rsidP="00B6430E">
      <w:pPr>
        <w:pStyle w:val="Caption"/>
        <w:jc w:val="center"/>
        <w:rPr>
          <w:b/>
          <w:lang w:val="en-US"/>
        </w:rPr>
      </w:pPr>
      <w:r w:rsidRPr="00E16545">
        <w:rPr>
          <w:b/>
          <w:lang w:val="en-US"/>
        </w:rPr>
        <w:t>"Coloration" scale</w:t>
      </w:r>
      <w:r w:rsidR="00472F6E">
        <w:rPr>
          <w:b/>
          <w:lang w:val="en-US"/>
        </w:rPr>
        <w:t>.</w:t>
      </w:r>
    </w:p>
    <w:p w14:paraId="02798C4D" w14:textId="77777777" w:rsidR="00B6430E" w:rsidRDefault="00B6430E" w:rsidP="00B6430E">
      <w:pPr>
        <w:jc w:val="both"/>
      </w:pPr>
    </w:p>
    <w:p w14:paraId="0C0809B8" w14:textId="77777777" w:rsidR="00B6430E" w:rsidRDefault="00B6430E" w:rsidP="00B6430E">
      <w:pPr>
        <w:jc w:val="both"/>
      </w:pPr>
      <w:r>
        <w:t xml:space="preserve">The term “colored” means that the sample sounds </w:t>
      </w:r>
      <w:r w:rsidRPr="002D1208">
        <w:rPr>
          <w:i/>
        </w:rPr>
        <w:t>direct</w:t>
      </w:r>
      <w:r>
        <w:t xml:space="preserve">, </w:t>
      </w:r>
      <w:r w:rsidRPr="002D1208">
        <w:rPr>
          <w:i/>
        </w:rPr>
        <w:t>close</w:t>
      </w:r>
      <w:r>
        <w:t xml:space="preserve">, </w:t>
      </w:r>
      <w:r w:rsidRPr="002D1208">
        <w:rPr>
          <w:i/>
        </w:rPr>
        <w:t>thick</w:t>
      </w:r>
      <w:r>
        <w:t xml:space="preserve">, and </w:t>
      </w:r>
      <w:r w:rsidRPr="002D1208">
        <w:rPr>
          <w:i/>
        </w:rPr>
        <w:t>not nasal</w:t>
      </w:r>
      <w:r>
        <w:t xml:space="preserve">. In contrast, the term “uncolored” means that the sample sounds </w:t>
      </w:r>
      <w:r w:rsidRPr="006F3CA0">
        <w:rPr>
          <w:i/>
        </w:rPr>
        <w:t>indirect</w:t>
      </w:r>
      <w:r>
        <w:t xml:space="preserve">, </w:t>
      </w:r>
      <w:r w:rsidRPr="006F3CA0">
        <w:rPr>
          <w:i/>
        </w:rPr>
        <w:t>distant</w:t>
      </w:r>
      <w:r>
        <w:t xml:space="preserve">, </w:t>
      </w:r>
      <w:r w:rsidRPr="006F3CA0">
        <w:rPr>
          <w:i/>
        </w:rPr>
        <w:t>thin</w:t>
      </w:r>
      <w:r>
        <w:t xml:space="preserve">, and </w:t>
      </w:r>
      <w:r w:rsidRPr="006F3CA0">
        <w:rPr>
          <w:i/>
        </w:rPr>
        <w:t>nasal</w:t>
      </w:r>
      <w:r>
        <w:t>.</w:t>
      </w:r>
    </w:p>
    <w:p w14:paraId="2B697D9D" w14:textId="72097C31" w:rsidR="00B6430E" w:rsidRDefault="00B6430E" w:rsidP="00B6430E">
      <w:pPr>
        <w:jc w:val="both"/>
      </w:pPr>
      <w:r>
        <w:t>Again, the usage of the scale takes place in the same way as it was described for the noisiness scale (see above).</w:t>
      </w:r>
    </w:p>
    <w:p w14:paraId="0B795B3E" w14:textId="44A3CCF5" w:rsidR="00472F6E" w:rsidRDefault="00472F6E" w:rsidP="00472F6E">
      <w:pPr>
        <w:jc w:val="both"/>
      </w:pPr>
      <w:r>
        <w:rPr>
          <w:i/>
        </w:rPr>
        <w:t>4.) Sub-optimum Loudness</w:t>
      </w:r>
    </w:p>
    <w:p w14:paraId="70EE6280" w14:textId="733B0BE0" w:rsidR="00472F6E" w:rsidRDefault="00472F6E" w:rsidP="00B6430E">
      <w:pPr>
        <w:jc w:val="both"/>
      </w:pPr>
      <w:r>
        <w:t xml:space="preserve">The fourth scale serves for describing the </w:t>
      </w:r>
      <w:r>
        <w:rPr>
          <w:i/>
        </w:rPr>
        <w:t>loudness level</w:t>
      </w:r>
      <w:r>
        <w:t xml:space="preserve"> of a sample</w:t>
      </w:r>
    </w:p>
    <w:p w14:paraId="3B43826B" w14:textId="77777777" w:rsidR="00EA1421" w:rsidRDefault="00EA1421" w:rsidP="00B6430E">
      <w:pPr>
        <w:jc w:val="both"/>
      </w:pPr>
    </w:p>
    <w:p w14:paraId="78DF051F" w14:textId="77777777" w:rsidR="00472F6E" w:rsidRPr="00C522DC" w:rsidRDefault="00472F6E" w:rsidP="00472F6E">
      <w:pPr>
        <w:ind w:left="720" w:firstLine="720"/>
        <w:jc w:val="both"/>
        <w:rPr>
          <w:rFonts w:ascii="Helvetica" w:hAnsi="Helvetica" w:cs="Arial"/>
          <w:sz w:val="22"/>
          <w:szCs w:val="22"/>
          <w:lang w:val="en-US"/>
        </w:rPr>
      </w:pPr>
      <w:r>
        <w:rPr>
          <w:rFonts w:ascii="Helvetica" w:hAnsi="Helvetica" w:cs="Arial"/>
          <w:sz w:val="22"/>
          <w:szCs w:val="22"/>
          <w:lang w:val="en-US"/>
        </w:rPr>
        <w:t>o</w:t>
      </w:r>
      <w:r w:rsidRPr="00C522DC">
        <w:rPr>
          <w:rFonts w:ascii="Helvetica" w:hAnsi="Helvetica" w:cs="Arial"/>
          <w:sz w:val="22"/>
          <w:szCs w:val="22"/>
          <w:lang w:val="en-US"/>
        </w:rPr>
        <w:t>ptimum</w:t>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Pr>
          <w:rFonts w:ascii="Helvetica" w:hAnsi="Helvetica" w:cs="Arial"/>
          <w:sz w:val="22"/>
          <w:szCs w:val="22"/>
          <w:lang w:val="en-US"/>
        </w:rPr>
        <w:t>n</w:t>
      </w:r>
      <w:r w:rsidRPr="00C522DC">
        <w:rPr>
          <w:rFonts w:ascii="Helvetica" w:hAnsi="Helvetica" w:cs="Arial"/>
          <w:sz w:val="22"/>
          <w:szCs w:val="22"/>
          <w:lang w:val="en-US"/>
        </w:rPr>
        <w:t>on-optimum</w:t>
      </w:r>
    </w:p>
    <w:p w14:paraId="1ED4750B" w14:textId="77777777" w:rsidR="00472F6E" w:rsidRPr="00C522DC" w:rsidRDefault="00472F6E" w:rsidP="00472F6E">
      <w:pPr>
        <w:spacing w:before="0"/>
        <w:ind w:left="1588" w:hanging="148"/>
        <w:jc w:val="both"/>
        <w:rPr>
          <w:rFonts w:ascii="Helvetica" w:hAnsi="Helvetica" w:cs="Arial"/>
          <w:sz w:val="22"/>
          <w:szCs w:val="22"/>
          <w:lang w:val="en-US"/>
        </w:rPr>
      </w:pPr>
      <w:r>
        <w:rPr>
          <w:rFonts w:ascii="Helvetica" w:hAnsi="Helvetica" w:cs="Arial"/>
          <w:sz w:val="22"/>
          <w:szCs w:val="22"/>
          <w:lang w:val="en-US"/>
        </w:rPr>
        <w:t>l</w:t>
      </w:r>
      <w:r w:rsidRPr="00C522DC">
        <w:rPr>
          <w:rFonts w:ascii="Helvetica" w:hAnsi="Helvetica" w:cs="Arial"/>
          <w:sz w:val="22"/>
          <w:szCs w:val="22"/>
          <w:lang w:val="en-US"/>
        </w:rPr>
        <w:t xml:space="preserve">oudness </w:t>
      </w:r>
      <w:r>
        <w:rPr>
          <w:rFonts w:ascii="Helvetica" w:hAnsi="Helvetica" w:cs="Arial"/>
          <w:sz w:val="22"/>
          <w:szCs w:val="22"/>
          <w:lang w:val="en-US"/>
        </w:rPr>
        <w:t>l</w:t>
      </w:r>
      <w:r w:rsidRPr="00C522DC">
        <w:rPr>
          <w:rFonts w:ascii="Helvetica" w:hAnsi="Helvetica" w:cs="Arial"/>
          <w:sz w:val="22"/>
          <w:szCs w:val="22"/>
          <w:lang w:val="en-US"/>
        </w:rPr>
        <w:t>evel</w:t>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sidRPr="00C522DC">
        <w:rPr>
          <w:rFonts w:ascii="Helvetica" w:hAnsi="Helvetica" w:cs="Arial"/>
          <w:sz w:val="22"/>
          <w:szCs w:val="22"/>
          <w:lang w:val="en-US"/>
        </w:rPr>
        <w:tab/>
      </w:r>
      <w:r>
        <w:rPr>
          <w:rFonts w:ascii="Helvetica" w:hAnsi="Helvetica" w:cs="Arial"/>
          <w:sz w:val="22"/>
          <w:szCs w:val="22"/>
          <w:lang w:val="en-US"/>
        </w:rPr>
        <w:tab/>
        <w:t>l</w:t>
      </w:r>
      <w:r w:rsidRPr="00C522DC">
        <w:rPr>
          <w:rFonts w:ascii="Helvetica" w:hAnsi="Helvetica" w:cs="Arial"/>
          <w:sz w:val="22"/>
          <w:szCs w:val="22"/>
          <w:lang w:val="en-US"/>
        </w:rPr>
        <w:t xml:space="preserve">oudness </w:t>
      </w:r>
      <w:r>
        <w:rPr>
          <w:rFonts w:ascii="Helvetica" w:hAnsi="Helvetica" w:cs="Arial"/>
          <w:sz w:val="22"/>
          <w:szCs w:val="22"/>
          <w:lang w:val="en-US"/>
        </w:rPr>
        <w:t>l</w:t>
      </w:r>
      <w:r w:rsidRPr="00C522DC">
        <w:rPr>
          <w:rFonts w:ascii="Helvetica" w:hAnsi="Helvetica" w:cs="Arial"/>
          <w:sz w:val="22"/>
          <w:szCs w:val="22"/>
          <w:lang w:val="en-US"/>
        </w:rPr>
        <w:t>evel</w:t>
      </w:r>
    </w:p>
    <w:p w14:paraId="579AE75C" w14:textId="77777777" w:rsidR="00472F6E" w:rsidRPr="00E02252" w:rsidRDefault="00472F6E" w:rsidP="00472F6E">
      <w:pPr>
        <w:jc w:val="center"/>
        <w:rPr>
          <w:rFonts w:ascii="Comic Sans MS" w:hAnsi="Comic Sans MS" w:cs="Arial"/>
        </w:rPr>
      </w:pPr>
      <w:r>
        <w:rPr>
          <w:noProof/>
          <w:lang w:eastAsia="zh-CN"/>
        </w:rPr>
        <w:drawing>
          <wp:inline distT="0" distB="0" distL="0" distR="0" wp14:anchorId="7BE2EAE9" wp14:editId="4B5AEDD2">
            <wp:extent cx="5107305" cy="118745"/>
            <wp:effectExtent l="0" t="0" r="0" b="8255"/>
            <wp:docPr id="93" name="Picture 93" descr="scale_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scale_S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7305" cy="118745"/>
                    </a:xfrm>
                    <a:prstGeom prst="rect">
                      <a:avLst/>
                    </a:prstGeom>
                    <a:noFill/>
                    <a:ln>
                      <a:noFill/>
                    </a:ln>
                  </pic:spPr>
                </pic:pic>
              </a:graphicData>
            </a:graphic>
          </wp:inline>
        </w:drawing>
      </w:r>
    </w:p>
    <w:p w14:paraId="6CAA8F62" w14:textId="77777777" w:rsidR="00472F6E" w:rsidRPr="00E16545" w:rsidRDefault="00472F6E" w:rsidP="00472F6E">
      <w:pPr>
        <w:keepNext/>
        <w:jc w:val="center"/>
        <w:rPr>
          <w:lang w:val="en-US"/>
        </w:rPr>
      </w:pPr>
    </w:p>
    <w:p w14:paraId="785D7044" w14:textId="5FF3135F" w:rsidR="00472F6E" w:rsidRPr="00472F6E" w:rsidRDefault="00472F6E" w:rsidP="00B6430E">
      <w:pPr>
        <w:jc w:val="both"/>
        <w:rPr>
          <w:lang w:val="en-US"/>
        </w:rPr>
      </w:pPr>
      <w:r>
        <w:rPr>
          <w:lang w:val="en-US"/>
        </w:rPr>
        <w:t>The term “optimum loudness level” means that the loudness level is neither too high nor too low. In contrast, the term “non</w:t>
      </w:r>
      <w:r w:rsidR="00EA1421">
        <w:rPr>
          <w:lang w:val="en-US"/>
        </w:rPr>
        <w:t>-optimum loudness level” means that the loudness level is either too high or too low.</w:t>
      </w:r>
    </w:p>
    <w:p w14:paraId="5029365D" w14:textId="77777777" w:rsidR="00EA1421" w:rsidRDefault="00EA1421" w:rsidP="00EA1421">
      <w:pPr>
        <w:jc w:val="both"/>
      </w:pPr>
      <w:r>
        <w:t>Again, the usage of the scale takes place in the same way as it was described for the noisiness scale (see above).</w:t>
      </w:r>
    </w:p>
    <w:p w14:paraId="4AAA1EB6" w14:textId="77777777" w:rsidR="00B6430E" w:rsidRDefault="00B6430E" w:rsidP="00B6430E">
      <w:pPr>
        <w:jc w:val="both"/>
      </w:pPr>
    </w:p>
    <w:p w14:paraId="0904A920" w14:textId="7AB5BEC3" w:rsidR="00B6430E" w:rsidRDefault="00B6430E" w:rsidP="00B6430E">
      <w:pPr>
        <w:jc w:val="both"/>
      </w:pPr>
      <w:r>
        <w:t xml:space="preserve">Hopefully, the </w:t>
      </w:r>
      <w:r w:rsidR="00472F6E">
        <w:t>four</w:t>
      </w:r>
      <w:r>
        <w:t xml:space="preserve"> scales are conceptually already clear. In order to know how the features to be scaled sound like, listen to some typical speech samples which can be associated with a single scale each. Make use of this screen:</w:t>
      </w:r>
    </w:p>
    <w:p w14:paraId="12D8E497" w14:textId="77777777" w:rsidR="00B6430E" w:rsidRDefault="00B6430E" w:rsidP="00B6430E"/>
    <w:p w14:paraId="67668B24" w14:textId="21D9F815" w:rsidR="00B6430E" w:rsidRDefault="00EA1421" w:rsidP="00B6430E">
      <w:pPr>
        <w:keepNext/>
        <w:jc w:val="center"/>
      </w:pPr>
      <w:r>
        <w:rPr>
          <w:noProof/>
        </w:rPr>
        <w:drawing>
          <wp:inline distT="0" distB="0" distL="0" distR="0" wp14:anchorId="55121F56" wp14:editId="33490567">
            <wp:extent cx="3176337" cy="2414464"/>
            <wp:effectExtent l="0" t="0" r="0" b="0"/>
            <wp:docPr id="18" name="Picture 1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text, application&#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192787" cy="2426968"/>
                    </a:xfrm>
                    <a:prstGeom prst="rect">
                      <a:avLst/>
                    </a:prstGeom>
                  </pic:spPr>
                </pic:pic>
              </a:graphicData>
            </a:graphic>
          </wp:inline>
        </w:drawing>
      </w:r>
    </w:p>
    <w:p w14:paraId="25C63A47" w14:textId="3F672F1F" w:rsidR="00B6430E" w:rsidRDefault="00B6430E" w:rsidP="00B6430E">
      <w:pPr>
        <w:pStyle w:val="Caption"/>
        <w:jc w:val="center"/>
      </w:pPr>
      <w:r>
        <w:t>Figure II.</w:t>
      </w:r>
      <w:r>
        <w:fldChar w:fldCharType="begin"/>
      </w:r>
      <w:r>
        <w:instrText xml:space="preserve"> SEQ Figure \* ARABIC </w:instrText>
      </w:r>
      <w:r>
        <w:fldChar w:fldCharType="separate"/>
      </w:r>
      <w:r>
        <w:rPr>
          <w:noProof/>
        </w:rPr>
        <w:t>1</w:t>
      </w:r>
      <w:r>
        <w:fldChar w:fldCharType="end"/>
      </w:r>
      <w:r>
        <w:t>: Features of Speech samples.</w:t>
      </w:r>
    </w:p>
    <w:p w14:paraId="40B68794" w14:textId="77777777" w:rsidR="00B6430E" w:rsidRDefault="00B6430E" w:rsidP="00B6430E"/>
    <w:p w14:paraId="599F592B" w14:textId="77777777" w:rsidR="00B6430E" w:rsidRDefault="00B6430E" w:rsidP="00B6430E">
      <w:pPr>
        <w:jc w:val="both"/>
      </w:pPr>
      <w:r>
        <w:lastRenderedPageBreak/>
        <w:t>Please make yourself again familiar with the scales, the synonyms, and the corresponding acoustic examples. Only if you are aware which feature of a sample is meant by the respective scale, proceed reading. If you have any questions, please approach the experimenter at any time.</w:t>
      </w:r>
    </w:p>
    <w:p w14:paraId="512CB6F0" w14:textId="77777777" w:rsidR="00B6430E" w:rsidRDefault="00B6430E" w:rsidP="00B6430E">
      <w:pPr>
        <w:jc w:val="both"/>
      </w:pPr>
      <w:r>
        <w:t>Now the experiment can finally start! The following figure shows a screenshot of the experimental software:</w:t>
      </w:r>
    </w:p>
    <w:p w14:paraId="3B72F9BE" w14:textId="23A5E450" w:rsidR="00B6430E" w:rsidRDefault="00EA1421" w:rsidP="00B6430E">
      <w:pPr>
        <w:jc w:val="center"/>
        <w:rPr>
          <w:rFonts w:ascii="Comic Sans MS" w:hAnsi="Comic Sans MS" w:cs="Arial"/>
        </w:rPr>
      </w:pPr>
      <w:r>
        <w:rPr>
          <w:rFonts w:ascii="Comic Sans MS" w:hAnsi="Comic Sans MS" w:cs="Arial"/>
          <w:noProof/>
        </w:rPr>
        <w:drawing>
          <wp:inline distT="0" distB="0" distL="0" distR="0" wp14:anchorId="4A9964A4" wp14:editId="79B6B38D">
            <wp:extent cx="4925466" cy="3295397"/>
            <wp:effectExtent l="0" t="0" r="2540" b="0"/>
            <wp:docPr id="38" name="Picture 3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Graphical user interface, application&#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4945405" cy="3308738"/>
                    </a:xfrm>
                    <a:prstGeom prst="rect">
                      <a:avLst/>
                    </a:prstGeom>
                  </pic:spPr>
                </pic:pic>
              </a:graphicData>
            </a:graphic>
          </wp:inline>
        </w:drawing>
      </w:r>
    </w:p>
    <w:p w14:paraId="44E3BEB9" w14:textId="77777777" w:rsidR="00B6430E" w:rsidRDefault="00B6430E" w:rsidP="00B6430E">
      <w:pPr>
        <w:rPr>
          <w:rFonts w:ascii="Comic Sans MS" w:hAnsi="Comic Sans MS" w:cs="Arial"/>
        </w:rPr>
      </w:pPr>
    </w:p>
    <w:p w14:paraId="70188ABB" w14:textId="77777777" w:rsidR="00B6430E" w:rsidRDefault="00B6430E" w:rsidP="00B6430E">
      <w:pPr>
        <w:jc w:val="both"/>
      </w:pPr>
      <w:r>
        <w:t>You have already become acquainted with the usage of the scales earlier.</w:t>
      </w:r>
    </w:p>
    <w:p w14:paraId="788F2BBB" w14:textId="77777777" w:rsidR="00B6430E" w:rsidRDefault="00B6430E" w:rsidP="00B6430E">
      <w:pPr>
        <w:jc w:val="both"/>
      </w:pPr>
      <w:r>
        <w:t>The three scales will be presented subsequently per speech sample. The sample will be played back automatically for the first of the three scales. After registering your vote, please click on “continue”. Now, you are going to assess the same sample on the second scale. If desired, you can listen to the sample once again (click “Play”). Press “continue” again after registering your vote and proceed accordingly for the third scale. Once you complete your assessment here, the procedure is repeated for the next speech sample. A training phase takes place in prior to the actual experiment in order to provide an overview and for practicing giving your judgments. Thus, you can familiarize with the task first. Halfway through the experiment, the test is interrupted by a short pause.</w:t>
      </w:r>
    </w:p>
    <w:p w14:paraId="278D9241" w14:textId="77777777" w:rsidR="00B6430E" w:rsidRDefault="00B6430E" w:rsidP="00B6430E">
      <w:pPr>
        <w:jc w:val="both"/>
      </w:pPr>
      <w:r>
        <w:t xml:space="preserve">In order to remember what is meant exactly with the scale labels, place the cursor directly onto the label in order to display its synonyms: </w:t>
      </w:r>
    </w:p>
    <w:p w14:paraId="7D30A20C" w14:textId="77777777" w:rsidR="00B6430E" w:rsidRDefault="00B6430E" w:rsidP="00B6430E"/>
    <w:p w14:paraId="4DC5AFC7" w14:textId="4590C70A" w:rsidR="00B6430E" w:rsidRDefault="00EA1421" w:rsidP="00B6430E">
      <w:pPr>
        <w:jc w:val="center"/>
      </w:pPr>
      <w:r>
        <w:rPr>
          <w:noProof/>
        </w:rPr>
        <w:drawing>
          <wp:inline distT="0" distB="0" distL="0" distR="0" wp14:anchorId="1E3B22D0" wp14:editId="5DB3378A">
            <wp:extent cx="3511604" cy="911509"/>
            <wp:effectExtent l="0" t="0" r="0" b="3175"/>
            <wp:docPr id="47" name="Picture 4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box and whisker chart&#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548230" cy="921016"/>
                    </a:xfrm>
                    <a:prstGeom prst="rect">
                      <a:avLst/>
                    </a:prstGeom>
                  </pic:spPr>
                </pic:pic>
              </a:graphicData>
            </a:graphic>
          </wp:inline>
        </w:drawing>
      </w:r>
    </w:p>
    <w:p w14:paraId="33F5443A" w14:textId="77777777" w:rsidR="00B6430E" w:rsidRDefault="00B6430E" w:rsidP="00B6430E"/>
    <w:p w14:paraId="6347443A" w14:textId="77777777" w:rsidR="00B6430E" w:rsidRDefault="00B6430E" w:rsidP="00B6430E">
      <w:pPr>
        <w:jc w:val="both"/>
      </w:pPr>
      <w:r>
        <w:t xml:space="preserve">For some samples you might have the impression that you judged them already beforehand. This, however, is not the case. Thus, assess every sample </w:t>
      </w:r>
      <w:r>
        <w:rPr>
          <w:i/>
        </w:rPr>
        <w:t>independently</w:t>
      </w:r>
      <w:r>
        <w:t xml:space="preserve"> of the others. Do not try to remember how you judged “similar” past samples, but give individual judgments for every scale and every sample.</w:t>
      </w:r>
    </w:p>
    <w:p w14:paraId="40115922" w14:textId="77777777" w:rsidR="00B6430E" w:rsidRDefault="00B6430E" w:rsidP="00B6430E">
      <w:pPr>
        <w:jc w:val="both"/>
      </w:pPr>
      <w:r>
        <w:lastRenderedPageBreak/>
        <w:t>Please register your vote intuitively and relatively quick. There are neither right nor wrong answers in this subjective investigation. Your personal impression is important for this investigation exclusively.</w:t>
      </w:r>
    </w:p>
    <w:p w14:paraId="7495550D" w14:textId="77777777" w:rsidR="00B6430E" w:rsidRDefault="00B6430E" w:rsidP="00B6430E">
      <w:pPr>
        <w:jc w:val="both"/>
      </w:pPr>
      <w:r>
        <w:t>Please remember: The test involves always the same speaker. If you are unsure, press “Play” repeatedly and have a look at the descriptions of the scale labels.</w:t>
      </w:r>
    </w:p>
    <w:p w14:paraId="1FECBC8D" w14:textId="77777777" w:rsidR="00B6430E" w:rsidRDefault="00B6430E" w:rsidP="00B6430E">
      <w:pPr>
        <w:jc w:val="both"/>
      </w:pPr>
      <w:r>
        <w:t>If you have any questions, please approach the experimenter.</w:t>
      </w:r>
    </w:p>
    <w:p w14:paraId="174CA1AD" w14:textId="580A2531" w:rsidR="00CE0C8E" w:rsidRPr="00EC2A42" w:rsidRDefault="00B6430E" w:rsidP="00B6430E">
      <w:r>
        <w:br w:type="page"/>
      </w:r>
    </w:p>
    <w:p w14:paraId="7FAF72FD" w14:textId="77777777" w:rsidR="002F45E1" w:rsidRPr="00EC2A42" w:rsidRDefault="002F45E1" w:rsidP="002F45E1">
      <w:pPr>
        <w:pStyle w:val="AppendixNotitle"/>
        <w:pageBreakBefore/>
      </w:pPr>
      <w:r w:rsidRPr="00EC2A42">
        <w:lastRenderedPageBreak/>
        <w:t>Bibliography</w:t>
      </w:r>
    </w:p>
    <w:p w14:paraId="08DB407C" w14:textId="020D66EE" w:rsidR="002F45E1" w:rsidRPr="006E3981" w:rsidRDefault="002F45E1" w:rsidP="008E6596">
      <w:pPr>
        <w:pStyle w:val="Reftext"/>
        <w:jc w:val="both"/>
      </w:pPr>
      <w:r w:rsidRPr="00EC2A42">
        <w:t>[</w:t>
      </w:r>
      <w:r w:rsidR="00305B4B">
        <w:t>Wältermann 2012</w:t>
      </w:r>
      <w:r w:rsidRPr="00EC2A42">
        <w:t>]</w:t>
      </w:r>
      <w:r w:rsidRPr="00EC2A42">
        <w:tab/>
      </w:r>
      <w:r w:rsidR="00305B4B">
        <w:rPr>
          <w:noProof/>
          <w:lang w:val="de-DE"/>
        </w:rPr>
        <w:t xml:space="preserve">Marcel Wältermann, </w:t>
      </w:r>
      <w:r w:rsidR="00305B4B" w:rsidRPr="00305B4B">
        <w:rPr>
          <w:i/>
          <w:iCs/>
          <w:noProof/>
          <w:lang w:val="de-DE"/>
        </w:rPr>
        <w:t>Dimension-based Quality Modeling of Transmitted Speech</w:t>
      </w:r>
      <w:r w:rsidR="00305B4B">
        <w:rPr>
          <w:noProof/>
          <w:lang w:val="de-DE"/>
        </w:rPr>
        <w:t>, Berlin, Heidelberg: Springer, 2012.</w:t>
      </w:r>
    </w:p>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34B0B">
      <w:headerReference w:type="default" r:id="rId26"/>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75594" w14:textId="77777777" w:rsidR="00384373" w:rsidRDefault="00384373" w:rsidP="00C42125">
      <w:pPr>
        <w:spacing w:before="0"/>
      </w:pPr>
      <w:r>
        <w:separator/>
      </w:r>
    </w:p>
  </w:endnote>
  <w:endnote w:type="continuationSeparator" w:id="0">
    <w:p w14:paraId="2869A7D8" w14:textId="77777777" w:rsidR="00384373" w:rsidRDefault="0038437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1BD0" w14:textId="77777777" w:rsidR="00384373" w:rsidRDefault="00384373" w:rsidP="00C42125">
      <w:pPr>
        <w:spacing w:before="0"/>
      </w:pPr>
      <w:r>
        <w:separator/>
      </w:r>
    </w:p>
  </w:footnote>
  <w:footnote w:type="continuationSeparator" w:id="0">
    <w:p w14:paraId="6224DD75" w14:textId="77777777" w:rsidR="00384373" w:rsidRDefault="00384373" w:rsidP="00C42125">
      <w:pPr>
        <w:spacing w:before="0"/>
      </w:pPr>
      <w:r>
        <w:continuationSeparator/>
      </w:r>
    </w:p>
  </w:footnote>
  <w:footnote w:id="1">
    <w:p w14:paraId="40725C66" w14:textId="668EE1AF" w:rsidR="00605119" w:rsidRPr="00EE1570" w:rsidRDefault="00605119" w:rsidP="00AA2F51">
      <w:pPr>
        <w:jc w:val="both"/>
        <w:rPr>
          <w:sz w:val="20"/>
          <w:szCs w:val="20"/>
        </w:rPr>
      </w:pPr>
      <w:r w:rsidRPr="00EE1570">
        <w:rPr>
          <w:rStyle w:val="FootnoteReference"/>
          <w:sz w:val="20"/>
          <w:szCs w:val="20"/>
        </w:rPr>
        <w:footnoteRef/>
      </w:r>
      <w:r w:rsidRPr="00EE1570">
        <w:rPr>
          <w:sz w:val="20"/>
          <w:szCs w:val="20"/>
        </w:rPr>
        <w:t xml:space="preserve"> Non-steady, fluctuating noises as footsteps and beeps as from an alarm clock. While a human listener can recognize those noises as ‘natural’, the model</w:t>
      </w:r>
      <w:r w:rsidR="00AA2F51">
        <w:rPr>
          <w:sz w:val="20"/>
          <w:szCs w:val="20"/>
        </w:rPr>
        <w:t>s</w:t>
      </w:r>
      <w:r w:rsidRPr="00EE1570">
        <w:rPr>
          <w:sz w:val="20"/>
          <w:szCs w:val="20"/>
        </w:rPr>
        <w:t xml:space="preserve"> </w:t>
      </w:r>
      <w:r w:rsidR="00AA2F51">
        <w:rPr>
          <w:sz w:val="20"/>
          <w:szCs w:val="20"/>
        </w:rPr>
        <w:t xml:space="preserve">described in this Recommendation </w:t>
      </w:r>
      <w:r w:rsidRPr="00EE1570">
        <w:rPr>
          <w:sz w:val="20"/>
          <w:szCs w:val="20"/>
        </w:rPr>
        <w:t xml:space="preserve">recognizes these noises as interrupted and counts them as degradations on the </w:t>
      </w:r>
      <w:r>
        <w:rPr>
          <w:sz w:val="20"/>
          <w:szCs w:val="20"/>
        </w:rPr>
        <w:t>Disc</w:t>
      </w:r>
      <w:r w:rsidRPr="00EE1570">
        <w:rPr>
          <w:sz w:val="20"/>
          <w:szCs w:val="20"/>
        </w:rPr>
        <w:t xml:space="preserve">ontinuity Scale. This is an immanent problem of models like in the Recommendation having no knowledge about the original background noise. </w:t>
      </w:r>
    </w:p>
    <w:p w14:paraId="7E4F8AD8" w14:textId="77777777" w:rsidR="00605119" w:rsidRPr="00746032" w:rsidRDefault="00605119" w:rsidP="007F0E48">
      <w:pPr>
        <w:pStyle w:val="FootnoteText"/>
        <w:rPr>
          <w:lang w:val="en-GB"/>
        </w:rPr>
      </w:pPr>
    </w:p>
  </w:footnote>
  <w:footnote w:id="2">
    <w:p w14:paraId="7B8AB876" w14:textId="77777777" w:rsidR="00605119" w:rsidRPr="00EE1570" w:rsidRDefault="00605119" w:rsidP="005E3758">
      <w:pPr>
        <w:pStyle w:val="FootnoteText"/>
        <w:rPr>
          <w:rFonts w:ascii="Times New Roman" w:hAnsi="Times New Roman" w:cs="Times New Roman"/>
          <w:sz w:val="20"/>
          <w:szCs w:val="20"/>
        </w:rPr>
      </w:pPr>
      <w:r w:rsidRPr="00EE1570">
        <w:rPr>
          <w:rStyle w:val="FootnoteReference"/>
          <w:rFonts w:ascii="Times New Roman" w:hAnsi="Times New Roman" w:cs="Times New Roman"/>
          <w:sz w:val="20"/>
          <w:szCs w:val="20"/>
        </w:rPr>
        <w:footnoteRef/>
      </w:r>
      <w:r w:rsidRPr="00EE1570">
        <w:rPr>
          <w:rFonts w:ascii="Times New Roman" w:hAnsi="Times New Roman" w:cs="Times New Roman"/>
          <w:sz w:val="20"/>
          <w:szCs w:val="20"/>
        </w:rPr>
        <w:t xml:space="preserve"> There is an example where in a teleconference audio-bridge a narrowband signal is transmitted from one far-end terminal to the wide-band bridge. At the same time another subscriber is linked by a wide-band channel to the bridge and inserts a wide-band noise into the receiver. The observation point at the near end receives a narrow-band signal superimposed with a wide-band noise.</w:t>
      </w:r>
    </w:p>
  </w:footnote>
  <w:footnote w:id="3">
    <w:p w14:paraId="473BC527" w14:textId="2505BED9" w:rsidR="00EE013E" w:rsidRDefault="00EE013E">
      <w:pPr>
        <w:pStyle w:val="FootnoteText"/>
      </w:pPr>
      <w:r>
        <w:rPr>
          <w:rStyle w:val="FootnoteReference"/>
        </w:rPr>
        <w:footnoteRef/>
      </w:r>
      <w:r>
        <w:t xml:space="preserve"> </w:t>
      </w:r>
      <w:r w:rsidR="00CF4FFE">
        <w:t xml:space="preserve">Super-wideband signals limited at 14kHz acc. to Rec. P10  are considered as sufficient as </w:t>
      </w:r>
      <w:r>
        <w:t>reference signal</w:t>
      </w:r>
      <w:r w:rsidR="00CF4FFE">
        <w:t>s, because the spectral energy above 14kHz for speech signals are seen as negligible for speech quality predictions.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0415B" w14:textId="1BC53703" w:rsidR="00605119" w:rsidRPr="00C34B0B" w:rsidRDefault="00C34B0B" w:rsidP="00C34B0B">
    <w:pPr>
      <w:pStyle w:val="Header"/>
      <w:rPr>
        <w:sz w:val="18"/>
      </w:rPr>
    </w:pPr>
    <w:r w:rsidRPr="00C34B0B">
      <w:rPr>
        <w:sz w:val="18"/>
      </w:rPr>
      <w:t xml:space="preserve">- </w:t>
    </w:r>
    <w:r w:rsidRPr="00C34B0B">
      <w:rPr>
        <w:sz w:val="18"/>
      </w:rPr>
      <w:fldChar w:fldCharType="begin"/>
    </w:r>
    <w:r w:rsidRPr="00C34B0B">
      <w:rPr>
        <w:sz w:val="18"/>
      </w:rPr>
      <w:instrText xml:space="preserve"> PAGE  \* MERGEFORMAT </w:instrText>
    </w:r>
    <w:r w:rsidRPr="00C34B0B">
      <w:rPr>
        <w:sz w:val="18"/>
      </w:rPr>
      <w:fldChar w:fldCharType="separate"/>
    </w:r>
    <w:r w:rsidRPr="00C34B0B">
      <w:rPr>
        <w:noProof/>
        <w:sz w:val="18"/>
      </w:rPr>
      <w:t>1</w:t>
    </w:r>
    <w:r w:rsidRPr="00C34B0B">
      <w:rPr>
        <w:sz w:val="18"/>
      </w:rPr>
      <w:fldChar w:fldCharType="end"/>
    </w:r>
    <w:r w:rsidRPr="00C34B0B">
      <w:rPr>
        <w:sz w:val="18"/>
      </w:rPr>
      <w:t xml:space="preserve"> -</w:t>
    </w:r>
  </w:p>
  <w:p w14:paraId="77DC4142" w14:textId="46522E9E" w:rsidR="00C34B0B" w:rsidRPr="00C34B0B" w:rsidRDefault="00C34B0B" w:rsidP="00C34B0B">
    <w:pPr>
      <w:pStyle w:val="Header"/>
      <w:spacing w:after="240"/>
      <w:rPr>
        <w:sz w:val="18"/>
      </w:rPr>
    </w:pPr>
    <w:r w:rsidRPr="00C34B0B">
      <w:rPr>
        <w:sz w:val="18"/>
      </w:rPr>
      <w:fldChar w:fldCharType="begin"/>
    </w:r>
    <w:r w:rsidRPr="00C34B0B">
      <w:rPr>
        <w:sz w:val="18"/>
      </w:rPr>
      <w:instrText xml:space="preserve"> STYLEREF  Docnumber  </w:instrText>
    </w:r>
    <w:r w:rsidRPr="00C34B0B">
      <w:rPr>
        <w:sz w:val="18"/>
      </w:rPr>
      <w:fldChar w:fldCharType="separate"/>
    </w:r>
    <w:r w:rsidR="002125D9">
      <w:rPr>
        <w:noProof/>
        <w:sz w:val="18"/>
      </w:rPr>
      <w:t>SG12-TD106R1</w:t>
    </w:r>
    <w:r w:rsidRPr="00C34B0B">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9C16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D430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706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1AF7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7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73886"/>
    <w:multiLevelType w:val="hybridMultilevel"/>
    <w:tmpl w:val="5C84C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F4511"/>
    <w:multiLevelType w:val="hybridMultilevel"/>
    <w:tmpl w:val="61D6E45E"/>
    <w:lvl w:ilvl="0" w:tplc="ACC0AD8C">
      <w:start w:val="1"/>
      <w:numFmt w:val="decimal"/>
      <w:lvlText w:val="%1)"/>
      <w:lvlJc w:val="left"/>
      <w:pPr>
        <w:tabs>
          <w:tab w:val="num" w:pos="795"/>
        </w:tabs>
        <w:ind w:left="795" w:hanging="795"/>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2" w15:restartNumberingAfterBreak="0">
    <w:nsid w:val="2A5A0347"/>
    <w:multiLevelType w:val="hybridMultilevel"/>
    <w:tmpl w:val="75A60440"/>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E52E80"/>
    <w:multiLevelType w:val="multilevel"/>
    <w:tmpl w:val="1B04B730"/>
    <w:numStyleLink w:val="RSBullets"/>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8901A1C"/>
    <w:multiLevelType w:val="hybridMultilevel"/>
    <w:tmpl w:val="CC8EF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E78B3"/>
    <w:multiLevelType w:val="hybridMultilevel"/>
    <w:tmpl w:val="87AC45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F530F"/>
    <w:multiLevelType w:val="hybridMultilevel"/>
    <w:tmpl w:val="3842923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74D36"/>
    <w:multiLevelType w:val="hybridMultilevel"/>
    <w:tmpl w:val="CEFA0028"/>
    <w:lvl w:ilvl="0" w:tplc="2092CC14">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6E046D"/>
    <w:multiLevelType w:val="hybridMultilevel"/>
    <w:tmpl w:val="ECF2A44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5B59400A"/>
    <w:multiLevelType w:val="hybridMultilevel"/>
    <w:tmpl w:val="0A8270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33C4C"/>
    <w:multiLevelType w:val="multilevel"/>
    <w:tmpl w:val="FC5CDB0C"/>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071D3E"/>
    <w:multiLevelType w:val="hybridMultilevel"/>
    <w:tmpl w:val="2A36A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DF076E"/>
    <w:multiLevelType w:val="hybridMultilevel"/>
    <w:tmpl w:val="6F6E55C0"/>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70"/>
        </w:tabs>
        <w:ind w:left="370" w:hanging="360"/>
      </w:pPr>
      <w:rPr>
        <w:rFonts w:ascii="Courier New" w:hAnsi="Courier New" w:hint="default"/>
      </w:rPr>
    </w:lvl>
    <w:lvl w:ilvl="2" w:tplc="04070005">
      <w:start w:val="1"/>
      <w:numFmt w:val="bullet"/>
      <w:lvlText w:val=""/>
      <w:lvlJc w:val="left"/>
      <w:pPr>
        <w:tabs>
          <w:tab w:val="num" w:pos="1090"/>
        </w:tabs>
        <w:ind w:left="1090" w:hanging="360"/>
      </w:pPr>
      <w:rPr>
        <w:rFonts w:ascii="Wingdings" w:hAnsi="Wingdings" w:hint="default"/>
      </w:rPr>
    </w:lvl>
    <w:lvl w:ilvl="3" w:tplc="04070001">
      <w:start w:val="1"/>
      <w:numFmt w:val="bullet"/>
      <w:lvlText w:val=""/>
      <w:lvlJc w:val="left"/>
      <w:pPr>
        <w:tabs>
          <w:tab w:val="num" w:pos="1810"/>
        </w:tabs>
        <w:ind w:left="1810" w:hanging="360"/>
      </w:pPr>
      <w:rPr>
        <w:rFonts w:ascii="Symbol" w:hAnsi="Symbol" w:hint="default"/>
      </w:rPr>
    </w:lvl>
    <w:lvl w:ilvl="4" w:tplc="04070003">
      <w:start w:val="1"/>
      <w:numFmt w:val="bullet"/>
      <w:lvlText w:val="o"/>
      <w:lvlJc w:val="left"/>
      <w:pPr>
        <w:tabs>
          <w:tab w:val="num" w:pos="2530"/>
        </w:tabs>
        <w:ind w:left="2530" w:hanging="360"/>
      </w:pPr>
      <w:rPr>
        <w:rFonts w:ascii="Courier New" w:hAnsi="Courier New" w:hint="default"/>
      </w:rPr>
    </w:lvl>
    <w:lvl w:ilvl="5" w:tplc="04070005">
      <w:start w:val="1"/>
      <w:numFmt w:val="bullet"/>
      <w:lvlText w:val=""/>
      <w:lvlJc w:val="left"/>
      <w:pPr>
        <w:tabs>
          <w:tab w:val="num" w:pos="3250"/>
        </w:tabs>
        <w:ind w:left="3250" w:hanging="360"/>
      </w:pPr>
      <w:rPr>
        <w:rFonts w:ascii="Wingdings" w:hAnsi="Wingdings" w:hint="default"/>
      </w:rPr>
    </w:lvl>
    <w:lvl w:ilvl="6" w:tplc="04070001">
      <w:start w:val="1"/>
      <w:numFmt w:val="bullet"/>
      <w:lvlText w:val=""/>
      <w:lvlJc w:val="left"/>
      <w:pPr>
        <w:tabs>
          <w:tab w:val="num" w:pos="3970"/>
        </w:tabs>
        <w:ind w:left="3970" w:hanging="360"/>
      </w:pPr>
      <w:rPr>
        <w:rFonts w:ascii="Symbol" w:hAnsi="Symbol" w:hint="default"/>
      </w:rPr>
    </w:lvl>
    <w:lvl w:ilvl="7" w:tplc="04070003">
      <w:start w:val="1"/>
      <w:numFmt w:val="bullet"/>
      <w:lvlText w:val="o"/>
      <w:lvlJc w:val="left"/>
      <w:pPr>
        <w:tabs>
          <w:tab w:val="num" w:pos="4690"/>
        </w:tabs>
        <w:ind w:left="4690" w:hanging="360"/>
      </w:pPr>
      <w:rPr>
        <w:rFonts w:ascii="Courier New" w:hAnsi="Courier New" w:hint="default"/>
      </w:rPr>
    </w:lvl>
    <w:lvl w:ilvl="8" w:tplc="04070005">
      <w:start w:val="1"/>
      <w:numFmt w:val="bullet"/>
      <w:lvlText w:val=""/>
      <w:lvlJc w:val="left"/>
      <w:pPr>
        <w:tabs>
          <w:tab w:val="num" w:pos="5410"/>
        </w:tabs>
        <w:ind w:left="5410" w:hanging="360"/>
      </w:pPr>
      <w:rPr>
        <w:rFonts w:ascii="Wingdings" w:hAnsi="Wingdings" w:hint="default"/>
      </w:rPr>
    </w:lvl>
  </w:abstractNum>
  <w:abstractNum w:abstractNumId="24" w15:restartNumberingAfterBreak="0">
    <w:nsid w:val="763E7C93"/>
    <w:multiLevelType w:val="hybridMultilevel"/>
    <w:tmpl w:val="C0A8A15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F77A7B"/>
    <w:multiLevelType w:val="multilevel"/>
    <w:tmpl w:val="1C8C6F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66228339">
    <w:abstractNumId w:val="9"/>
  </w:num>
  <w:num w:numId="2" w16cid:durableId="1383943704">
    <w:abstractNumId w:val="7"/>
  </w:num>
  <w:num w:numId="3" w16cid:durableId="2040036495">
    <w:abstractNumId w:val="6"/>
  </w:num>
  <w:num w:numId="4" w16cid:durableId="1493913448">
    <w:abstractNumId w:val="5"/>
  </w:num>
  <w:num w:numId="5" w16cid:durableId="1984239575">
    <w:abstractNumId w:val="4"/>
  </w:num>
  <w:num w:numId="6" w16cid:durableId="406273076">
    <w:abstractNumId w:val="8"/>
  </w:num>
  <w:num w:numId="7" w16cid:durableId="78410863">
    <w:abstractNumId w:val="3"/>
  </w:num>
  <w:num w:numId="8" w16cid:durableId="1409615892">
    <w:abstractNumId w:val="2"/>
  </w:num>
  <w:num w:numId="9" w16cid:durableId="142898025">
    <w:abstractNumId w:val="1"/>
  </w:num>
  <w:num w:numId="10" w16cid:durableId="1377462962">
    <w:abstractNumId w:val="0"/>
  </w:num>
  <w:num w:numId="11" w16cid:durableId="2127655984">
    <w:abstractNumId w:val="14"/>
  </w:num>
  <w:num w:numId="12" w16cid:durableId="517156962">
    <w:abstractNumId w:val="13"/>
  </w:num>
  <w:num w:numId="13" w16cid:durableId="441611361">
    <w:abstractNumId w:val="23"/>
  </w:num>
  <w:num w:numId="14" w16cid:durableId="1739665077">
    <w:abstractNumId w:val="19"/>
  </w:num>
  <w:num w:numId="15" w16cid:durableId="623466156">
    <w:abstractNumId w:val="11"/>
  </w:num>
  <w:num w:numId="16" w16cid:durableId="569966833">
    <w:abstractNumId w:val="20"/>
  </w:num>
  <w:num w:numId="17" w16cid:durableId="133838280">
    <w:abstractNumId w:val="24"/>
  </w:num>
  <w:num w:numId="18" w16cid:durableId="1315916811">
    <w:abstractNumId w:val="16"/>
  </w:num>
  <w:num w:numId="19" w16cid:durableId="1715500755">
    <w:abstractNumId w:val="12"/>
  </w:num>
  <w:num w:numId="20" w16cid:durableId="330842102">
    <w:abstractNumId w:val="25"/>
  </w:num>
  <w:num w:numId="21" w16cid:durableId="649990677">
    <w:abstractNumId w:val="22"/>
  </w:num>
  <w:num w:numId="22" w16cid:durableId="1920097237">
    <w:abstractNumId w:val="17"/>
  </w:num>
  <w:num w:numId="23" w16cid:durableId="1228373285">
    <w:abstractNumId w:val="21"/>
  </w:num>
  <w:num w:numId="24" w16cid:durableId="361326140">
    <w:abstractNumId w:val="15"/>
  </w:num>
  <w:num w:numId="25" w16cid:durableId="62720244">
    <w:abstractNumId w:val="18"/>
  </w:num>
  <w:num w:numId="26" w16cid:durableId="3695744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705F"/>
    <w:rsid w:val="000151A9"/>
    <w:rsid w:val="000171DB"/>
    <w:rsid w:val="000207DA"/>
    <w:rsid w:val="0002379D"/>
    <w:rsid w:val="00023D9A"/>
    <w:rsid w:val="0002490E"/>
    <w:rsid w:val="00026F3B"/>
    <w:rsid w:val="00037538"/>
    <w:rsid w:val="00043D75"/>
    <w:rsid w:val="00044A72"/>
    <w:rsid w:val="00057000"/>
    <w:rsid w:val="000571EA"/>
    <w:rsid w:val="000640E0"/>
    <w:rsid w:val="00065EC6"/>
    <w:rsid w:val="000677F1"/>
    <w:rsid w:val="00070DDF"/>
    <w:rsid w:val="00082DC6"/>
    <w:rsid w:val="0009419E"/>
    <w:rsid w:val="000A135D"/>
    <w:rsid w:val="000A18B8"/>
    <w:rsid w:val="000A5CA2"/>
    <w:rsid w:val="000B25B1"/>
    <w:rsid w:val="000C1391"/>
    <w:rsid w:val="000C60D1"/>
    <w:rsid w:val="000F47AA"/>
    <w:rsid w:val="000F686E"/>
    <w:rsid w:val="00120C43"/>
    <w:rsid w:val="001251DA"/>
    <w:rsid w:val="00125432"/>
    <w:rsid w:val="00137F40"/>
    <w:rsid w:val="00172BEA"/>
    <w:rsid w:val="001871EC"/>
    <w:rsid w:val="00191E4D"/>
    <w:rsid w:val="001A1F65"/>
    <w:rsid w:val="001A670F"/>
    <w:rsid w:val="001C62B8"/>
    <w:rsid w:val="001D48A6"/>
    <w:rsid w:val="001E3DF0"/>
    <w:rsid w:val="001E6A17"/>
    <w:rsid w:val="001E7B0E"/>
    <w:rsid w:val="001F141D"/>
    <w:rsid w:val="001F5FA9"/>
    <w:rsid w:val="00200A06"/>
    <w:rsid w:val="00212067"/>
    <w:rsid w:val="002125D9"/>
    <w:rsid w:val="00215923"/>
    <w:rsid w:val="002317A5"/>
    <w:rsid w:val="002323A8"/>
    <w:rsid w:val="00241832"/>
    <w:rsid w:val="00253DBE"/>
    <w:rsid w:val="002622FA"/>
    <w:rsid w:val="00263518"/>
    <w:rsid w:val="00271B5C"/>
    <w:rsid w:val="002759E7"/>
    <w:rsid w:val="00275ED1"/>
    <w:rsid w:val="00277326"/>
    <w:rsid w:val="002859AD"/>
    <w:rsid w:val="00293AC2"/>
    <w:rsid w:val="002A3253"/>
    <w:rsid w:val="002A49E0"/>
    <w:rsid w:val="002B3092"/>
    <w:rsid w:val="002C015C"/>
    <w:rsid w:val="002C26C0"/>
    <w:rsid w:val="002C2BC5"/>
    <w:rsid w:val="002C5034"/>
    <w:rsid w:val="002D513A"/>
    <w:rsid w:val="002E59ED"/>
    <w:rsid w:val="002E79CB"/>
    <w:rsid w:val="002F219C"/>
    <w:rsid w:val="002F45E1"/>
    <w:rsid w:val="002F7F55"/>
    <w:rsid w:val="00305B4B"/>
    <w:rsid w:val="0030745F"/>
    <w:rsid w:val="00314630"/>
    <w:rsid w:val="0032090A"/>
    <w:rsid w:val="00321CDE"/>
    <w:rsid w:val="003312F7"/>
    <w:rsid w:val="00331B5F"/>
    <w:rsid w:val="00331F5A"/>
    <w:rsid w:val="00332CB4"/>
    <w:rsid w:val="00333E15"/>
    <w:rsid w:val="00336046"/>
    <w:rsid w:val="00347519"/>
    <w:rsid w:val="00350492"/>
    <w:rsid w:val="00365A42"/>
    <w:rsid w:val="003668E1"/>
    <w:rsid w:val="00372B4F"/>
    <w:rsid w:val="0037422B"/>
    <w:rsid w:val="003756DC"/>
    <w:rsid w:val="00384373"/>
    <w:rsid w:val="0038715D"/>
    <w:rsid w:val="00387BE1"/>
    <w:rsid w:val="00390C6A"/>
    <w:rsid w:val="00394DBF"/>
    <w:rsid w:val="003957A6"/>
    <w:rsid w:val="00395C05"/>
    <w:rsid w:val="0039641E"/>
    <w:rsid w:val="003A43EF"/>
    <w:rsid w:val="003A6571"/>
    <w:rsid w:val="003B10ED"/>
    <w:rsid w:val="003C7445"/>
    <w:rsid w:val="003D2678"/>
    <w:rsid w:val="003D2CC8"/>
    <w:rsid w:val="003D3D5D"/>
    <w:rsid w:val="003F2950"/>
    <w:rsid w:val="003F2BED"/>
    <w:rsid w:val="003F7554"/>
    <w:rsid w:val="00435E48"/>
    <w:rsid w:val="0043786F"/>
    <w:rsid w:val="00443878"/>
    <w:rsid w:val="004539A8"/>
    <w:rsid w:val="004539CE"/>
    <w:rsid w:val="00454946"/>
    <w:rsid w:val="00456285"/>
    <w:rsid w:val="004712CA"/>
    <w:rsid w:val="00472F6E"/>
    <w:rsid w:val="0047422E"/>
    <w:rsid w:val="0049197D"/>
    <w:rsid w:val="0049674B"/>
    <w:rsid w:val="004974CA"/>
    <w:rsid w:val="004B594C"/>
    <w:rsid w:val="004C0673"/>
    <w:rsid w:val="004C4E4E"/>
    <w:rsid w:val="004D5DE7"/>
    <w:rsid w:val="004F3816"/>
    <w:rsid w:val="005058C7"/>
    <w:rsid w:val="00513959"/>
    <w:rsid w:val="00514873"/>
    <w:rsid w:val="00534489"/>
    <w:rsid w:val="005352A7"/>
    <w:rsid w:val="0054246F"/>
    <w:rsid w:val="00543D41"/>
    <w:rsid w:val="00552142"/>
    <w:rsid w:val="0055782F"/>
    <w:rsid w:val="00566EDA"/>
    <w:rsid w:val="00572654"/>
    <w:rsid w:val="00581D8F"/>
    <w:rsid w:val="00583CED"/>
    <w:rsid w:val="00584D17"/>
    <w:rsid w:val="005A10F4"/>
    <w:rsid w:val="005A30C8"/>
    <w:rsid w:val="005A5B3C"/>
    <w:rsid w:val="005B3023"/>
    <w:rsid w:val="005B5629"/>
    <w:rsid w:val="005C0300"/>
    <w:rsid w:val="005D521B"/>
    <w:rsid w:val="005E3758"/>
    <w:rsid w:val="005F4B6A"/>
    <w:rsid w:val="006010F3"/>
    <w:rsid w:val="00605119"/>
    <w:rsid w:val="00605EA3"/>
    <w:rsid w:val="00614E16"/>
    <w:rsid w:val="00614ED5"/>
    <w:rsid w:val="00615A0A"/>
    <w:rsid w:val="0062524F"/>
    <w:rsid w:val="00627810"/>
    <w:rsid w:val="006333D4"/>
    <w:rsid w:val="006369B2"/>
    <w:rsid w:val="006408DC"/>
    <w:rsid w:val="00646DFB"/>
    <w:rsid w:val="00647525"/>
    <w:rsid w:val="006507DD"/>
    <w:rsid w:val="006570B0"/>
    <w:rsid w:val="00657521"/>
    <w:rsid w:val="00661FBE"/>
    <w:rsid w:val="00665854"/>
    <w:rsid w:val="00687269"/>
    <w:rsid w:val="00691C94"/>
    <w:rsid w:val="0069210B"/>
    <w:rsid w:val="006A4055"/>
    <w:rsid w:val="006A4842"/>
    <w:rsid w:val="006A71B6"/>
    <w:rsid w:val="006B73E3"/>
    <w:rsid w:val="006C5641"/>
    <w:rsid w:val="006D1089"/>
    <w:rsid w:val="006D1B86"/>
    <w:rsid w:val="006D7355"/>
    <w:rsid w:val="006F2ACE"/>
    <w:rsid w:val="006F4229"/>
    <w:rsid w:val="007004A0"/>
    <w:rsid w:val="00700CB8"/>
    <w:rsid w:val="00701AFB"/>
    <w:rsid w:val="00715CA6"/>
    <w:rsid w:val="0072681F"/>
    <w:rsid w:val="00731135"/>
    <w:rsid w:val="007313F5"/>
    <w:rsid w:val="007324AF"/>
    <w:rsid w:val="007409B4"/>
    <w:rsid w:val="00741974"/>
    <w:rsid w:val="00751B8C"/>
    <w:rsid w:val="0075525E"/>
    <w:rsid w:val="00756D3D"/>
    <w:rsid w:val="007616F9"/>
    <w:rsid w:val="007657A6"/>
    <w:rsid w:val="0076736A"/>
    <w:rsid w:val="007745D0"/>
    <w:rsid w:val="007806C2"/>
    <w:rsid w:val="0078177D"/>
    <w:rsid w:val="007903F8"/>
    <w:rsid w:val="00794F4F"/>
    <w:rsid w:val="007974BE"/>
    <w:rsid w:val="007A0916"/>
    <w:rsid w:val="007A0DFD"/>
    <w:rsid w:val="007A6474"/>
    <w:rsid w:val="007B545C"/>
    <w:rsid w:val="007C7122"/>
    <w:rsid w:val="007D25D1"/>
    <w:rsid w:val="007D3F11"/>
    <w:rsid w:val="007E53E4"/>
    <w:rsid w:val="007E567C"/>
    <w:rsid w:val="007E656A"/>
    <w:rsid w:val="007F0E48"/>
    <w:rsid w:val="007F664D"/>
    <w:rsid w:val="00803025"/>
    <w:rsid w:val="00812262"/>
    <w:rsid w:val="008128CE"/>
    <w:rsid w:val="00813BBF"/>
    <w:rsid w:val="0083279C"/>
    <w:rsid w:val="00841217"/>
    <w:rsid w:val="00842137"/>
    <w:rsid w:val="00844207"/>
    <w:rsid w:val="00844606"/>
    <w:rsid w:val="0085661F"/>
    <w:rsid w:val="00863C73"/>
    <w:rsid w:val="00874633"/>
    <w:rsid w:val="00877999"/>
    <w:rsid w:val="008814F8"/>
    <w:rsid w:val="008815E6"/>
    <w:rsid w:val="00882BCA"/>
    <w:rsid w:val="0089088E"/>
    <w:rsid w:val="00892297"/>
    <w:rsid w:val="008969F2"/>
    <w:rsid w:val="008A41F1"/>
    <w:rsid w:val="008B6F4A"/>
    <w:rsid w:val="008E0172"/>
    <w:rsid w:val="008E6596"/>
    <w:rsid w:val="008F1DE4"/>
    <w:rsid w:val="008F6E8D"/>
    <w:rsid w:val="0090433C"/>
    <w:rsid w:val="00914912"/>
    <w:rsid w:val="009219E5"/>
    <w:rsid w:val="009323E3"/>
    <w:rsid w:val="00935B6E"/>
    <w:rsid w:val="009406B5"/>
    <w:rsid w:val="00946166"/>
    <w:rsid w:val="00956215"/>
    <w:rsid w:val="00957B72"/>
    <w:rsid w:val="00982E36"/>
    <w:rsid w:val="00983164"/>
    <w:rsid w:val="0099240B"/>
    <w:rsid w:val="00992CCB"/>
    <w:rsid w:val="009972EF"/>
    <w:rsid w:val="009B66D4"/>
    <w:rsid w:val="009B75B3"/>
    <w:rsid w:val="009C3160"/>
    <w:rsid w:val="009D0FD2"/>
    <w:rsid w:val="009D16AC"/>
    <w:rsid w:val="009E71BA"/>
    <w:rsid w:val="009E766E"/>
    <w:rsid w:val="009F1960"/>
    <w:rsid w:val="009F715E"/>
    <w:rsid w:val="00A02860"/>
    <w:rsid w:val="00A10DBB"/>
    <w:rsid w:val="00A1532B"/>
    <w:rsid w:val="00A16639"/>
    <w:rsid w:val="00A31D47"/>
    <w:rsid w:val="00A4013E"/>
    <w:rsid w:val="00A4045F"/>
    <w:rsid w:val="00A427CD"/>
    <w:rsid w:val="00A4600B"/>
    <w:rsid w:val="00A50506"/>
    <w:rsid w:val="00A51EF0"/>
    <w:rsid w:val="00A6052E"/>
    <w:rsid w:val="00A67A81"/>
    <w:rsid w:val="00A730A6"/>
    <w:rsid w:val="00A95E7C"/>
    <w:rsid w:val="00A971A0"/>
    <w:rsid w:val="00AA124D"/>
    <w:rsid w:val="00AA1F22"/>
    <w:rsid w:val="00AA2F51"/>
    <w:rsid w:val="00AA313E"/>
    <w:rsid w:val="00AB0B51"/>
    <w:rsid w:val="00AB127B"/>
    <w:rsid w:val="00AB2A7B"/>
    <w:rsid w:val="00AB7B0F"/>
    <w:rsid w:val="00AD1969"/>
    <w:rsid w:val="00B05821"/>
    <w:rsid w:val="00B11F15"/>
    <w:rsid w:val="00B26C28"/>
    <w:rsid w:val="00B4174C"/>
    <w:rsid w:val="00B453F5"/>
    <w:rsid w:val="00B51294"/>
    <w:rsid w:val="00B61624"/>
    <w:rsid w:val="00B6430E"/>
    <w:rsid w:val="00B718A5"/>
    <w:rsid w:val="00B8334E"/>
    <w:rsid w:val="00B9045A"/>
    <w:rsid w:val="00BA047D"/>
    <w:rsid w:val="00BB0F22"/>
    <w:rsid w:val="00BC1FAE"/>
    <w:rsid w:val="00BC62E2"/>
    <w:rsid w:val="00BD2522"/>
    <w:rsid w:val="00C34B0B"/>
    <w:rsid w:val="00C42125"/>
    <w:rsid w:val="00C522DC"/>
    <w:rsid w:val="00C54E45"/>
    <w:rsid w:val="00C55484"/>
    <w:rsid w:val="00C56D35"/>
    <w:rsid w:val="00C62814"/>
    <w:rsid w:val="00C74111"/>
    <w:rsid w:val="00C74937"/>
    <w:rsid w:val="00C76BCA"/>
    <w:rsid w:val="00C833B0"/>
    <w:rsid w:val="00CC569B"/>
    <w:rsid w:val="00CC7A86"/>
    <w:rsid w:val="00CE0C8E"/>
    <w:rsid w:val="00CE3858"/>
    <w:rsid w:val="00CF4FFE"/>
    <w:rsid w:val="00D068DA"/>
    <w:rsid w:val="00D07160"/>
    <w:rsid w:val="00D10023"/>
    <w:rsid w:val="00D103F1"/>
    <w:rsid w:val="00D17CE6"/>
    <w:rsid w:val="00D46080"/>
    <w:rsid w:val="00D46A70"/>
    <w:rsid w:val="00D57D7F"/>
    <w:rsid w:val="00D60F14"/>
    <w:rsid w:val="00D70F6A"/>
    <w:rsid w:val="00D73137"/>
    <w:rsid w:val="00D73535"/>
    <w:rsid w:val="00D779E8"/>
    <w:rsid w:val="00D84334"/>
    <w:rsid w:val="00D87184"/>
    <w:rsid w:val="00D94728"/>
    <w:rsid w:val="00DA7B40"/>
    <w:rsid w:val="00DB1307"/>
    <w:rsid w:val="00DB1938"/>
    <w:rsid w:val="00DB71B1"/>
    <w:rsid w:val="00DB7EF2"/>
    <w:rsid w:val="00DC6DF5"/>
    <w:rsid w:val="00DC705C"/>
    <w:rsid w:val="00DD04D9"/>
    <w:rsid w:val="00DD50DE"/>
    <w:rsid w:val="00DE22D8"/>
    <w:rsid w:val="00DE3062"/>
    <w:rsid w:val="00DE3591"/>
    <w:rsid w:val="00DF452D"/>
    <w:rsid w:val="00E007DB"/>
    <w:rsid w:val="00E029F2"/>
    <w:rsid w:val="00E204DD"/>
    <w:rsid w:val="00E2145E"/>
    <w:rsid w:val="00E2275A"/>
    <w:rsid w:val="00E353EC"/>
    <w:rsid w:val="00E372CE"/>
    <w:rsid w:val="00E406C3"/>
    <w:rsid w:val="00E45E31"/>
    <w:rsid w:val="00E470E3"/>
    <w:rsid w:val="00E50955"/>
    <w:rsid w:val="00E53C24"/>
    <w:rsid w:val="00E625BC"/>
    <w:rsid w:val="00E74420"/>
    <w:rsid w:val="00E753DA"/>
    <w:rsid w:val="00E76A9C"/>
    <w:rsid w:val="00E77231"/>
    <w:rsid w:val="00E812DE"/>
    <w:rsid w:val="00EA02C3"/>
    <w:rsid w:val="00EA1421"/>
    <w:rsid w:val="00EA4497"/>
    <w:rsid w:val="00EA785E"/>
    <w:rsid w:val="00EB444D"/>
    <w:rsid w:val="00EC3C9F"/>
    <w:rsid w:val="00EC47C5"/>
    <w:rsid w:val="00ED22E6"/>
    <w:rsid w:val="00EE013E"/>
    <w:rsid w:val="00EE1570"/>
    <w:rsid w:val="00EE4A3E"/>
    <w:rsid w:val="00EF08ED"/>
    <w:rsid w:val="00EF0C15"/>
    <w:rsid w:val="00EF460E"/>
    <w:rsid w:val="00F02294"/>
    <w:rsid w:val="00F0689A"/>
    <w:rsid w:val="00F21192"/>
    <w:rsid w:val="00F25254"/>
    <w:rsid w:val="00F341F1"/>
    <w:rsid w:val="00F3519B"/>
    <w:rsid w:val="00F35F57"/>
    <w:rsid w:val="00F50467"/>
    <w:rsid w:val="00F562A0"/>
    <w:rsid w:val="00F80FF0"/>
    <w:rsid w:val="00F96F7A"/>
    <w:rsid w:val="00FA2177"/>
    <w:rsid w:val="00FB0A28"/>
    <w:rsid w:val="00FB2C09"/>
    <w:rsid w:val="00FC580A"/>
    <w:rsid w:val="00FD01DA"/>
    <w:rsid w:val="00FD439E"/>
    <w:rsid w:val="00FD6D38"/>
    <w:rsid w:val="00FD76CB"/>
    <w:rsid w:val="00FE1238"/>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2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Bullet">
    <w:name w:val="List Bullet"/>
    <w:basedOn w:val="Normal"/>
    <w:uiPriority w:val="78"/>
    <w:qFormat/>
    <w:rsid w:val="007F0E48"/>
    <w:pPr>
      <w:numPr>
        <w:numId w:val="12"/>
      </w:numPr>
      <w:spacing w:before="0" w:after="120" w:line="271" w:lineRule="auto"/>
    </w:pPr>
    <w:rPr>
      <w:rFonts w:asciiTheme="minorHAnsi" w:eastAsiaTheme="minorHAnsi" w:hAnsiTheme="minorHAnsi" w:cstheme="minorBidi"/>
      <w:sz w:val="20"/>
      <w:szCs w:val="20"/>
      <w:lang w:val="en-US" w:eastAsia="en-US"/>
    </w:rPr>
  </w:style>
  <w:style w:type="paragraph" w:styleId="ListBullet2">
    <w:name w:val="List Bullet 2"/>
    <w:basedOn w:val="ListBullet"/>
    <w:uiPriority w:val="78"/>
    <w:qFormat/>
    <w:rsid w:val="007F0E48"/>
    <w:pPr>
      <w:numPr>
        <w:ilvl w:val="1"/>
      </w:numPr>
    </w:pPr>
  </w:style>
  <w:style w:type="paragraph" w:styleId="ListBullet3">
    <w:name w:val="List Bullet 3"/>
    <w:basedOn w:val="ListBullet2"/>
    <w:uiPriority w:val="78"/>
    <w:semiHidden/>
    <w:unhideWhenUsed/>
    <w:rsid w:val="007F0E48"/>
    <w:pPr>
      <w:numPr>
        <w:ilvl w:val="2"/>
      </w:numPr>
    </w:pPr>
  </w:style>
  <w:style w:type="paragraph" w:styleId="ListBullet4">
    <w:name w:val="List Bullet 4"/>
    <w:basedOn w:val="ListBullet3"/>
    <w:uiPriority w:val="78"/>
    <w:semiHidden/>
    <w:unhideWhenUsed/>
    <w:rsid w:val="007F0E48"/>
    <w:pPr>
      <w:numPr>
        <w:ilvl w:val="3"/>
      </w:numPr>
    </w:pPr>
  </w:style>
  <w:style w:type="paragraph" w:styleId="ListBullet5">
    <w:name w:val="List Bullet 5"/>
    <w:basedOn w:val="ListBullet4"/>
    <w:uiPriority w:val="78"/>
    <w:semiHidden/>
    <w:unhideWhenUsed/>
    <w:rsid w:val="007F0E48"/>
    <w:pPr>
      <w:numPr>
        <w:ilvl w:val="4"/>
      </w:numPr>
    </w:pPr>
  </w:style>
  <w:style w:type="paragraph" w:styleId="FootnoteText">
    <w:name w:val="footnote text"/>
    <w:basedOn w:val="EndnoteText"/>
    <w:link w:val="FootnoteTextChar"/>
    <w:semiHidden/>
    <w:unhideWhenUsed/>
    <w:rsid w:val="007F0E48"/>
    <w:rPr>
      <w:rFonts w:asciiTheme="minorHAnsi" w:eastAsiaTheme="minorHAnsi" w:hAnsiTheme="minorHAnsi" w:cstheme="minorBidi"/>
      <w:sz w:val="15"/>
      <w:szCs w:val="15"/>
      <w:lang w:val="en-US" w:eastAsia="en-US"/>
    </w:rPr>
  </w:style>
  <w:style w:type="character" w:customStyle="1" w:styleId="FootnoteTextChar">
    <w:name w:val="Footnote Text Char"/>
    <w:basedOn w:val="DefaultParagraphFont"/>
    <w:link w:val="FootnoteText"/>
    <w:semiHidden/>
    <w:rsid w:val="007F0E48"/>
    <w:rPr>
      <w:rFonts w:eastAsiaTheme="minorHAnsi"/>
      <w:sz w:val="15"/>
      <w:szCs w:val="15"/>
      <w:lang w:eastAsia="en-US"/>
    </w:rPr>
  </w:style>
  <w:style w:type="character" w:styleId="FootnoteReference">
    <w:name w:val="footnote reference"/>
    <w:basedOn w:val="DefaultParagraphFont"/>
    <w:semiHidden/>
    <w:unhideWhenUsed/>
    <w:rsid w:val="007F0E48"/>
    <w:rPr>
      <w:vertAlign w:val="superscript"/>
    </w:rPr>
  </w:style>
  <w:style w:type="paragraph" w:styleId="ListParagraph">
    <w:name w:val="List Paragraph"/>
    <w:basedOn w:val="ListBullet"/>
    <w:uiPriority w:val="34"/>
    <w:qFormat/>
    <w:rsid w:val="007F0E48"/>
  </w:style>
  <w:style w:type="numbering" w:customStyle="1" w:styleId="RSBullets">
    <w:name w:val="R&amp;S Bullets"/>
    <w:uiPriority w:val="99"/>
    <w:rsid w:val="007F0E48"/>
    <w:pPr>
      <w:numPr>
        <w:numId w:val="11"/>
      </w:numPr>
    </w:pPr>
  </w:style>
  <w:style w:type="paragraph" w:styleId="EndnoteText">
    <w:name w:val="endnote text"/>
    <w:basedOn w:val="Normal"/>
    <w:link w:val="EndnoteTextChar"/>
    <w:uiPriority w:val="99"/>
    <w:semiHidden/>
    <w:unhideWhenUsed/>
    <w:rsid w:val="007F0E48"/>
    <w:pPr>
      <w:spacing w:before="0"/>
    </w:pPr>
    <w:rPr>
      <w:sz w:val="20"/>
      <w:szCs w:val="20"/>
    </w:rPr>
  </w:style>
  <w:style w:type="character" w:customStyle="1" w:styleId="EndnoteTextChar">
    <w:name w:val="Endnote Text Char"/>
    <w:basedOn w:val="DefaultParagraphFont"/>
    <w:link w:val="EndnoteText"/>
    <w:uiPriority w:val="99"/>
    <w:semiHidden/>
    <w:rsid w:val="007F0E48"/>
    <w:rPr>
      <w:rFonts w:ascii="Times New Roman" w:hAnsi="Times New Roman" w:cs="Times New Roman"/>
      <w:sz w:val="20"/>
      <w:szCs w:val="20"/>
      <w:lang w:val="en-GB" w:eastAsia="ja-JP"/>
    </w:rPr>
  </w:style>
  <w:style w:type="paragraph" w:customStyle="1" w:styleId="AnnexNoTitle0">
    <w:name w:val="Annex_NoTitle"/>
    <w:basedOn w:val="Normal"/>
    <w:next w:val="Normal"/>
    <w:rsid w:val="00D73535"/>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table" w:styleId="TableGrid">
    <w:name w:val="Table Grid"/>
    <w:basedOn w:val="TableNormal"/>
    <w:rsid w:val="00305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756DC"/>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844606"/>
    <w:rPr>
      <w:sz w:val="16"/>
      <w:szCs w:val="16"/>
    </w:rPr>
  </w:style>
  <w:style w:type="paragraph" w:styleId="CommentText">
    <w:name w:val="annotation text"/>
    <w:basedOn w:val="Normal"/>
    <w:link w:val="CommentTextChar"/>
    <w:uiPriority w:val="99"/>
    <w:unhideWhenUsed/>
    <w:rsid w:val="00844606"/>
    <w:rPr>
      <w:sz w:val="20"/>
      <w:szCs w:val="20"/>
    </w:rPr>
  </w:style>
  <w:style w:type="character" w:customStyle="1" w:styleId="CommentTextChar">
    <w:name w:val="Comment Text Char"/>
    <w:basedOn w:val="DefaultParagraphFont"/>
    <w:link w:val="CommentText"/>
    <w:uiPriority w:val="99"/>
    <w:rsid w:val="00844606"/>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844606"/>
    <w:rPr>
      <w:b/>
      <w:bCs/>
    </w:rPr>
  </w:style>
  <w:style w:type="character" w:customStyle="1" w:styleId="CommentSubjectChar">
    <w:name w:val="Comment Subject Char"/>
    <w:basedOn w:val="CommentTextChar"/>
    <w:link w:val="CommentSubject"/>
    <w:uiPriority w:val="99"/>
    <w:semiHidden/>
    <w:rsid w:val="00844606"/>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EC3C9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C9F"/>
    <w:rPr>
      <w:rFonts w:ascii="Segoe UI" w:hAnsi="Segoe UI" w:cs="Segoe UI"/>
      <w:sz w:val="18"/>
      <w:szCs w:val="18"/>
      <w:lang w:val="en-GB" w:eastAsia="ja-JP"/>
    </w:rPr>
  </w:style>
  <w:style w:type="paragraph" w:customStyle="1" w:styleId="Equation">
    <w:name w:val="Equation"/>
    <w:basedOn w:val="Normal"/>
    <w:link w:val="EquationChar"/>
    <w:rsid w:val="00CC569B"/>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character" w:customStyle="1" w:styleId="EquationChar">
    <w:name w:val="Equation Char"/>
    <w:link w:val="Equation"/>
    <w:locked/>
    <w:rsid w:val="00CC569B"/>
    <w:rPr>
      <w:rFonts w:ascii="Times New Roman" w:eastAsia="Times New Roman" w:hAnsi="Times New Roman" w:cs="Times New Roman"/>
      <w:sz w:val="24"/>
      <w:szCs w:val="20"/>
      <w:lang w:val="en-GB" w:eastAsia="en-US"/>
    </w:rPr>
  </w:style>
  <w:style w:type="paragraph" w:customStyle="1" w:styleId="TableNoTitle0">
    <w:name w:val="Table_NoTitle"/>
    <w:basedOn w:val="Normal"/>
    <w:next w:val="Tablehead"/>
    <w:rsid w:val="00CC569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TSBHeaderQuestion">
    <w:name w:val="TSBHeaderQuestion"/>
    <w:basedOn w:val="Normal"/>
    <w:qFormat/>
    <w:rsid w:val="00C34B0B"/>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C34B0B"/>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C34B0B"/>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C34B0B"/>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C34B0B"/>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113">
      <w:bodyDiv w:val="1"/>
      <w:marLeft w:val="0"/>
      <w:marRight w:val="0"/>
      <w:marTop w:val="0"/>
      <w:marBottom w:val="0"/>
      <w:divBdr>
        <w:top w:val="none" w:sz="0" w:space="0" w:color="auto"/>
        <w:left w:val="none" w:sz="0" w:space="0" w:color="auto"/>
        <w:bottom w:val="none" w:sz="0" w:space="0" w:color="auto"/>
        <w:right w:val="none" w:sz="0" w:space="0" w:color="auto"/>
      </w:divBdr>
    </w:div>
    <w:div w:id="375854576">
      <w:bodyDiv w:val="1"/>
      <w:marLeft w:val="0"/>
      <w:marRight w:val="0"/>
      <w:marTop w:val="0"/>
      <w:marBottom w:val="0"/>
      <w:divBdr>
        <w:top w:val="none" w:sz="0" w:space="0" w:color="auto"/>
        <w:left w:val="none" w:sz="0" w:space="0" w:color="auto"/>
        <w:bottom w:val="none" w:sz="0" w:space="0" w:color="auto"/>
        <w:right w:val="none" w:sz="0" w:space="0" w:color="auto"/>
      </w:divBdr>
    </w:div>
    <w:div w:id="455418330">
      <w:bodyDiv w:val="1"/>
      <w:marLeft w:val="0"/>
      <w:marRight w:val="0"/>
      <w:marTop w:val="0"/>
      <w:marBottom w:val="0"/>
      <w:divBdr>
        <w:top w:val="none" w:sz="0" w:space="0" w:color="auto"/>
        <w:left w:val="none" w:sz="0" w:space="0" w:color="auto"/>
        <w:bottom w:val="none" w:sz="0" w:space="0" w:color="auto"/>
        <w:right w:val="none" w:sz="0" w:space="0" w:color="auto"/>
      </w:divBdr>
    </w:div>
    <w:div w:id="1240560448">
      <w:bodyDiv w:val="1"/>
      <w:marLeft w:val="0"/>
      <w:marRight w:val="0"/>
      <w:marTop w:val="0"/>
      <w:marBottom w:val="0"/>
      <w:divBdr>
        <w:top w:val="none" w:sz="0" w:space="0" w:color="auto"/>
        <w:left w:val="none" w:sz="0" w:space="0" w:color="auto"/>
        <w:bottom w:val="none" w:sz="0" w:space="0" w:color="auto"/>
        <w:right w:val="none" w:sz="0" w:space="0" w:color="auto"/>
      </w:divBdr>
    </w:div>
    <w:div w:id="1257783408">
      <w:bodyDiv w:val="1"/>
      <w:marLeft w:val="0"/>
      <w:marRight w:val="0"/>
      <w:marTop w:val="0"/>
      <w:marBottom w:val="0"/>
      <w:divBdr>
        <w:top w:val="none" w:sz="0" w:space="0" w:color="auto"/>
        <w:left w:val="none" w:sz="0" w:space="0" w:color="auto"/>
        <w:bottom w:val="none" w:sz="0" w:space="0" w:color="auto"/>
        <w:right w:val="none" w:sz="0" w:space="0" w:color="auto"/>
      </w:divBdr>
    </w:div>
    <w:div w:id="1677072798">
      <w:bodyDiv w:val="1"/>
      <w:marLeft w:val="0"/>
      <w:marRight w:val="0"/>
      <w:marTop w:val="0"/>
      <w:marBottom w:val="0"/>
      <w:divBdr>
        <w:top w:val="none" w:sz="0" w:space="0" w:color="auto"/>
        <w:left w:val="none" w:sz="0" w:space="0" w:color="auto"/>
        <w:bottom w:val="none" w:sz="0" w:space="0" w:color="auto"/>
        <w:right w:val="none" w:sz="0" w:space="0" w:color="auto"/>
      </w:divBdr>
    </w:div>
    <w:div w:id="1744253469">
      <w:bodyDiv w:val="1"/>
      <w:marLeft w:val="0"/>
      <w:marRight w:val="0"/>
      <w:marTop w:val="0"/>
      <w:marBottom w:val="0"/>
      <w:divBdr>
        <w:top w:val="none" w:sz="0" w:space="0" w:color="auto"/>
        <w:left w:val="none" w:sz="0" w:space="0" w:color="auto"/>
        <w:bottom w:val="none" w:sz="0" w:space="0" w:color="auto"/>
        <w:right w:val="none" w:sz="0" w:space="0" w:color="auto"/>
      </w:divBdr>
    </w:div>
    <w:div w:id="200790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80FC9"/>
    <w:rsid w:val="000A36B3"/>
    <w:rsid w:val="000C1665"/>
    <w:rsid w:val="00111175"/>
    <w:rsid w:val="00196D1F"/>
    <w:rsid w:val="001A475C"/>
    <w:rsid w:val="001B293E"/>
    <w:rsid w:val="00256D54"/>
    <w:rsid w:val="002814EA"/>
    <w:rsid w:val="003020D1"/>
    <w:rsid w:val="00325869"/>
    <w:rsid w:val="003E3757"/>
    <w:rsid w:val="003F520B"/>
    <w:rsid w:val="00400FFE"/>
    <w:rsid w:val="00403A9C"/>
    <w:rsid w:val="00440232"/>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00301"/>
    <w:rsid w:val="00910963"/>
    <w:rsid w:val="00947D8D"/>
    <w:rsid w:val="009F67E6"/>
    <w:rsid w:val="00A2122A"/>
    <w:rsid w:val="00A33DD7"/>
    <w:rsid w:val="00A3586C"/>
    <w:rsid w:val="00A6662E"/>
    <w:rsid w:val="00AB21A0"/>
    <w:rsid w:val="00AC7F00"/>
    <w:rsid w:val="00AF3CAC"/>
    <w:rsid w:val="00B62EE7"/>
    <w:rsid w:val="00BA653D"/>
    <w:rsid w:val="00C47AEF"/>
    <w:rsid w:val="00C537FF"/>
    <w:rsid w:val="00C7519D"/>
    <w:rsid w:val="00D025FF"/>
    <w:rsid w:val="00D0423C"/>
    <w:rsid w:val="00D40096"/>
    <w:rsid w:val="00E02C8E"/>
    <w:rsid w:val="00E24248"/>
    <w:rsid w:val="00E56C28"/>
    <w:rsid w:val="00EA0A7E"/>
    <w:rsid w:val="00F96566"/>
    <w:rsid w:val="00FA55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653D"/>
    <w:rPr>
      <w:rFonts w:ascii="Times New Roman" w:hAnsi="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07-17 June 2022</When>
    <Meeting xmlns="3f6fad35-1f81-480e-a4e5-6e5474dcfb96" xsi:nil="true"/>
    <IsReservedDoc xmlns="3f6fad35-1f81-480e-a4e5-6e5474dcfb96">false</IsReservedDoc>
    <SgText xmlns="3f6fad35-1f81-480e-a4e5-6e5474dcfb96">STUDY GROUP 12</SgText>
    <IsRevision xmlns="3f6fad35-1f81-480e-a4e5-6e5474dcfb96">false</IsRevision>
    <Purpose1 xmlns="3f6fad35-1f81-480e-a4e5-6e5474dcfb96" xsi:nil="true"/>
    <Abstract xmlns="3f6fad35-1f81-480e-a4e5-6e5474dcfb96">This contribution provides a first draft text for the future Recommendation P.AMD describing models to predict perceptual dimensions of degradations linked to the overall speech quality in narrowband to fullband telecommunication scenarios. The models aim at providing more detailed information about individual quality dimensions as additional information to the P.863 overall MOS. Perceptual dimensions of degradations may originate from all speech processing components usually considered for telecommunications in clean and noisy conditions. The models predict these dimensions as they are assessed in a listening-only test context.
In contrast to what was stated in the Requirement Specification, there is only one fullband mode for P.AMD. This mode is compatible with the fullband mode of P.863.</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9/12</QuestionText>
    <DocTypeText xmlns="3f6fad35-1f81-480e-a4e5-6e5474dcfb96">CONTRIBUTION</DocTypeText>
    <CategoryDescription xmlns="http://schemas.microsoft.com/sharepoint.v3" xsi:nil="true"/>
    <ShortName xmlns="3f6fad35-1f81-480e-a4e5-6e5474dcfb96">SG12-C-0021</ShortName>
    <Place xmlns="3f6fad35-1f81-480e-a4e5-6e5474dcfb96">Geneva</Place>
    <IsTooLateSubmitted xmlns="3f6fad35-1f81-480e-a4e5-6e5474dcfb96">false</IsTooLateSubmitted>
    <Observations xmlns="3f6fad35-1f81-480e-a4e5-6e5474dcfb96" xsi:nil="true"/>
    <DocumentSource xmlns="3f6fad35-1f81-480e-a4e5-6e5474dcfb96">Editor P.AMD</DocumentSource>
    <IsUpdated xmlns="3f6fad35-1f81-480e-a4e5-6e5474dcfb96">false</IsUpdated>
    <DocStatusText xmlns="3f6fad35-1f81-480e-a4e5-6e5474dcfb96" xsi:nil="true"/>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BIBTEX_Entry>misc</b:BIBTEX_Entry>
    <b:SourceType>Misc</b:SourceType>
    <b:Title>Perceptual objective listening quality assessment</b:Title>
    <b:Tag>ITUTRecP863</b:Tag>
    <b:Author>
      <b:Author>
        <b:Corporate>ITU-T Rec. P.863</b:Corporate>
      </b:Author>
    </b:Author>
    <b:Guid>{A8C605EF-245B-490A-84B5-D2D41FF63884}</b:Guid>
    <b:RefOrder>5</b:RefOrder>
  </b:Source>
  <b:Source>
    <b:Tag>ITU1</b:Tag>
    <b:SourceType>Misc</b:SourceType>
    <b:Guid>{90125C1F-5473-441B-A91E-B589C1C0DFEC}</b:Guid>
    <b:Author>
      <b:Author>
        <b:Corporate>ITU-T Rec. O.41</b:Corporate>
      </b:Author>
    </b:Author>
    <b:Title>Psophometer for use on telephone-type circuits</b:Title>
    <b:RefOrder>6</b:RefOrder>
  </b:Source>
</b:Sourc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3f6fad35-1f81-480e-a4e5-6e5474dcfb96"/>
    <ds:schemaRef ds:uri="http://schemas.microsoft.com/sharepoint.v3"/>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8BF5B60-7628-41C9-BBC2-DAAC47BCEC99}">
  <ds:schemaRefs>
    <ds:schemaRef ds:uri="http://schemas.openxmlformats.org/officeDocument/2006/bibliography"/>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mtgdoc_template_160106.dotx</Template>
  <TotalTime>1</TotalTime>
  <Pages>26</Pages>
  <Words>8114</Words>
  <Characters>49015</Characters>
  <Application>Microsoft Office Word</Application>
  <DocSecurity>0</DocSecurity>
  <Lines>2131</Lines>
  <Paragraphs>1503</Paragraphs>
  <ScaleCrop>false</ScaleCrop>
  <HeadingPairs>
    <vt:vector size="2" baseType="variant">
      <vt:variant>
        <vt:lpstr>Title</vt:lpstr>
      </vt:variant>
      <vt:variant>
        <vt:i4>1</vt:i4>
      </vt:variant>
    </vt:vector>
  </HeadingPairs>
  <TitlesOfParts>
    <vt:vector size="1" baseType="lpstr">
      <vt:lpstr>Proposed Draft P.AMD</vt:lpstr>
    </vt:vector>
  </TitlesOfParts>
  <Manager>ITU-T</Manager>
  <Company>International Telecommunication Union (ITU)</Company>
  <LinksUpToDate>false</LinksUpToDate>
  <CharactersWithSpaces>55626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Draft P.AMD</dc:title>
  <dc:subject/>
  <dc:creator>Technische Universität Berlin, Rohde &amp; Schwarz</dc:creator>
  <cp:keywords>Quality prediction; perceptual quality dimensions; noisiness</cp:keywords>
  <dc:description>SG12-TD106  For: Geneva, 7-17 June 2022_x000d_Document date: _x000d_Saved by ITU51013862 at 15:20:09 on 09.06.2022</dc:description>
  <cp:lastModifiedBy>Adolph, Martin</cp:lastModifiedBy>
  <cp:revision>3</cp:revision>
  <cp:lastPrinted>2017-02-22T09:55:00Z</cp:lastPrinted>
  <dcterms:created xsi:type="dcterms:W3CDTF">2022-06-17T12:48:00Z</dcterms:created>
  <dcterms:modified xsi:type="dcterms:W3CDTF">2022-06-17T13:00:00Z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SG12-TD106</vt:lpwstr>
  </property>
  <property fmtid="{D5CDD505-2E9C-101B-9397-08002B2CF9AE}" pid="11" name="Docdate">
    <vt:lpwstr/>
  </property>
  <property fmtid="{D5CDD505-2E9C-101B-9397-08002B2CF9AE}" pid="12" name="Docorlang">
    <vt:lpwstr/>
  </property>
  <property fmtid="{D5CDD505-2E9C-101B-9397-08002B2CF9AE}" pid="13" name="Docbluepink">
    <vt:lpwstr>9/12</vt:lpwstr>
  </property>
  <property fmtid="{D5CDD505-2E9C-101B-9397-08002B2CF9AE}" pid="14" name="Docdest">
    <vt:lpwstr>Geneva, 7-17 June 2022</vt:lpwstr>
  </property>
  <property fmtid="{D5CDD505-2E9C-101B-9397-08002B2CF9AE}" pid="15" name="Docauthor">
    <vt:lpwstr>Technische Universität Berlin, Rohde &amp; Schwarz</vt:lpwstr>
  </property>
</Properties>
</file>