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55"/>
        <w:gridCol w:w="3658"/>
        <w:gridCol w:w="4394"/>
      </w:tblGrid>
      <w:tr w:rsidR="009B649D" w:rsidRPr="009B649D" w14:paraId="3667E0E4" w14:textId="77777777" w:rsidTr="00495B56">
        <w:trPr>
          <w:cantSplit/>
        </w:trPr>
        <w:tc>
          <w:tcPr>
            <w:tcW w:w="1132" w:type="dxa"/>
            <w:vMerge w:val="restart"/>
            <w:vAlign w:val="center"/>
          </w:tcPr>
          <w:p w14:paraId="1E3BE82C" w14:textId="77777777" w:rsidR="009B649D" w:rsidRPr="009B649D" w:rsidRDefault="009B649D" w:rsidP="009B649D">
            <w:pPr>
              <w:spacing w:before="0"/>
              <w:jc w:val="center"/>
              <w:rPr>
                <w:sz w:val="20"/>
                <w:szCs w:val="20"/>
              </w:rPr>
            </w:pPr>
            <w:bookmarkStart w:id="0" w:name="dnum" w:colFirst="2" w:colLast="2"/>
            <w:bookmarkStart w:id="1" w:name="dtableau"/>
            <w:r w:rsidRPr="009B649D">
              <w:rPr>
                <w:noProof/>
              </w:rPr>
              <w:drawing>
                <wp:inline distT="0" distB="0" distL="0" distR="0" wp14:anchorId="0572CF40" wp14:editId="20856EE4">
                  <wp:extent cx="647700" cy="705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113" w:type="dxa"/>
            <w:gridSpan w:val="2"/>
            <w:vMerge w:val="restart"/>
          </w:tcPr>
          <w:p w14:paraId="7B46B1BA" w14:textId="77777777" w:rsidR="009B649D" w:rsidRPr="009B649D" w:rsidRDefault="009B649D" w:rsidP="009B649D">
            <w:pPr>
              <w:rPr>
                <w:sz w:val="16"/>
                <w:szCs w:val="16"/>
              </w:rPr>
            </w:pPr>
            <w:r w:rsidRPr="009B649D">
              <w:rPr>
                <w:sz w:val="16"/>
                <w:szCs w:val="16"/>
              </w:rPr>
              <w:t>INTERNATIONAL TELECOMMUNICATION UNION</w:t>
            </w:r>
          </w:p>
          <w:p w14:paraId="621D334A" w14:textId="77777777" w:rsidR="009B649D" w:rsidRPr="009B649D" w:rsidRDefault="009B649D" w:rsidP="009B649D">
            <w:pPr>
              <w:rPr>
                <w:b/>
                <w:bCs/>
                <w:sz w:val="26"/>
                <w:szCs w:val="26"/>
              </w:rPr>
            </w:pPr>
            <w:r w:rsidRPr="009B649D">
              <w:rPr>
                <w:b/>
                <w:bCs/>
                <w:sz w:val="26"/>
                <w:szCs w:val="26"/>
              </w:rPr>
              <w:t>TELECOMMUNICATION</w:t>
            </w:r>
            <w:r w:rsidRPr="009B649D">
              <w:rPr>
                <w:b/>
                <w:bCs/>
                <w:sz w:val="26"/>
                <w:szCs w:val="26"/>
              </w:rPr>
              <w:br/>
              <w:t>STANDARDIZATION SECTOR</w:t>
            </w:r>
          </w:p>
          <w:p w14:paraId="15458E81" w14:textId="77777777" w:rsidR="009B649D" w:rsidRPr="009B649D" w:rsidRDefault="009B649D" w:rsidP="009B649D">
            <w:pPr>
              <w:rPr>
                <w:sz w:val="20"/>
                <w:szCs w:val="20"/>
              </w:rPr>
            </w:pPr>
            <w:r w:rsidRPr="009B649D">
              <w:rPr>
                <w:sz w:val="20"/>
                <w:szCs w:val="20"/>
              </w:rPr>
              <w:t xml:space="preserve">STUDY PERIOD </w:t>
            </w:r>
            <w:bookmarkStart w:id="2" w:name="dstudyperiod"/>
            <w:r w:rsidRPr="009B649D">
              <w:rPr>
                <w:sz w:val="20"/>
              </w:rPr>
              <w:t>2022</w:t>
            </w:r>
            <w:r w:rsidRPr="009B649D">
              <w:rPr>
                <w:sz w:val="20"/>
                <w:szCs w:val="20"/>
              </w:rPr>
              <w:t>-</w:t>
            </w:r>
            <w:r w:rsidRPr="009B649D">
              <w:rPr>
                <w:sz w:val="20"/>
              </w:rPr>
              <w:t>2024</w:t>
            </w:r>
            <w:bookmarkEnd w:id="2"/>
          </w:p>
        </w:tc>
        <w:tc>
          <w:tcPr>
            <w:tcW w:w="4394" w:type="dxa"/>
            <w:vAlign w:val="center"/>
          </w:tcPr>
          <w:p w14:paraId="28789E91" w14:textId="3291FB68" w:rsidR="009B649D" w:rsidRPr="009B649D" w:rsidRDefault="009B649D" w:rsidP="009B649D">
            <w:pPr>
              <w:pStyle w:val="Docnumber"/>
            </w:pPr>
            <w:r>
              <w:t>SG12-TD116</w:t>
            </w:r>
          </w:p>
        </w:tc>
      </w:tr>
      <w:tr w:rsidR="009B649D" w:rsidRPr="009B649D" w14:paraId="78A3386A" w14:textId="77777777" w:rsidTr="00495B56">
        <w:trPr>
          <w:cantSplit/>
        </w:trPr>
        <w:tc>
          <w:tcPr>
            <w:tcW w:w="1132" w:type="dxa"/>
            <w:vMerge/>
          </w:tcPr>
          <w:p w14:paraId="4A2B57DB" w14:textId="77777777" w:rsidR="009B649D" w:rsidRPr="009B649D" w:rsidRDefault="009B649D" w:rsidP="009B649D">
            <w:pPr>
              <w:rPr>
                <w:smallCaps/>
                <w:sz w:val="20"/>
              </w:rPr>
            </w:pPr>
            <w:bookmarkStart w:id="3" w:name="dsg" w:colFirst="2" w:colLast="2"/>
            <w:bookmarkEnd w:id="0"/>
          </w:p>
        </w:tc>
        <w:tc>
          <w:tcPr>
            <w:tcW w:w="4113" w:type="dxa"/>
            <w:gridSpan w:val="2"/>
            <w:vMerge/>
          </w:tcPr>
          <w:p w14:paraId="7BD63BE8" w14:textId="77777777" w:rsidR="009B649D" w:rsidRPr="009B649D" w:rsidRDefault="009B649D" w:rsidP="009B649D">
            <w:pPr>
              <w:rPr>
                <w:smallCaps/>
                <w:sz w:val="20"/>
              </w:rPr>
            </w:pPr>
          </w:p>
        </w:tc>
        <w:tc>
          <w:tcPr>
            <w:tcW w:w="4394" w:type="dxa"/>
          </w:tcPr>
          <w:p w14:paraId="64C51AD5" w14:textId="004D5A68" w:rsidR="009B649D" w:rsidRPr="009B649D" w:rsidRDefault="009B649D" w:rsidP="009B649D">
            <w:pPr>
              <w:pStyle w:val="TSBHeaderRight14"/>
              <w:rPr>
                <w:smallCaps/>
              </w:rPr>
            </w:pPr>
            <w:r>
              <w:rPr>
                <w:smallCaps/>
              </w:rPr>
              <w:t>STUDY GROUP 12</w:t>
            </w:r>
          </w:p>
        </w:tc>
      </w:tr>
      <w:bookmarkEnd w:id="3"/>
      <w:tr w:rsidR="009B649D" w:rsidRPr="009B649D" w14:paraId="5266351A" w14:textId="77777777" w:rsidTr="00495B56">
        <w:trPr>
          <w:cantSplit/>
        </w:trPr>
        <w:tc>
          <w:tcPr>
            <w:tcW w:w="1132" w:type="dxa"/>
            <w:vMerge/>
            <w:tcBorders>
              <w:bottom w:val="single" w:sz="12" w:space="0" w:color="auto"/>
            </w:tcBorders>
          </w:tcPr>
          <w:p w14:paraId="28B82EF3" w14:textId="77777777" w:rsidR="009B649D" w:rsidRPr="009B649D" w:rsidRDefault="009B649D" w:rsidP="009B649D">
            <w:pPr>
              <w:rPr>
                <w:b/>
                <w:bCs/>
                <w:sz w:val="26"/>
              </w:rPr>
            </w:pPr>
          </w:p>
        </w:tc>
        <w:tc>
          <w:tcPr>
            <w:tcW w:w="4113" w:type="dxa"/>
            <w:gridSpan w:val="2"/>
            <w:vMerge/>
            <w:tcBorders>
              <w:bottom w:val="single" w:sz="12" w:space="0" w:color="auto"/>
            </w:tcBorders>
          </w:tcPr>
          <w:p w14:paraId="3CEDDE3E" w14:textId="77777777" w:rsidR="009B649D" w:rsidRPr="009B649D" w:rsidRDefault="009B649D" w:rsidP="009B649D">
            <w:pPr>
              <w:rPr>
                <w:b/>
                <w:bCs/>
                <w:sz w:val="26"/>
              </w:rPr>
            </w:pPr>
          </w:p>
        </w:tc>
        <w:tc>
          <w:tcPr>
            <w:tcW w:w="4394" w:type="dxa"/>
            <w:tcBorders>
              <w:bottom w:val="single" w:sz="12" w:space="0" w:color="auto"/>
            </w:tcBorders>
            <w:vAlign w:val="center"/>
          </w:tcPr>
          <w:p w14:paraId="0C73D2AF" w14:textId="77777777" w:rsidR="009B649D" w:rsidRPr="009B649D" w:rsidRDefault="009B649D" w:rsidP="009B649D">
            <w:pPr>
              <w:pStyle w:val="TSBHeaderRight14"/>
            </w:pPr>
            <w:r w:rsidRPr="009B649D">
              <w:t>Original: English</w:t>
            </w:r>
          </w:p>
        </w:tc>
      </w:tr>
      <w:tr w:rsidR="009B649D" w:rsidRPr="009B649D" w14:paraId="79B79BB7" w14:textId="77777777" w:rsidTr="00495B56">
        <w:trPr>
          <w:cantSplit/>
        </w:trPr>
        <w:tc>
          <w:tcPr>
            <w:tcW w:w="1587" w:type="dxa"/>
            <w:gridSpan w:val="2"/>
          </w:tcPr>
          <w:p w14:paraId="361002C2" w14:textId="77777777" w:rsidR="009B649D" w:rsidRPr="009B649D" w:rsidRDefault="009B649D" w:rsidP="009B649D">
            <w:pPr>
              <w:rPr>
                <w:b/>
                <w:bCs/>
              </w:rPr>
            </w:pPr>
            <w:bookmarkStart w:id="4" w:name="dbluepink" w:colFirst="1" w:colLast="1"/>
            <w:bookmarkStart w:id="5" w:name="dmeeting" w:colFirst="2" w:colLast="2"/>
            <w:r w:rsidRPr="009B649D">
              <w:rPr>
                <w:b/>
                <w:bCs/>
              </w:rPr>
              <w:t>Question(s):</w:t>
            </w:r>
          </w:p>
        </w:tc>
        <w:tc>
          <w:tcPr>
            <w:tcW w:w="3658" w:type="dxa"/>
          </w:tcPr>
          <w:p w14:paraId="1F469DED" w14:textId="26B99C8D" w:rsidR="009B649D" w:rsidRPr="009B649D" w:rsidRDefault="009B649D" w:rsidP="009B649D">
            <w:pPr>
              <w:pStyle w:val="TSBHeaderQuestion"/>
            </w:pPr>
            <w:r w:rsidRPr="009B649D">
              <w:t>10</w:t>
            </w:r>
            <w:r>
              <w:t>/12</w:t>
            </w:r>
          </w:p>
        </w:tc>
        <w:tc>
          <w:tcPr>
            <w:tcW w:w="4394" w:type="dxa"/>
          </w:tcPr>
          <w:p w14:paraId="73255194" w14:textId="6DBD6FDC" w:rsidR="009B649D" w:rsidRPr="009B649D" w:rsidRDefault="009B649D" w:rsidP="009B649D">
            <w:pPr>
              <w:pStyle w:val="VenueDate"/>
            </w:pPr>
            <w:r w:rsidRPr="009B649D">
              <w:t>Geneva, 7-17 June 2022</w:t>
            </w:r>
          </w:p>
        </w:tc>
      </w:tr>
      <w:tr w:rsidR="009B649D" w:rsidRPr="009B649D" w14:paraId="3A315472" w14:textId="77777777" w:rsidTr="005F7827">
        <w:trPr>
          <w:cantSplit/>
        </w:trPr>
        <w:tc>
          <w:tcPr>
            <w:tcW w:w="9639" w:type="dxa"/>
            <w:gridSpan w:val="4"/>
          </w:tcPr>
          <w:p w14:paraId="13DDAC8D" w14:textId="75F07597" w:rsidR="009B649D" w:rsidRPr="009B649D" w:rsidRDefault="009B649D" w:rsidP="009B649D">
            <w:pPr>
              <w:jc w:val="center"/>
              <w:rPr>
                <w:b/>
                <w:bCs/>
              </w:rPr>
            </w:pPr>
            <w:bookmarkStart w:id="6" w:name="ddoctype"/>
            <w:bookmarkEnd w:id="4"/>
            <w:bookmarkEnd w:id="5"/>
            <w:r w:rsidRPr="009B649D">
              <w:rPr>
                <w:b/>
                <w:bCs/>
              </w:rPr>
              <w:t>TD</w:t>
            </w:r>
          </w:p>
        </w:tc>
      </w:tr>
      <w:tr w:rsidR="009B649D" w:rsidRPr="009B649D" w14:paraId="0CA0513D" w14:textId="77777777" w:rsidTr="009B649D">
        <w:trPr>
          <w:cantSplit/>
        </w:trPr>
        <w:tc>
          <w:tcPr>
            <w:tcW w:w="1587" w:type="dxa"/>
            <w:gridSpan w:val="2"/>
          </w:tcPr>
          <w:p w14:paraId="11816E3C" w14:textId="77777777" w:rsidR="009B649D" w:rsidRPr="009B649D" w:rsidRDefault="009B649D" w:rsidP="009B649D">
            <w:pPr>
              <w:rPr>
                <w:b/>
                <w:bCs/>
              </w:rPr>
            </w:pPr>
            <w:bookmarkStart w:id="7" w:name="dsource" w:colFirst="1" w:colLast="1"/>
            <w:bookmarkEnd w:id="6"/>
            <w:r w:rsidRPr="009B649D">
              <w:rPr>
                <w:b/>
                <w:bCs/>
              </w:rPr>
              <w:t>Source:</w:t>
            </w:r>
          </w:p>
        </w:tc>
        <w:tc>
          <w:tcPr>
            <w:tcW w:w="8052" w:type="dxa"/>
            <w:gridSpan w:val="2"/>
          </w:tcPr>
          <w:p w14:paraId="2D6EBEF4" w14:textId="17793B78" w:rsidR="009B649D" w:rsidRPr="009B649D" w:rsidRDefault="009B649D" w:rsidP="009B649D">
            <w:pPr>
              <w:pStyle w:val="TSBHeaderSource"/>
            </w:pPr>
            <w:r w:rsidRPr="009B649D">
              <w:t>Rapporteurs Q10/12</w:t>
            </w:r>
          </w:p>
        </w:tc>
      </w:tr>
      <w:tr w:rsidR="009B649D" w:rsidRPr="009B649D" w14:paraId="0741E174" w14:textId="77777777" w:rsidTr="009B649D">
        <w:trPr>
          <w:cantSplit/>
        </w:trPr>
        <w:tc>
          <w:tcPr>
            <w:tcW w:w="1587" w:type="dxa"/>
            <w:gridSpan w:val="2"/>
            <w:tcBorders>
              <w:bottom w:val="single" w:sz="8" w:space="0" w:color="auto"/>
            </w:tcBorders>
          </w:tcPr>
          <w:p w14:paraId="7D594648" w14:textId="77777777" w:rsidR="009B649D" w:rsidRPr="009B649D" w:rsidRDefault="009B649D" w:rsidP="009B649D">
            <w:pPr>
              <w:rPr>
                <w:b/>
                <w:bCs/>
              </w:rPr>
            </w:pPr>
            <w:bookmarkStart w:id="8" w:name="dtitle1" w:colFirst="1" w:colLast="1"/>
            <w:bookmarkEnd w:id="7"/>
            <w:r w:rsidRPr="009B649D">
              <w:rPr>
                <w:b/>
                <w:bCs/>
              </w:rPr>
              <w:t>Title:</w:t>
            </w:r>
          </w:p>
        </w:tc>
        <w:tc>
          <w:tcPr>
            <w:tcW w:w="8052" w:type="dxa"/>
            <w:gridSpan w:val="2"/>
            <w:tcBorders>
              <w:bottom w:val="single" w:sz="8" w:space="0" w:color="auto"/>
            </w:tcBorders>
          </w:tcPr>
          <w:p w14:paraId="64EA300A" w14:textId="20EB177A" w:rsidR="009B649D" w:rsidRPr="009B649D" w:rsidRDefault="009B649D" w:rsidP="009B649D">
            <w:pPr>
              <w:pStyle w:val="TSBHeaderTitle"/>
            </w:pPr>
            <w:r w:rsidRPr="009B649D">
              <w:t>QoE Assessment of eXtended Reality (XR) Meetings</w:t>
            </w:r>
          </w:p>
        </w:tc>
      </w:tr>
      <w:tr w:rsidR="0067023D" w:rsidRPr="00394F72" w14:paraId="77F02CEA" w14:textId="77777777" w:rsidTr="00495B56">
        <w:trPr>
          <w:cantSplit/>
        </w:trPr>
        <w:tc>
          <w:tcPr>
            <w:tcW w:w="1587" w:type="dxa"/>
            <w:gridSpan w:val="2"/>
            <w:tcBorders>
              <w:top w:val="single" w:sz="8" w:space="0" w:color="auto"/>
              <w:bottom w:val="single" w:sz="8" w:space="0" w:color="auto"/>
            </w:tcBorders>
          </w:tcPr>
          <w:p w14:paraId="41019238" w14:textId="77777777" w:rsidR="0067023D" w:rsidRPr="00136DDD" w:rsidRDefault="0067023D" w:rsidP="009A6593">
            <w:pPr>
              <w:rPr>
                <w:b/>
                <w:bCs/>
              </w:rPr>
            </w:pPr>
            <w:bookmarkStart w:id="9" w:name="dcontact1"/>
            <w:bookmarkStart w:id="10" w:name="dcontent1" w:colFirst="1" w:colLast="1"/>
            <w:bookmarkStart w:id="11" w:name="dcontact"/>
            <w:bookmarkEnd w:id="1"/>
            <w:bookmarkEnd w:id="8"/>
            <w:r w:rsidRPr="2149A48D">
              <w:rPr>
                <w:b/>
                <w:bCs/>
              </w:rPr>
              <w:t>Contact:</w:t>
            </w:r>
          </w:p>
        </w:tc>
        <w:tc>
          <w:tcPr>
            <w:tcW w:w="3658" w:type="dxa"/>
            <w:tcBorders>
              <w:top w:val="single" w:sz="8" w:space="0" w:color="auto"/>
              <w:bottom w:val="single" w:sz="8" w:space="0" w:color="auto"/>
            </w:tcBorders>
          </w:tcPr>
          <w:p w14:paraId="74533393" w14:textId="080048E5" w:rsidR="0067023D" w:rsidRPr="005717CE" w:rsidRDefault="005717CE" w:rsidP="009A6593">
            <w:pPr>
              <w:rPr>
                <w:lang w:val="de-DE"/>
              </w:rPr>
            </w:pPr>
            <w:r w:rsidRPr="004F6F89">
              <w:rPr>
                <w:lang w:val="de-DE"/>
              </w:rPr>
              <w:t>Gunilla Berndtsson</w:t>
            </w:r>
            <w:r>
              <w:rPr>
                <w:lang w:val="de-DE"/>
              </w:rPr>
              <w:br/>
              <w:t>Telefon AB - LM Ericsson</w:t>
            </w:r>
            <w:r>
              <w:rPr>
                <w:lang w:val="de-DE"/>
              </w:rPr>
              <w:br/>
            </w:r>
            <w:r w:rsidRPr="004F6F89">
              <w:rPr>
                <w:lang w:val="de-DE"/>
              </w:rPr>
              <w:t>Sweden</w:t>
            </w:r>
          </w:p>
        </w:tc>
        <w:tc>
          <w:tcPr>
            <w:tcW w:w="4394" w:type="dxa"/>
            <w:tcBorders>
              <w:top w:val="single" w:sz="8" w:space="0" w:color="auto"/>
              <w:bottom w:val="single" w:sz="8" w:space="0" w:color="auto"/>
            </w:tcBorders>
          </w:tcPr>
          <w:p w14:paraId="36EE8850" w14:textId="5C34A888" w:rsidR="0067023D" w:rsidRPr="005717CE" w:rsidRDefault="005717CE" w:rsidP="009A6593">
            <w:pPr>
              <w:tabs>
                <w:tab w:val="left" w:pos="794"/>
              </w:tabs>
              <w:rPr>
                <w:lang w:val="de-DE"/>
              </w:rPr>
            </w:pPr>
            <w:r w:rsidRPr="004F6F89">
              <w:rPr>
                <w:lang w:val="de-DE"/>
              </w:rPr>
              <w:t>Tel: +46 761011119</w:t>
            </w:r>
            <w:r>
              <w:rPr>
                <w:lang w:val="de-DE"/>
              </w:rPr>
              <w:br/>
            </w:r>
            <w:r w:rsidRPr="004F6F89">
              <w:rPr>
                <w:lang w:val="de-DE"/>
              </w:rPr>
              <w:t xml:space="preserve">E-mail: </w:t>
            </w:r>
            <w:hyperlink r:id="rId12" w:history="1">
              <w:r w:rsidRPr="00BC7330">
                <w:rPr>
                  <w:rStyle w:val="Hyperlink"/>
                  <w:lang w:val="de-DE"/>
                </w:rPr>
                <w:t>gunilla.berndtsson@ericsson.com</w:t>
              </w:r>
            </w:hyperlink>
          </w:p>
        </w:tc>
      </w:tr>
      <w:tr w:rsidR="005717CE" w:rsidRPr="00394F72" w14:paraId="761446B6" w14:textId="77777777" w:rsidTr="00495B56">
        <w:trPr>
          <w:cantSplit/>
        </w:trPr>
        <w:tc>
          <w:tcPr>
            <w:tcW w:w="1587" w:type="dxa"/>
            <w:gridSpan w:val="2"/>
            <w:tcBorders>
              <w:top w:val="single" w:sz="8" w:space="0" w:color="auto"/>
              <w:bottom w:val="single" w:sz="8" w:space="0" w:color="auto"/>
            </w:tcBorders>
          </w:tcPr>
          <w:p w14:paraId="5E2A1CB6" w14:textId="21BBD52C" w:rsidR="005717CE" w:rsidRPr="005717CE" w:rsidRDefault="005717CE" w:rsidP="009A6593">
            <w:pPr>
              <w:rPr>
                <w:b/>
                <w:bCs/>
                <w:lang w:val="de-DE"/>
              </w:rPr>
            </w:pPr>
            <w:bookmarkStart w:id="12" w:name="dcontact2"/>
            <w:bookmarkStart w:id="13" w:name="dcontent2" w:colFirst="1" w:colLast="1"/>
            <w:bookmarkEnd w:id="9"/>
            <w:bookmarkEnd w:id="10"/>
            <w:r w:rsidRPr="2149A48D">
              <w:rPr>
                <w:b/>
                <w:bCs/>
              </w:rPr>
              <w:t>Contact:</w:t>
            </w:r>
          </w:p>
        </w:tc>
        <w:tc>
          <w:tcPr>
            <w:tcW w:w="3658" w:type="dxa"/>
            <w:tcBorders>
              <w:top w:val="single" w:sz="8" w:space="0" w:color="auto"/>
              <w:bottom w:val="single" w:sz="8" w:space="0" w:color="auto"/>
            </w:tcBorders>
          </w:tcPr>
          <w:p w14:paraId="109C5B65" w14:textId="25AA4532" w:rsidR="005717CE" w:rsidRDefault="005717CE" w:rsidP="009A6593">
            <w:pPr>
              <w:rPr>
                <w:highlight w:val="yellow"/>
              </w:rPr>
            </w:pPr>
            <w:r w:rsidRPr="004F6F89">
              <w:rPr>
                <w:lang w:val="en-US"/>
              </w:rPr>
              <w:t>Janto Skowronek</w:t>
            </w:r>
            <w:r>
              <w:rPr>
                <w:lang w:val="en-US"/>
              </w:rPr>
              <w:br/>
            </w:r>
            <w:r w:rsidRPr="004F6F89">
              <w:rPr>
                <w:lang w:val="en-US"/>
              </w:rPr>
              <w:t>Ilmenau University of Technology</w:t>
            </w:r>
            <w:r>
              <w:rPr>
                <w:lang w:val="en-US"/>
              </w:rPr>
              <w:br/>
            </w:r>
            <w:r w:rsidRPr="004F6F89">
              <w:rPr>
                <w:lang w:val="en-US"/>
              </w:rPr>
              <w:t>Germany</w:t>
            </w:r>
          </w:p>
        </w:tc>
        <w:tc>
          <w:tcPr>
            <w:tcW w:w="4394" w:type="dxa"/>
            <w:tcBorders>
              <w:top w:val="single" w:sz="8" w:space="0" w:color="auto"/>
              <w:bottom w:val="single" w:sz="8" w:space="0" w:color="auto"/>
            </w:tcBorders>
          </w:tcPr>
          <w:p w14:paraId="596AED09" w14:textId="34A0DCBC" w:rsidR="005717CE" w:rsidRPr="005717CE" w:rsidRDefault="005717CE" w:rsidP="009A6593">
            <w:pPr>
              <w:tabs>
                <w:tab w:val="left" w:pos="794"/>
              </w:tabs>
              <w:rPr>
                <w:lang w:val="de-DE"/>
              </w:rPr>
            </w:pPr>
            <w:r w:rsidRPr="004F6F89">
              <w:rPr>
                <w:lang w:val="de-DE"/>
              </w:rPr>
              <w:t>Tel: +49 711 8926 2326</w:t>
            </w:r>
            <w:r>
              <w:rPr>
                <w:lang w:val="de-DE"/>
              </w:rPr>
              <w:br/>
            </w:r>
            <w:r w:rsidRPr="004F6F89">
              <w:rPr>
                <w:lang w:val="de-DE"/>
              </w:rPr>
              <w:t xml:space="preserve">E-mail: </w:t>
            </w:r>
            <w:r>
              <w:rPr>
                <w:lang w:val="de-DE"/>
              </w:rPr>
              <w:br/>
            </w:r>
            <w:hyperlink r:id="rId13" w:history="1">
              <w:r w:rsidRPr="00BC7330">
                <w:rPr>
                  <w:rStyle w:val="Hyperlink"/>
                  <w:lang w:val="de-DE"/>
                </w:rPr>
                <w:t>janto.skowronek@hft-stuttgart.de</w:t>
              </w:r>
            </w:hyperlink>
          </w:p>
        </w:tc>
      </w:tr>
      <w:bookmarkEnd w:id="11"/>
      <w:bookmarkEnd w:id="12"/>
      <w:bookmarkEnd w:id="13"/>
    </w:tbl>
    <w:p w14:paraId="53F814A1" w14:textId="77777777" w:rsidR="0067023D" w:rsidRPr="005717CE" w:rsidRDefault="0067023D" w:rsidP="0067023D">
      <w:pPr>
        <w:rPr>
          <w:lang w:val="de-DE"/>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7023D" w:rsidRPr="00136DDD" w14:paraId="52E985A9" w14:textId="77777777" w:rsidTr="009A6593">
        <w:trPr>
          <w:cantSplit/>
        </w:trPr>
        <w:tc>
          <w:tcPr>
            <w:tcW w:w="1588" w:type="dxa"/>
          </w:tcPr>
          <w:p w14:paraId="6F3C35A2" w14:textId="77777777" w:rsidR="0067023D" w:rsidRPr="00136DDD" w:rsidRDefault="0067023D" w:rsidP="009A6593">
            <w:pPr>
              <w:rPr>
                <w:b/>
                <w:bCs/>
              </w:rPr>
            </w:pPr>
            <w:r w:rsidRPr="00136DDD">
              <w:rPr>
                <w:b/>
                <w:bCs/>
              </w:rPr>
              <w:t>Abstract:</w:t>
            </w:r>
          </w:p>
        </w:tc>
        <w:tc>
          <w:tcPr>
            <w:tcW w:w="8051" w:type="dxa"/>
          </w:tcPr>
          <w:p w14:paraId="73E27D30" w14:textId="29BEABDD" w:rsidR="0067023D" w:rsidRPr="008249A7" w:rsidRDefault="005717CE" w:rsidP="009A6593">
            <w:pPr>
              <w:pStyle w:val="TSBHeaderSummary"/>
              <w:rPr>
                <w:highlight w:val="yellow"/>
              </w:rPr>
            </w:pPr>
            <w:r w:rsidRPr="00DA75A4">
              <w:t>This Recommendation advises on aspects of importance for QoE assessment of telemeetings with extended reality elements. The goal is to define the human, context, and system factors that affect the choice of the QoE assessment procedure and metrics when extended reality telemeeting systems are under evaluation.</w:t>
            </w:r>
          </w:p>
        </w:tc>
      </w:tr>
    </w:tbl>
    <w:p w14:paraId="133F7D48" w14:textId="77777777" w:rsidR="0067023D" w:rsidRDefault="0067023D" w:rsidP="00D02B5E"/>
    <w:p w14:paraId="626C2AC5" w14:textId="77777777" w:rsidR="005C053E" w:rsidRPr="00EC2A42" w:rsidRDefault="005C053E" w:rsidP="00AD6A4D"/>
    <w:p w14:paraId="6AB1AFCA" w14:textId="67E48A5F" w:rsidR="004A106E" w:rsidRPr="00EC2A42" w:rsidRDefault="004A106E" w:rsidP="00AD6A4D">
      <w:pPr>
        <w:pStyle w:val="RecNo"/>
      </w:pPr>
      <w:r w:rsidRPr="00EC2A42">
        <w:t xml:space="preserve">Recommendation </w:t>
      </w:r>
      <w:r w:rsidR="005C053E">
        <w:t xml:space="preserve">ITU-T </w:t>
      </w:r>
      <w:r w:rsidR="005717CE">
        <w:t>P.1320</w:t>
      </w:r>
    </w:p>
    <w:p w14:paraId="3DB1CB9F" w14:textId="0DB2B890" w:rsidR="004A106E" w:rsidRPr="00EC2A42" w:rsidRDefault="005717CE" w:rsidP="004A106E">
      <w:pPr>
        <w:pStyle w:val="Rectitle"/>
      </w:pPr>
      <w:r>
        <w:rPr>
          <w:color w:val="000000"/>
        </w:rPr>
        <w:t>QoE Assessment of eXtended Reality (XR) Meetings</w:t>
      </w:r>
    </w:p>
    <w:p w14:paraId="68DD7A89" w14:textId="77777777" w:rsidR="004A106E" w:rsidRPr="00EC2A42" w:rsidRDefault="004A106E" w:rsidP="004A106E">
      <w:pPr>
        <w:pStyle w:val="Headingb"/>
      </w:pPr>
      <w:r w:rsidRPr="00EC2A42">
        <w:t>Summary</w:t>
      </w:r>
    </w:p>
    <w:p w14:paraId="13B2C991" w14:textId="05B7980E" w:rsidR="004A106E" w:rsidRPr="00EC2A42" w:rsidRDefault="003236A8" w:rsidP="004C6F3E">
      <w:pPr>
        <w:jc w:val="both"/>
      </w:pPr>
      <w:r w:rsidRPr="00DA75A4">
        <w:t>This Recommendation advises on aspects of importance for QoE assessment of telemeetings with extended reality elements. The goal is to define the human, context, and system factors that affect the choice of the QoE assessment procedure and metrics when extended reality telemeeting systems are under evaluation.</w:t>
      </w:r>
    </w:p>
    <w:p w14:paraId="4CEB7373" w14:textId="77777777" w:rsidR="004A106E" w:rsidRPr="00EC2A42" w:rsidRDefault="004A106E" w:rsidP="004A106E">
      <w:pPr>
        <w:pStyle w:val="Headingb"/>
      </w:pPr>
      <w:r w:rsidRPr="00EC2A42">
        <w:t>Keywords</w:t>
      </w:r>
    </w:p>
    <w:p w14:paraId="7FB8F052" w14:textId="39F4DCCA" w:rsidR="004A106E" w:rsidRPr="00EC2A42" w:rsidRDefault="003236A8" w:rsidP="008A6476">
      <w:r>
        <w:t>extended reality, Quality of Experience (QoE), telemeeting</w:t>
      </w:r>
    </w:p>
    <w:p w14:paraId="62C83FF5" w14:textId="77777777" w:rsidR="004A106E" w:rsidRPr="00EC2A42" w:rsidRDefault="004A106E" w:rsidP="004A106E">
      <w:pPr>
        <w:pStyle w:val="Heading1"/>
      </w:pPr>
      <w:r w:rsidRPr="00EC2A42">
        <w:t>1</w:t>
      </w:r>
      <w:r w:rsidRPr="00EC2A42">
        <w:tab/>
        <w:t>Scope</w:t>
      </w:r>
    </w:p>
    <w:p w14:paraId="4FDE268B" w14:textId="77777777" w:rsidR="005717CE" w:rsidRDefault="005717CE" w:rsidP="005717C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both"/>
      </w:pPr>
      <w:r>
        <w:t>This Recommendation focuses on aspects of importance for the assessment of Quality of Experience (QoE) of different types of eXtended Reality (XR) telemeetings, which may comprise a combination of telemeetings taking place in virtual reality (VR), augmented reality (AR), or mixed reality (MR) environments. It targets XR services aiming to immerse the user and augment the exchange of information by delivering interactive real-time uni- or multimodal sensory information for two-party and multiparty communication. The services include telemeetings taking place in a virtual location or a combination of virtual and real locations; telemeetings with mixtures of real and virtual participants; telemeetings with augmented elements for collaboration; virtual conferences; and joint teleoperation of equipment.</w:t>
      </w:r>
    </w:p>
    <w:p w14:paraId="1879955D" w14:textId="77777777" w:rsidR="005717CE" w:rsidRDefault="005717CE" w:rsidP="005717C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both"/>
      </w:pPr>
      <w:r>
        <w:lastRenderedPageBreak/>
        <w:t xml:space="preserve">While multiple QoE evaluation methodologies for telemeetings have been developed, novel XR telemeeting services may result in cognitive effects that are not covered by the existing Recommendations. These effects may include simulator sickness, fatigue, immersion, or presence, for example. This document advises on the key QoE factors affecting the user experience of an XR telemeeting service. </w:t>
      </w:r>
    </w:p>
    <w:p w14:paraId="374A8980" w14:textId="0B63D5B9" w:rsidR="004A106E" w:rsidRPr="00EC2A42" w:rsidRDefault="005717CE" w:rsidP="003236A8">
      <w:pPr>
        <w:jc w:val="both"/>
      </w:pPr>
      <w:r>
        <w:t>The purpose of this Recommendation is to find the existing standardized methods that can be applied for assessing the QoE constituents of XR telemeetings, and direct the reader to the appropriate source. When a suitable standardized method is not available, this Recommendation will list the QoE influencing factors related to the QoE constituent in question and guide the reader to relevant scientific literature. Ultimately, this Recommendation specifies the categorization of system, human, and context factors influencing XR telemeeting QoE.</w:t>
      </w:r>
    </w:p>
    <w:p w14:paraId="4189B1C4" w14:textId="77777777" w:rsidR="004A106E" w:rsidRPr="00EC2A42" w:rsidRDefault="004A106E" w:rsidP="004A106E">
      <w:pPr>
        <w:pStyle w:val="Heading1"/>
      </w:pPr>
      <w:r w:rsidRPr="00EC2A42">
        <w:t>2</w:t>
      </w:r>
      <w:r w:rsidRPr="00EC2A42">
        <w:tab/>
        <w:t>References</w:t>
      </w:r>
    </w:p>
    <w:p w14:paraId="5A7583DE" w14:textId="77777777" w:rsidR="004A106E" w:rsidRPr="00EC2A42" w:rsidRDefault="004A106E" w:rsidP="006E3981">
      <w:r w:rsidRPr="00EC2A42">
        <w:t>The following ITU-T Recommendations and othe</w:t>
      </w:r>
      <w:r w:rsidR="008C473D" w:rsidRPr="00EC2A42">
        <w:t>r references contain provisions</w:t>
      </w:r>
      <w:r w:rsidRPr="00EC2A42">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8A6476" w:rsidRPr="00EC2A42">
        <w:t xml:space="preserve"> </w:t>
      </w:r>
      <w:r w:rsidRPr="00EC2A42">
        <w:t>The reference to a document within this Recommendation does not give it, as a stand-alone document, the status of a Recommendation.</w:t>
      </w:r>
    </w:p>
    <w:p w14:paraId="2C3B1C32" w14:textId="7EF94BF6" w:rsidR="005717CE" w:rsidRDefault="005717CE" w:rsidP="005717CE">
      <w:pPr>
        <w:ind w:left="2160" w:hanging="2160"/>
        <w:jc w:val="both"/>
      </w:pPr>
      <w:r>
        <w:t xml:space="preserve">[ITU-T P.1301] </w:t>
      </w:r>
      <w:r>
        <w:tab/>
        <w:t xml:space="preserve">Recommendation ITU-T P.1301 (2017), </w:t>
      </w:r>
      <w:r w:rsidRPr="005717CE">
        <w:rPr>
          <w:i/>
        </w:rPr>
        <w:t>Subjective quality evaluation of audio and audiovisual multiparty telemeetings</w:t>
      </w:r>
    </w:p>
    <w:p w14:paraId="72B57550" w14:textId="77777777" w:rsidR="005717CE" w:rsidRDefault="005717CE" w:rsidP="005717CE">
      <w:pPr>
        <w:ind w:left="2160" w:hanging="2160"/>
        <w:jc w:val="both"/>
      </w:pPr>
      <w:r>
        <w:t xml:space="preserve">[ITU-T P.1305] </w:t>
      </w:r>
      <w:r>
        <w:tab/>
        <w:t xml:space="preserve">Recommendation ITU-T P.1305 (2016), </w:t>
      </w:r>
      <w:r w:rsidRPr="005717CE">
        <w:rPr>
          <w:i/>
        </w:rPr>
        <w:t>Effects of delays on telemeeting quality</w:t>
      </w:r>
    </w:p>
    <w:p w14:paraId="36628562" w14:textId="1E843D74" w:rsidR="005717CE" w:rsidRDefault="005717CE" w:rsidP="005717CE">
      <w:pPr>
        <w:ind w:left="2160" w:hanging="2160"/>
        <w:jc w:val="both"/>
      </w:pPr>
      <w:r>
        <w:t xml:space="preserve">[ITU-T P.1310] </w:t>
      </w:r>
      <w:r>
        <w:tab/>
        <w:t xml:space="preserve">Recommendation ITU-T P.1310 (2017), </w:t>
      </w:r>
      <w:r w:rsidRPr="005717CE">
        <w:rPr>
          <w:i/>
        </w:rPr>
        <w:t>Spatial audio meetings quality evaluation</w:t>
      </w:r>
    </w:p>
    <w:p w14:paraId="7CA3DC3C" w14:textId="77777777" w:rsidR="005717CE" w:rsidRDefault="005717CE" w:rsidP="005717CE">
      <w:pPr>
        <w:ind w:left="2160" w:hanging="2160"/>
        <w:jc w:val="both"/>
      </w:pPr>
      <w:r>
        <w:t>[ITU-T P.1311]</w:t>
      </w:r>
      <w:r>
        <w:tab/>
        <w:t xml:space="preserve">Recommendation ITU-T P.1311 (2014), </w:t>
      </w:r>
      <w:r w:rsidRPr="005717CE">
        <w:rPr>
          <w:i/>
        </w:rPr>
        <w:t>Method for determining the intelligibility of multiple concurrent talkers</w:t>
      </w:r>
    </w:p>
    <w:p w14:paraId="3544EF9F" w14:textId="77777777" w:rsidR="005717CE" w:rsidRDefault="005717CE" w:rsidP="005717CE">
      <w:pPr>
        <w:tabs>
          <w:tab w:val="left" w:pos="794"/>
          <w:tab w:val="left" w:pos="1191"/>
          <w:tab w:val="left" w:pos="1588"/>
          <w:tab w:val="left" w:pos="1985"/>
        </w:tabs>
        <w:ind w:left="2160" w:hanging="2160"/>
        <w:jc w:val="both"/>
      </w:pPr>
      <w:r>
        <w:t>[ITU-T P.1312]</w:t>
      </w:r>
      <w:r>
        <w:tab/>
      </w:r>
      <w:r>
        <w:tab/>
      </w:r>
      <w:r>
        <w:tab/>
        <w:t xml:space="preserve">Recommendation ITU-T P.1312 (2016), </w:t>
      </w:r>
      <w:r w:rsidRPr="005717CE">
        <w:rPr>
          <w:i/>
        </w:rPr>
        <w:t>Method for the measurement of the communication effectiveness of multiparty telemeetings using task performance</w:t>
      </w:r>
    </w:p>
    <w:p w14:paraId="30A96A20" w14:textId="77777777" w:rsidR="005717CE" w:rsidRDefault="005717CE" w:rsidP="005717CE">
      <w:pPr>
        <w:tabs>
          <w:tab w:val="left" w:pos="794"/>
          <w:tab w:val="left" w:pos="1191"/>
          <w:tab w:val="left" w:pos="1588"/>
          <w:tab w:val="left" w:pos="1985"/>
        </w:tabs>
        <w:ind w:left="2160" w:hanging="2160"/>
        <w:jc w:val="both"/>
        <w:rPr>
          <w:highlight w:val="white"/>
        </w:rPr>
      </w:pPr>
      <w:r>
        <w:t>[ITU-T P.919]</w:t>
      </w:r>
      <w:r>
        <w:tab/>
      </w:r>
      <w:r>
        <w:tab/>
      </w:r>
      <w:r>
        <w:tab/>
        <w:t xml:space="preserve">Recommendation ITU-T P.919 (2020), </w:t>
      </w:r>
      <w:r w:rsidRPr="005717CE">
        <w:rPr>
          <w:i/>
          <w:highlight w:val="white"/>
        </w:rPr>
        <w:t>Subjective test methodologies for 360º video on head-mounted displays</w:t>
      </w:r>
    </w:p>
    <w:p w14:paraId="6E590C6A" w14:textId="77777777" w:rsidR="005717CE" w:rsidRDefault="005717CE" w:rsidP="005717CE">
      <w:pPr>
        <w:tabs>
          <w:tab w:val="left" w:pos="794"/>
          <w:tab w:val="left" w:pos="1191"/>
          <w:tab w:val="left" w:pos="1588"/>
          <w:tab w:val="left" w:pos="1985"/>
        </w:tabs>
        <w:ind w:left="2160" w:hanging="2160"/>
        <w:jc w:val="both"/>
        <w:rPr>
          <w:highlight w:val="white"/>
        </w:rPr>
      </w:pPr>
      <w:r>
        <w:t>[ITU-T G.1035]</w:t>
      </w:r>
      <w:r>
        <w:tab/>
      </w:r>
      <w:r>
        <w:tab/>
      </w:r>
      <w:r>
        <w:tab/>
        <w:t xml:space="preserve">Recommendation ITU-T G.1035 (2021), </w:t>
      </w:r>
      <w:r w:rsidRPr="005717CE">
        <w:rPr>
          <w:i/>
          <w:highlight w:val="white"/>
        </w:rPr>
        <w:t>Influencing factors on quality of experience (QoE) for virtual reality (VR) services</w:t>
      </w:r>
    </w:p>
    <w:p w14:paraId="6950C96B" w14:textId="693E2096" w:rsidR="004A106E" w:rsidRPr="006E3981" w:rsidRDefault="005717CE" w:rsidP="005717CE">
      <w:pPr>
        <w:pStyle w:val="Reftext"/>
      </w:pPr>
      <w:r>
        <w:t xml:space="preserve">[ITU-T H.430.3] </w:t>
      </w:r>
      <w:r>
        <w:tab/>
        <w:t xml:space="preserve">Recommendation ITU-T H.430.3 (2018), </w:t>
      </w:r>
      <w:r w:rsidRPr="005717CE">
        <w:rPr>
          <w:i/>
        </w:rPr>
        <w:t>Service scenario of immersive live experience (ILE)</w:t>
      </w:r>
    </w:p>
    <w:p w14:paraId="5B4BEBAE" w14:textId="77777777" w:rsidR="004A106E" w:rsidRPr="00EC2A42" w:rsidRDefault="004A106E" w:rsidP="004A106E">
      <w:pPr>
        <w:pStyle w:val="Heading1"/>
      </w:pPr>
      <w:r w:rsidRPr="00EC2A42">
        <w:t>3</w:t>
      </w:r>
      <w:r w:rsidRPr="00EC2A42">
        <w:tab/>
        <w:t>Definitions</w:t>
      </w:r>
    </w:p>
    <w:p w14:paraId="51DCC4FA" w14:textId="77777777" w:rsidR="004A106E" w:rsidRPr="00EC2A42" w:rsidRDefault="004A106E" w:rsidP="004A106E">
      <w:pPr>
        <w:pStyle w:val="Heading2"/>
      </w:pPr>
      <w:r w:rsidRPr="00EC2A42">
        <w:t>3.1</w:t>
      </w:r>
      <w:r w:rsidRPr="00EC2A42">
        <w:tab/>
      </w:r>
      <w:r w:rsidR="00701334" w:rsidRPr="00EC2A42">
        <w:t>T</w:t>
      </w:r>
      <w:r w:rsidRPr="00EC2A42">
        <w:t xml:space="preserve">erms defined </w:t>
      </w:r>
      <w:r w:rsidR="00284941" w:rsidRPr="00EC2A42">
        <w:t>elsewhere</w:t>
      </w:r>
    </w:p>
    <w:p w14:paraId="74934AD6" w14:textId="77777777" w:rsidR="00701334" w:rsidRPr="00EC2A42" w:rsidRDefault="00701334" w:rsidP="00F31B0E">
      <w:r w:rsidRPr="00EC2A42">
        <w:t>This Recommendation uses the following terms defined elsewhere:</w:t>
      </w:r>
    </w:p>
    <w:p w14:paraId="734363EF" w14:textId="54598D62" w:rsidR="005717CE" w:rsidRPr="00736079" w:rsidRDefault="005717CE" w:rsidP="005717CE">
      <w:pPr>
        <w:pStyle w:val="Heading3"/>
        <w:rPr>
          <w:b w:val="0"/>
          <w:bCs/>
        </w:rPr>
      </w:pPr>
      <w:r w:rsidRPr="00736079">
        <w:lastRenderedPageBreak/>
        <w:t>3.1.1</w:t>
      </w:r>
      <w:r w:rsidRPr="00736079">
        <w:tab/>
        <w:t>QoE</w:t>
      </w:r>
      <w:r>
        <w:t xml:space="preserve"> </w:t>
      </w:r>
      <w:r>
        <w:tab/>
      </w:r>
      <w:r>
        <w:tab/>
      </w:r>
      <w:r>
        <w:tab/>
      </w:r>
      <w:r>
        <w:tab/>
      </w:r>
      <w:r>
        <w:tab/>
      </w:r>
      <w:r w:rsidRPr="00736079">
        <w:rPr>
          <w:b w:val="0"/>
          <w:bCs/>
        </w:rPr>
        <w:t>[ITU-T P.10/G.100]</w:t>
      </w:r>
    </w:p>
    <w:p w14:paraId="7B5DC0A2" w14:textId="6427D653" w:rsidR="005717CE" w:rsidRDefault="005717CE" w:rsidP="005717CE">
      <w:pPr>
        <w:pStyle w:val="Heading3"/>
      </w:pPr>
      <w:bookmarkStart w:id="14" w:name="_k05rfcwio1iu" w:colFirst="0" w:colLast="0"/>
      <w:bookmarkEnd w:id="14"/>
      <w:r>
        <w:t>3.1.2</w:t>
      </w:r>
      <w:r>
        <w:tab/>
        <w:t>QoE influencing factors</w:t>
      </w:r>
      <w:r>
        <w:tab/>
      </w:r>
      <w:r>
        <w:tab/>
      </w:r>
      <w:r w:rsidRPr="00D87BE2">
        <w:rPr>
          <w:b w:val="0"/>
          <w:bCs/>
        </w:rPr>
        <w:t>[ITU-T P.10/G.100]</w:t>
      </w:r>
    </w:p>
    <w:p w14:paraId="56B4070E" w14:textId="4AEB87DA" w:rsidR="005717CE" w:rsidRDefault="005717CE" w:rsidP="005717CE">
      <w:pPr>
        <w:pStyle w:val="Heading3"/>
      </w:pPr>
      <w:bookmarkStart w:id="15" w:name="_86es4j69dq3f" w:colFirst="0" w:colLast="0"/>
      <w:bookmarkEnd w:id="15"/>
      <w:r>
        <w:t>3.1.3</w:t>
      </w:r>
      <w:r>
        <w:tab/>
        <w:t xml:space="preserve">Telemeeting </w:t>
      </w:r>
      <w:r>
        <w:tab/>
      </w:r>
      <w:r>
        <w:tab/>
      </w:r>
      <w:r>
        <w:tab/>
      </w:r>
      <w:r>
        <w:tab/>
      </w:r>
      <w:r w:rsidRPr="00D87BE2">
        <w:rPr>
          <w:b w:val="0"/>
          <w:bCs/>
        </w:rPr>
        <w:t>[ITU-T P.1301]</w:t>
      </w:r>
    </w:p>
    <w:p w14:paraId="537F75D5" w14:textId="77777777" w:rsidR="005717CE" w:rsidRPr="00A127E2" w:rsidRDefault="005717CE" w:rsidP="005717CE">
      <w:pPr>
        <w:pStyle w:val="Heading3"/>
        <w:rPr>
          <w:highlight w:val="white"/>
        </w:rPr>
      </w:pPr>
      <w:bookmarkStart w:id="16" w:name="_nvemomngfx0g" w:colFirst="0" w:colLast="0"/>
      <w:bookmarkEnd w:id="16"/>
      <w:r w:rsidRPr="00A127E2">
        <w:t>3.1.4</w:t>
      </w:r>
      <w:r w:rsidRPr="00A127E2">
        <w:tab/>
      </w:r>
      <w:r w:rsidRPr="00A127E2">
        <w:rPr>
          <w:highlight w:val="white"/>
        </w:rPr>
        <w:t>Degree of Freedom (DoF)</w:t>
      </w:r>
      <w:r w:rsidRPr="00A127E2">
        <w:rPr>
          <w:highlight w:val="white"/>
        </w:rPr>
        <w:tab/>
      </w:r>
      <w:r w:rsidRPr="00D87BE2">
        <w:rPr>
          <w:b w:val="0"/>
          <w:bCs/>
          <w:highlight w:val="white"/>
        </w:rPr>
        <w:t>[ITU-T G.1035]</w:t>
      </w:r>
    </w:p>
    <w:p w14:paraId="4EED0621" w14:textId="77777777" w:rsidR="004A106E" w:rsidRPr="00EC2A42" w:rsidRDefault="004A106E" w:rsidP="004A106E">
      <w:pPr>
        <w:pStyle w:val="Heading2"/>
      </w:pPr>
      <w:r w:rsidRPr="00EC2A42">
        <w:t>3.2</w:t>
      </w:r>
      <w:r w:rsidRPr="00EC2A42">
        <w:tab/>
      </w:r>
      <w:r w:rsidR="00701334" w:rsidRPr="00EC2A42">
        <w:t>Terms defined in t</w:t>
      </w:r>
      <w:r w:rsidRPr="00EC2A42">
        <w:t>his Recommenda</w:t>
      </w:r>
      <w:r w:rsidR="00701334" w:rsidRPr="00EC2A42">
        <w:t>tion</w:t>
      </w:r>
    </w:p>
    <w:p w14:paraId="76110B0F" w14:textId="77777777" w:rsidR="00701334" w:rsidRPr="00EC2A42" w:rsidRDefault="00701334" w:rsidP="00701334">
      <w:r w:rsidRPr="00EC2A42">
        <w:t>This Recommendation defines the following terms:</w:t>
      </w:r>
    </w:p>
    <w:p w14:paraId="37FF7600" w14:textId="5E3F327C" w:rsidR="004E44E5" w:rsidRDefault="005717CE" w:rsidP="00B34A79">
      <w:pPr>
        <w:jc w:val="both"/>
      </w:pPr>
      <w:bookmarkStart w:id="17" w:name="_Hlk105967735"/>
      <w:r w:rsidRPr="00166E6C">
        <w:rPr>
          <w:b/>
          <w:bCs/>
        </w:rPr>
        <w:t>3.2.</w:t>
      </w:r>
      <w:r w:rsidR="00B34A79" w:rsidRPr="00166E6C">
        <w:rPr>
          <w:b/>
          <w:bCs/>
        </w:rPr>
        <w:t>1</w:t>
      </w:r>
      <w:r w:rsidR="00B46F0C">
        <w:rPr>
          <w:b/>
          <w:bCs/>
        </w:rPr>
        <w:tab/>
        <w:t>v</w:t>
      </w:r>
      <w:r w:rsidR="00B46F0C" w:rsidRPr="00166E6C">
        <w:rPr>
          <w:b/>
          <w:bCs/>
        </w:rPr>
        <w:t xml:space="preserve">irtual </w:t>
      </w:r>
      <w:r w:rsidR="00B46F0C">
        <w:rPr>
          <w:b/>
          <w:bCs/>
        </w:rPr>
        <w:t>r</w:t>
      </w:r>
      <w:r w:rsidRPr="00166E6C">
        <w:rPr>
          <w:b/>
          <w:bCs/>
        </w:rPr>
        <w:t>eality (VR)</w:t>
      </w:r>
      <w:r w:rsidR="00B34A79" w:rsidRPr="00166E6C">
        <w:rPr>
          <w:b/>
          <w:bCs/>
        </w:rPr>
        <w:t xml:space="preserve">: </w:t>
      </w:r>
      <w:r w:rsidRPr="00B34A79">
        <w:t>an environment that is fully generated by digital means</w:t>
      </w:r>
      <w:r w:rsidR="004E44E5">
        <w:t>.</w:t>
      </w:r>
      <w:r w:rsidRPr="00B34A79">
        <w:t xml:space="preserve"> To qualify as Virtual Reality, the virtual environment should differ from the local environment. </w:t>
      </w:r>
    </w:p>
    <w:p w14:paraId="0C5E3C2A" w14:textId="1506FAEE" w:rsidR="004E44E5" w:rsidRDefault="005717CE" w:rsidP="00B34A79">
      <w:pPr>
        <w:jc w:val="both"/>
      </w:pPr>
      <w:bookmarkStart w:id="18" w:name="_rx5y4pfjvce" w:colFirst="0" w:colLast="0"/>
      <w:bookmarkEnd w:id="17"/>
      <w:bookmarkEnd w:id="18"/>
      <w:r w:rsidRPr="00166E6C">
        <w:rPr>
          <w:b/>
          <w:bCs/>
        </w:rPr>
        <w:t>3.2.2</w:t>
      </w:r>
      <w:r w:rsidR="00B46F0C">
        <w:rPr>
          <w:b/>
          <w:bCs/>
        </w:rPr>
        <w:tab/>
        <w:t>a</w:t>
      </w:r>
      <w:r w:rsidRPr="00166E6C">
        <w:rPr>
          <w:b/>
          <w:bCs/>
        </w:rPr>
        <w:t xml:space="preserve">ugmented </w:t>
      </w:r>
      <w:r w:rsidR="00B46F0C">
        <w:rPr>
          <w:b/>
          <w:bCs/>
        </w:rPr>
        <w:t>r</w:t>
      </w:r>
      <w:r w:rsidRPr="00166E6C">
        <w:rPr>
          <w:b/>
          <w:bCs/>
        </w:rPr>
        <w:t>eality (AR)</w:t>
      </w:r>
      <w:r w:rsidR="00B34A79" w:rsidRPr="00166E6C">
        <w:rPr>
          <w:b/>
          <w:bCs/>
        </w:rPr>
        <w:t>:</w:t>
      </w:r>
      <w:r w:rsidR="00B34A79" w:rsidRPr="00B34A79">
        <w:t xml:space="preserve"> </w:t>
      </w:r>
      <w:r w:rsidRPr="00B34A79">
        <w:t>an environment containing both real and virtual sensory components. The Augmented Reality continuum runs from virtual content that is clearly overlaid on a real environment (Assisted Reality) to virtual content that is seamlessly integrated and interacts with a real environment (Mixed Reality)</w:t>
      </w:r>
      <w:r w:rsidR="004E44E5">
        <w:t>.</w:t>
      </w:r>
      <w:r w:rsidRPr="00B34A79">
        <w:t xml:space="preserve"> </w:t>
      </w:r>
    </w:p>
    <w:p w14:paraId="1D00A804" w14:textId="47D52D17" w:rsidR="005717CE" w:rsidRPr="00B34A79" w:rsidRDefault="004E44E5" w:rsidP="00394F72">
      <w:pPr>
        <w:jc w:val="both"/>
      </w:pPr>
      <w:r>
        <w:t>B</w:t>
      </w:r>
      <w:r w:rsidRPr="00B34A79">
        <w:t xml:space="preserve">ased </w:t>
      </w:r>
      <w:r w:rsidR="005717CE" w:rsidRPr="00B34A79">
        <w:t xml:space="preserve">on </w:t>
      </w:r>
      <w:r w:rsidR="005717CE" w:rsidRPr="00394F72">
        <w:t>[b-Rauschnabel2022]</w:t>
      </w:r>
    </w:p>
    <w:p w14:paraId="26A417AF" w14:textId="32DFA7C0" w:rsidR="004E44E5" w:rsidRDefault="005717CE" w:rsidP="00B46F0C">
      <w:pPr>
        <w:jc w:val="both"/>
      </w:pPr>
      <w:bookmarkStart w:id="19" w:name="_o6fv6obo56ke" w:colFirst="0" w:colLast="0"/>
      <w:bookmarkEnd w:id="19"/>
      <w:r w:rsidRPr="00166E6C">
        <w:rPr>
          <w:b/>
          <w:bCs/>
        </w:rPr>
        <w:t>3.2.3</w:t>
      </w:r>
      <w:r w:rsidR="00B46F0C">
        <w:rPr>
          <w:b/>
          <w:bCs/>
        </w:rPr>
        <w:tab/>
        <w:t>a</w:t>
      </w:r>
      <w:r w:rsidRPr="00166E6C">
        <w:rPr>
          <w:b/>
          <w:bCs/>
        </w:rPr>
        <w:t xml:space="preserve">ssisted </w:t>
      </w:r>
      <w:r w:rsidR="00B46F0C">
        <w:rPr>
          <w:b/>
          <w:bCs/>
        </w:rPr>
        <w:t>r</w:t>
      </w:r>
      <w:r w:rsidRPr="00166E6C">
        <w:rPr>
          <w:b/>
          <w:bCs/>
        </w:rPr>
        <w:t>eality (aR)</w:t>
      </w:r>
      <w:r w:rsidR="00B34A79" w:rsidRPr="00166E6C">
        <w:rPr>
          <w:b/>
          <w:bCs/>
        </w:rPr>
        <w:t xml:space="preserve">: </w:t>
      </w:r>
      <w:r w:rsidRPr="00B34A79">
        <w:t>an environment containing both real and virtual sensory components, where the virtual content is perceived as clearly artificial and overlaid (one end of the Augmented Reality continuum)</w:t>
      </w:r>
      <w:r w:rsidR="004E44E5">
        <w:t>.</w:t>
      </w:r>
    </w:p>
    <w:p w14:paraId="01774489" w14:textId="493330D0" w:rsidR="005717CE" w:rsidRPr="00B34A79" w:rsidRDefault="004E44E5" w:rsidP="00394F72">
      <w:pPr>
        <w:jc w:val="both"/>
      </w:pPr>
      <w:r>
        <w:t>B</w:t>
      </w:r>
      <w:r w:rsidR="005717CE" w:rsidRPr="00B34A79">
        <w:t xml:space="preserve">ased on </w:t>
      </w:r>
      <w:r w:rsidR="005717CE" w:rsidRPr="00394F72">
        <w:t>[b-Rauschnabel2022]</w:t>
      </w:r>
    </w:p>
    <w:p w14:paraId="69698296" w14:textId="2F03ABBB" w:rsidR="004E44E5" w:rsidRDefault="005717CE" w:rsidP="00B46F0C">
      <w:pPr>
        <w:jc w:val="both"/>
      </w:pPr>
      <w:bookmarkStart w:id="20" w:name="_80xx7qhv9ja6" w:colFirst="0" w:colLast="0"/>
      <w:bookmarkEnd w:id="20"/>
      <w:r w:rsidRPr="00166E6C">
        <w:rPr>
          <w:b/>
          <w:bCs/>
        </w:rPr>
        <w:t>3.2.4</w:t>
      </w:r>
      <w:r w:rsidR="00B46F0C">
        <w:rPr>
          <w:b/>
          <w:bCs/>
        </w:rPr>
        <w:tab/>
        <w:t>m</w:t>
      </w:r>
      <w:r w:rsidRPr="00166E6C">
        <w:rPr>
          <w:b/>
          <w:bCs/>
        </w:rPr>
        <w:t xml:space="preserve">ixed </w:t>
      </w:r>
      <w:r w:rsidR="00B46F0C">
        <w:rPr>
          <w:b/>
          <w:bCs/>
        </w:rPr>
        <w:t>r</w:t>
      </w:r>
      <w:r w:rsidRPr="00166E6C">
        <w:rPr>
          <w:b/>
          <w:bCs/>
        </w:rPr>
        <w:t>eality (MR)</w:t>
      </w:r>
      <w:r w:rsidR="00B34A79" w:rsidRPr="00166E6C">
        <w:rPr>
          <w:b/>
          <w:bCs/>
        </w:rPr>
        <w:t>:</w:t>
      </w:r>
      <w:r w:rsidR="00B34A79" w:rsidRPr="00B34A79">
        <w:t xml:space="preserve"> </w:t>
      </w:r>
      <w:r w:rsidRPr="00B34A79">
        <w:t>an environment containing both real and virtual components that are seamlessly integrated and interact with each other in a natural way (one end of the Augmented Reality continuum)</w:t>
      </w:r>
      <w:r w:rsidR="004E44E5">
        <w:t>.</w:t>
      </w:r>
      <w:r w:rsidRPr="00B34A79">
        <w:t xml:space="preserve"> </w:t>
      </w:r>
    </w:p>
    <w:p w14:paraId="52B22D5B" w14:textId="3ADFF123" w:rsidR="005717CE" w:rsidRPr="00394F72" w:rsidRDefault="004E44E5" w:rsidP="00394F72">
      <w:pPr>
        <w:jc w:val="both"/>
      </w:pPr>
      <w:r>
        <w:t>B</w:t>
      </w:r>
      <w:r w:rsidRPr="00394F72">
        <w:t xml:space="preserve">ased </w:t>
      </w:r>
      <w:r w:rsidR="005717CE" w:rsidRPr="00394F72">
        <w:t>on [b-Rauschnabel2022]</w:t>
      </w:r>
    </w:p>
    <w:p w14:paraId="6EA246BB" w14:textId="6B5E0140" w:rsidR="005717CE" w:rsidRPr="00B46F0C" w:rsidRDefault="005717CE" w:rsidP="00394F72">
      <w:pPr>
        <w:jc w:val="both"/>
      </w:pPr>
      <w:bookmarkStart w:id="21" w:name="_3xdju9n7o03c" w:colFirst="0" w:colLast="0"/>
      <w:bookmarkEnd w:id="21"/>
      <w:r w:rsidRPr="00166E6C">
        <w:rPr>
          <w:b/>
          <w:bCs/>
        </w:rPr>
        <w:t>3.2.5</w:t>
      </w:r>
      <w:r w:rsidR="00B46F0C" w:rsidRPr="00166E6C">
        <w:rPr>
          <w:b/>
          <w:bCs/>
        </w:rPr>
        <w:tab/>
        <w:t>d</w:t>
      </w:r>
      <w:r w:rsidRPr="00166E6C">
        <w:rPr>
          <w:b/>
          <w:bCs/>
        </w:rPr>
        <w:t xml:space="preserve">iminished </w:t>
      </w:r>
      <w:r w:rsidR="00B46F0C" w:rsidRPr="00166E6C">
        <w:rPr>
          <w:b/>
          <w:bCs/>
        </w:rPr>
        <w:t>r</w:t>
      </w:r>
      <w:r w:rsidRPr="00166E6C">
        <w:rPr>
          <w:b/>
          <w:bCs/>
        </w:rPr>
        <w:t>eality (DR)</w:t>
      </w:r>
      <w:r w:rsidR="00B34A79" w:rsidRPr="00166E6C">
        <w:rPr>
          <w:b/>
          <w:bCs/>
        </w:rPr>
        <w:t>:</w:t>
      </w:r>
      <w:r w:rsidR="00B34A79" w:rsidRPr="00B46F0C">
        <w:t xml:space="preserve"> </w:t>
      </w:r>
      <w:r w:rsidRPr="00B46F0C">
        <w:t>an environment with deliberately removed contents of the digital representation of the physical environment.</w:t>
      </w:r>
    </w:p>
    <w:p w14:paraId="41299B12" w14:textId="0890F53E" w:rsidR="004E44E5" w:rsidRDefault="005717CE" w:rsidP="00B46F0C">
      <w:pPr>
        <w:jc w:val="both"/>
      </w:pPr>
      <w:bookmarkStart w:id="22" w:name="_z3r5g1tz4jl2" w:colFirst="0" w:colLast="0"/>
      <w:bookmarkEnd w:id="22"/>
      <w:r w:rsidRPr="00166E6C">
        <w:rPr>
          <w:b/>
          <w:bCs/>
        </w:rPr>
        <w:t xml:space="preserve">3.2.6 </w:t>
      </w:r>
      <w:r w:rsidR="00B46F0C" w:rsidRPr="00166E6C">
        <w:rPr>
          <w:b/>
          <w:bCs/>
        </w:rPr>
        <w:t>e</w:t>
      </w:r>
      <w:r w:rsidRPr="00166E6C">
        <w:rPr>
          <w:b/>
          <w:bCs/>
        </w:rPr>
        <w:t xml:space="preserve">xtended </w:t>
      </w:r>
      <w:r w:rsidR="00B46F0C" w:rsidRPr="00166E6C">
        <w:rPr>
          <w:b/>
          <w:bCs/>
        </w:rPr>
        <w:t xml:space="preserve">reality </w:t>
      </w:r>
      <w:r w:rsidRPr="00166E6C">
        <w:rPr>
          <w:b/>
          <w:bCs/>
        </w:rPr>
        <w:t>(XR)</w:t>
      </w:r>
      <w:r w:rsidR="00B46F0C" w:rsidRPr="00166E6C">
        <w:rPr>
          <w:b/>
          <w:bCs/>
        </w:rPr>
        <w:t>:</w:t>
      </w:r>
      <w:r w:rsidR="00B46F0C" w:rsidRPr="00B46F0C">
        <w:t xml:space="preserve"> </w:t>
      </w:r>
      <w:r w:rsidRPr="00B46F0C">
        <w:t xml:space="preserve">an environment containing real or virtual components or a combination thereof, where the variable X serves as a placeholder for any form of new environment (e.g., Augmented, Assisted, Mixed, Virtual, or Diminished Reality). </w:t>
      </w:r>
    </w:p>
    <w:p w14:paraId="06E22DF2" w14:textId="3FE54F5F" w:rsidR="004A106E" w:rsidRPr="006E3981" w:rsidRDefault="004E44E5" w:rsidP="00394F72">
      <w:pPr>
        <w:jc w:val="both"/>
      </w:pPr>
      <w:r>
        <w:t>B</w:t>
      </w:r>
      <w:r w:rsidR="005717CE" w:rsidRPr="00B46F0C">
        <w:t xml:space="preserve">ased on </w:t>
      </w:r>
      <w:r>
        <w:t>[</w:t>
      </w:r>
      <w:r w:rsidR="005717CE" w:rsidRPr="00B46F0C">
        <w:t>b-Rauschnabel2022]</w:t>
      </w:r>
    </w:p>
    <w:p w14:paraId="2E095B2E" w14:textId="77777777" w:rsidR="004A106E" w:rsidRPr="00EC2A42" w:rsidRDefault="004A106E" w:rsidP="004A106E">
      <w:pPr>
        <w:pStyle w:val="Heading1"/>
      </w:pPr>
      <w:r w:rsidRPr="00EC2A42">
        <w:t>4</w:t>
      </w:r>
      <w:r w:rsidRPr="00EC2A42">
        <w:tab/>
        <w:t>Abbreviations and acronyms</w:t>
      </w:r>
    </w:p>
    <w:p w14:paraId="37FBCB61" w14:textId="77777777" w:rsidR="004A106E" w:rsidRPr="00EC2A42" w:rsidRDefault="004A106E" w:rsidP="004A106E">
      <w:r w:rsidRPr="00EC2A42">
        <w:t>This Recommendation uses the following abbreviations and acronyms:</w:t>
      </w:r>
    </w:p>
    <w:p w14:paraId="588A860C" w14:textId="4114BDF4" w:rsidR="005717CE" w:rsidRDefault="005717CE" w:rsidP="005717CE">
      <w:pPr>
        <w:pBdr>
          <w:top w:val="nil"/>
          <w:left w:val="nil"/>
          <w:bottom w:val="nil"/>
          <w:right w:val="nil"/>
          <w:between w:val="nil"/>
        </w:pBdr>
      </w:pPr>
      <w:r>
        <w:t xml:space="preserve">aR       </w:t>
      </w:r>
      <w:r w:rsidR="00026B55">
        <w:tab/>
      </w:r>
      <w:r>
        <w:t>Assisted reality</w:t>
      </w:r>
    </w:p>
    <w:p w14:paraId="55456C2D" w14:textId="4F7B1D02" w:rsidR="005717CE" w:rsidRDefault="005717CE" w:rsidP="005717CE">
      <w:pPr>
        <w:pBdr>
          <w:top w:val="nil"/>
          <w:left w:val="nil"/>
          <w:bottom w:val="nil"/>
          <w:right w:val="nil"/>
          <w:between w:val="nil"/>
        </w:pBdr>
      </w:pPr>
      <w:r>
        <w:t>AR</w:t>
      </w:r>
      <w:r>
        <w:tab/>
      </w:r>
      <w:r w:rsidR="00026B55">
        <w:tab/>
      </w:r>
      <w:r>
        <w:t>Augmented Reality</w:t>
      </w:r>
    </w:p>
    <w:p w14:paraId="6353D0D0" w14:textId="2F9DB024" w:rsidR="005717CE" w:rsidRDefault="005717CE" w:rsidP="005717CE">
      <w:r>
        <w:t>CIF</w:t>
      </w:r>
      <w:r>
        <w:tab/>
      </w:r>
      <w:r w:rsidR="00026B55">
        <w:tab/>
      </w:r>
      <w:r>
        <w:t>Context Influence Factor</w:t>
      </w:r>
    </w:p>
    <w:p w14:paraId="217EACEE" w14:textId="2CFE3756" w:rsidR="005717CE" w:rsidRDefault="005717CE" w:rsidP="005717CE">
      <w:pPr>
        <w:pBdr>
          <w:top w:val="nil"/>
          <w:left w:val="nil"/>
          <w:bottom w:val="nil"/>
          <w:right w:val="nil"/>
          <w:between w:val="nil"/>
        </w:pBdr>
      </w:pPr>
      <w:r>
        <w:t>CPU</w:t>
      </w:r>
      <w:r>
        <w:tab/>
      </w:r>
      <w:r w:rsidR="00026B55">
        <w:tab/>
      </w:r>
      <w:r>
        <w:t>Central Processing Unit</w:t>
      </w:r>
    </w:p>
    <w:p w14:paraId="3AA890BA" w14:textId="4CD1F058" w:rsidR="00765F22" w:rsidRDefault="00765F22" w:rsidP="005717CE">
      <w:pPr>
        <w:pBdr>
          <w:top w:val="nil"/>
          <w:left w:val="nil"/>
          <w:bottom w:val="nil"/>
          <w:right w:val="nil"/>
          <w:between w:val="nil"/>
        </w:pBdr>
      </w:pPr>
      <w:r>
        <w:t xml:space="preserve">DR </w:t>
      </w:r>
      <w:r w:rsidR="00026B55">
        <w:tab/>
      </w:r>
      <w:r w:rsidR="00026B55">
        <w:tab/>
      </w:r>
      <w:r>
        <w:t>Diminished Reality</w:t>
      </w:r>
    </w:p>
    <w:p w14:paraId="13BCF97C" w14:textId="50E06D67" w:rsidR="005717CE" w:rsidRDefault="005717CE" w:rsidP="005717CE">
      <w:pPr>
        <w:pBdr>
          <w:top w:val="nil"/>
          <w:left w:val="nil"/>
          <w:bottom w:val="nil"/>
          <w:right w:val="nil"/>
          <w:between w:val="nil"/>
        </w:pBdr>
      </w:pPr>
      <w:r>
        <w:t>DoF</w:t>
      </w:r>
      <w:r>
        <w:tab/>
      </w:r>
      <w:r w:rsidR="00026B55">
        <w:tab/>
      </w:r>
      <w:r>
        <w:t>Degree of Freedom</w:t>
      </w:r>
    </w:p>
    <w:p w14:paraId="53BBC76A" w14:textId="312A6CB0" w:rsidR="005717CE" w:rsidRDefault="005717CE" w:rsidP="005717CE">
      <w:pPr>
        <w:pBdr>
          <w:top w:val="nil"/>
          <w:left w:val="nil"/>
          <w:bottom w:val="nil"/>
          <w:right w:val="nil"/>
          <w:between w:val="nil"/>
        </w:pBdr>
      </w:pPr>
      <w:r>
        <w:t>GoP</w:t>
      </w:r>
      <w:r>
        <w:tab/>
      </w:r>
      <w:r w:rsidR="00026B55">
        <w:tab/>
      </w:r>
      <w:r>
        <w:t>Group of Pictures</w:t>
      </w:r>
    </w:p>
    <w:p w14:paraId="65DDFE47" w14:textId="4398704F" w:rsidR="005717CE" w:rsidRDefault="005717CE" w:rsidP="005717CE">
      <w:pPr>
        <w:pBdr>
          <w:top w:val="nil"/>
          <w:left w:val="nil"/>
          <w:bottom w:val="nil"/>
          <w:right w:val="nil"/>
          <w:between w:val="nil"/>
        </w:pBdr>
      </w:pPr>
      <w:r>
        <w:t>GPU</w:t>
      </w:r>
      <w:r>
        <w:tab/>
      </w:r>
      <w:r w:rsidR="00026B55">
        <w:tab/>
      </w:r>
      <w:r>
        <w:t>Graphics Processing Unit</w:t>
      </w:r>
    </w:p>
    <w:p w14:paraId="1070E2A8" w14:textId="77777777" w:rsidR="005717CE" w:rsidRDefault="005717CE" w:rsidP="005717CE">
      <w:pPr>
        <w:pBdr>
          <w:top w:val="nil"/>
          <w:left w:val="nil"/>
          <w:bottom w:val="nil"/>
          <w:right w:val="nil"/>
          <w:between w:val="nil"/>
        </w:pBdr>
      </w:pPr>
      <w:r>
        <w:t>HDMI</w:t>
      </w:r>
      <w:r>
        <w:tab/>
        <w:t>High-Definition Multimedia Interface</w:t>
      </w:r>
    </w:p>
    <w:p w14:paraId="55B3F9FB" w14:textId="4A194E68" w:rsidR="005717CE" w:rsidRDefault="005717CE" w:rsidP="005717CE">
      <w:r>
        <w:lastRenderedPageBreak/>
        <w:t>HIF</w:t>
      </w:r>
      <w:r>
        <w:tab/>
      </w:r>
      <w:r w:rsidR="00026B55">
        <w:tab/>
      </w:r>
      <w:r>
        <w:t>Human Influence Factor</w:t>
      </w:r>
    </w:p>
    <w:p w14:paraId="7489FFCD" w14:textId="47E1BF1A" w:rsidR="005717CE" w:rsidRDefault="005717CE" w:rsidP="005717CE">
      <w:pPr>
        <w:pBdr>
          <w:top w:val="nil"/>
          <w:left w:val="nil"/>
          <w:bottom w:val="nil"/>
          <w:right w:val="nil"/>
          <w:between w:val="nil"/>
        </w:pBdr>
      </w:pPr>
      <w:r>
        <w:t>HMD</w:t>
      </w:r>
      <w:r>
        <w:tab/>
      </w:r>
      <w:r w:rsidR="00026B55">
        <w:tab/>
      </w:r>
      <w:r>
        <w:t>Head-Mounted Display</w:t>
      </w:r>
    </w:p>
    <w:p w14:paraId="6D2751B5" w14:textId="3A6D21B0" w:rsidR="005717CE" w:rsidRDefault="005717CE" w:rsidP="005717CE">
      <w:pPr>
        <w:pBdr>
          <w:top w:val="nil"/>
          <w:left w:val="nil"/>
          <w:bottom w:val="nil"/>
          <w:right w:val="nil"/>
          <w:between w:val="nil"/>
        </w:pBdr>
      </w:pPr>
      <w:r>
        <w:t>MR</w:t>
      </w:r>
      <w:r>
        <w:tab/>
      </w:r>
      <w:r w:rsidR="00026B55">
        <w:tab/>
      </w:r>
      <w:r>
        <w:t>Mixed Reality</w:t>
      </w:r>
    </w:p>
    <w:p w14:paraId="18767EDF" w14:textId="07B21D3B" w:rsidR="005717CE" w:rsidRDefault="005717CE" w:rsidP="005717CE">
      <w:pPr>
        <w:pBdr>
          <w:top w:val="nil"/>
          <w:left w:val="nil"/>
          <w:bottom w:val="nil"/>
          <w:right w:val="nil"/>
          <w:between w:val="nil"/>
        </w:pBdr>
      </w:pPr>
      <w:r>
        <w:t xml:space="preserve">MTP    </w:t>
      </w:r>
      <w:r w:rsidR="00026B55">
        <w:tab/>
      </w:r>
      <w:r>
        <w:t>Motion-To-Photon</w:t>
      </w:r>
    </w:p>
    <w:p w14:paraId="14EDFD11" w14:textId="57180E10" w:rsidR="005717CE" w:rsidRDefault="005717CE" w:rsidP="005717CE">
      <w:pPr>
        <w:pBdr>
          <w:top w:val="nil"/>
          <w:left w:val="nil"/>
          <w:bottom w:val="nil"/>
          <w:right w:val="nil"/>
          <w:between w:val="nil"/>
        </w:pBdr>
      </w:pPr>
      <w:r>
        <w:t>MTS</w:t>
      </w:r>
      <w:r>
        <w:tab/>
      </w:r>
      <w:r w:rsidR="00026B55">
        <w:tab/>
      </w:r>
      <w:r>
        <w:t>Motion-To-Sound</w:t>
      </w:r>
    </w:p>
    <w:p w14:paraId="091236AB" w14:textId="53C80684" w:rsidR="005717CE" w:rsidRDefault="005717CE" w:rsidP="005717CE">
      <w:pPr>
        <w:pBdr>
          <w:top w:val="nil"/>
          <w:left w:val="nil"/>
          <w:bottom w:val="nil"/>
          <w:right w:val="nil"/>
          <w:between w:val="nil"/>
        </w:pBdr>
      </w:pPr>
      <w:r>
        <w:t>SIF</w:t>
      </w:r>
      <w:r>
        <w:tab/>
      </w:r>
      <w:r w:rsidR="00026B55">
        <w:tab/>
      </w:r>
      <w:r>
        <w:t>System Influence Factor</w:t>
      </w:r>
    </w:p>
    <w:p w14:paraId="1AC7E829" w14:textId="3BAEDDBB" w:rsidR="005717CE" w:rsidRDefault="005717CE" w:rsidP="005717CE">
      <w:pPr>
        <w:pBdr>
          <w:top w:val="nil"/>
          <w:left w:val="nil"/>
          <w:bottom w:val="nil"/>
          <w:right w:val="nil"/>
          <w:between w:val="nil"/>
        </w:pBdr>
      </w:pPr>
      <w:r>
        <w:t>USB</w:t>
      </w:r>
      <w:r>
        <w:tab/>
      </w:r>
      <w:r w:rsidR="00026B55">
        <w:tab/>
      </w:r>
      <w:r>
        <w:t>Universal Serial Bus</w:t>
      </w:r>
    </w:p>
    <w:p w14:paraId="02221C8E" w14:textId="77777777" w:rsidR="005717CE" w:rsidRDefault="005717CE" w:rsidP="005717CE">
      <w:pPr>
        <w:pBdr>
          <w:top w:val="nil"/>
          <w:left w:val="nil"/>
          <w:bottom w:val="nil"/>
          <w:right w:val="nil"/>
          <w:between w:val="nil"/>
        </w:pBdr>
      </w:pPr>
      <w:r>
        <w:t>V-PCC</w:t>
      </w:r>
      <w:r>
        <w:tab/>
        <w:t>Video-based Point Cloud Compression</w:t>
      </w:r>
    </w:p>
    <w:p w14:paraId="71AE14C7" w14:textId="3E7D185D" w:rsidR="005717CE" w:rsidRDefault="005717CE" w:rsidP="005717CE">
      <w:pPr>
        <w:pBdr>
          <w:top w:val="nil"/>
          <w:left w:val="nil"/>
          <w:bottom w:val="nil"/>
          <w:right w:val="nil"/>
          <w:between w:val="nil"/>
        </w:pBdr>
      </w:pPr>
      <w:r>
        <w:t>VR</w:t>
      </w:r>
      <w:r>
        <w:tab/>
      </w:r>
      <w:r w:rsidR="00026B55">
        <w:tab/>
      </w:r>
      <w:r>
        <w:t>Virtual Reality</w:t>
      </w:r>
    </w:p>
    <w:p w14:paraId="3E60020B" w14:textId="601C81EC" w:rsidR="005717CE" w:rsidRDefault="005717CE" w:rsidP="005717CE">
      <w:pPr>
        <w:pBdr>
          <w:top w:val="nil"/>
          <w:left w:val="nil"/>
          <w:bottom w:val="nil"/>
          <w:right w:val="nil"/>
          <w:between w:val="nil"/>
        </w:pBdr>
      </w:pPr>
      <w:r>
        <w:t xml:space="preserve">XR </w:t>
      </w:r>
      <w:r>
        <w:tab/>
      </w:r>
      <w:r w:rsidR="00026B55">
        <w:tab/>
      </w:r>
      <w:r>
        <w:t>Extended Reality</w:t>
      </w:r>
    </w:p>
    <w:p w14:paraId="4E405179" w14:textId="77777777" w:rsidR="004A106E" w:rsidRPr="00EC2A42" w:rsidRDefault="004A106E" w:rsidP="004A106E">
      <w:pPr>
        <w:pStyle w:val="Heading1"/>
      </w:pPr>
      <w:r w:rsidRPr="00EC2A42">
        <w:t>5</w:t>
      </w:r>
      <w:r w:rsidRPr="00EC2A42">
        <w:tab/>
        <w:t>Conventions</w:t>
      </w:r>
    </w:p>
    <w:p w14:paraId="1A326D26" w14:textId="646811AA" w:rsidR="008E01F9" w:rsidRDefault="005717CE" w:rsidP="008E01F9">
      <w:pPr>
        <w:tabs>
          <w:tab w:val="left" w:pos="794"/>
          <w:tab w:val="left" w:pos="1191"/>
          <w:tab w:val="left" w:pos="1588"/>
          <w:tab w:val="left" w:pos="1985"/>
        </w:tabs>
      </w:pPr>
      <w:r>
        <w:t>None.</w:t>
      </w:r>
      <w:r w:rsidR="008E01F9" w:rsidRPr="008E01F9">
        <w:t xml:space="preserve"> </w:t>
      </w:r>
    </w:p>
    <w:p w14:paraId="1B91F824" w14:textId="77777777" w:rsidR="008E01F9" w:rsidRPr="00F72964" w:rsidRDefault="008E01F9" w:rsidP="008E01F9">
      <w:pPr>
        <w:pStyle w:val="Heading1"/>
      </w:pPr>
      <w:bookmarkStart w:id="23" w:name="_2jxsxqh" w:colFirst="0" w:colLast="0"/>
      <w:bookmarkEnd w:id="23"/>
      <w:r w:rsidRPr="00F72964">
        <w:t>6</w:t>
      </w:r>
      <w:r w:rsidRPr="00F72964">
        <w:tab/>
      </w:r>
      <w:r w:rsidRPr="00F72964">
        <w:rPr>
          <w:highlight w:val="white"/>
        </w:rPr>
        <w:t>Overview of concepts and technologies used for XR telemeetings</w:t>
      </w:r>
    </w:p>
    <w:p w14:paraId="49E92C6F" w14:textId="77777777" w:rsidR="008E01F9" w:rsidRPr="002A4356" w:rsidRDefault="008E01F9" w:rsidP="00394F72">
      <w:pPr>
        <w:jc w:val="both"/>
        <w:rPr>
          <w:highlight w:val="white"/>
        </w:rPr>
      </w:pPr>
      <w:r w:rsidRPr="002A4356">
        <w:rPr>
          <w:highlight w:val="white"/>
        </w:rPr>
        <w:t>This clause introduces concepts and technologies associated with XR telemeetings</w:t>
      </w:r>
      <w:r>
        <w:rPr>
          <w:highlight w:val="white"/>
        </w:rPr>
        <w:t xml:space="preserve">. A characterization of </w:t>
      </w:r>
      <w:r w:rsidRPr="002A4356">
        <w:rPr>
          <w:highlight w:val="white"/>
        </w:rPr>
        <w:t>all types of telemeetings, including XR telemeetings</w:t>
      </w:r>
      <w:r>
        <w:rPr>
          <w:highlight w:val="white"/>
        </w:rPr>
        <w:t xml:space="preserve"> can be found in</w:t>
      </w:r>
      <w:r w:rsidRPr="002A4356">
        <w:rPr>
          <w:highlight w:val="white"/>
        </w:rPr>
        <w:t xml:space="preserve"> [b-Skowronek2022].</w:t>
      </w:r>
    </w:p>
    <w:p w14:paraId="115A7060" w14:textId="5B22B964" w:rsidR="008E01F9" w:rsidRDefault="008E01F9" w:rsidP="008E01F9">
      <w:pPr>
        <w:pStyle w:val="Heading2"/>
      </w:pPr>
      <w:bookmarkStart w:id="24" w:name="_o121cte1hw33" w:colFirst="0" w:colLast="0"/>
      <w:bookmarkEnd w:id="24"/>
      <w:r>
        <w:t>6.1</w:t>
      </w:r>
      <w:r w:rsidR="004E44E5">
        <w:tab/>
      </w:r>
      <w:r>
        <w:t>XR telemeeting</w:t>
      </w:r>
    </w:p>
    <w:p w14:paraId="5595C261" w14:textId="39CE2317" w:rsidR="008E01F9" w:rsidRDefault="008E01F9" w:rsidP="008E01F9">
      <w:pPr>
        <w:jc w:val="both"/>
      </w:pPr>
      <w:r>
        <w:t xml:space="preserve">The XR telemeeting technology aims to substantially improve the telemeeting experience, for example by spatial reproduction of audio and video, and to enhance the exchange of information with augmented elements, for example by using virtual avatars or virtual objects and by better immersing the participants and increasing their sense of </w:t>
      </w:r>
      <w:r w:rsidRPr="00B479D3">
        <w:t xml:space="preserve">(co-)presence. </w:t>
      </w:r>
      <w:r w:rsidR="00FC66A1">
        <w:t>A t</w:t>
      </w:r>
      <w:r w:rsidRPr="00B479D3">
        <w:t>elemeeting</w:t>
      </w:r>
      <w:r>
        <w:t xml:space="preserve"> </w:t>
      </w:r>
      <w:r w:rsidR="00FC66A1">
        <w:t xml:space="preserve">can </w:t>
      </w:r>
      <w:r>
        <w:t>tak</w:t>
      </w:r>
      <w:r w:rsidR="00FC66A1">
        <w:t>e</w:t>
      </w:r>
      <w:r>
        <w:t xml:space="preserve"> place in a virtual location or a combination of virtual and real locations; </w:t>
      </w:r>
      <w:r w:rsidR="00B8709F">
        <w:t xml:space="preserve">it can have </w:t>
      </w:r>
      <w:r w:rsidR="003B0E1C">
        <w:t>a</w:t>
      </w:r>
      <w:r>
        <w:t xml:space="preserve"> mixture of real and virtual participants; </w:t>
      </w:r>
      <w:r w:rsidR="003236A8">
        <w:t xml:space="preserve">or </w:t>
      </w:r>
      <w:r>
        <w:t>augmented elements for collaboration;</w:t>
      </w:r>
      <w:r w:rsidR="00246D7B">
        <w:t>.</w:t>
      </w:r>
      <w:r>
        <w:t xml:space="preserve"> </w:t>
      </w:r>
    </w:p>
    <w:p w14:paraId="6D4EE338" w14:textId="08BF4072" w:rsidR="008E01F9" w:rsidRDefault="008E01F9" w:rsidP="008E01F9">
      <w:pPr>
        <w:pStyle w:val="Heading2"/>
      </w:pPr>
      <w:r>
        <w:t>6.2</w:t>
      </w:r>
      <w:r w:rsidR="004E44E5">
        <w:tab/>
      </w:r>
      <w:r>
        <w:t xml:space="preserve">Virtual </w:t>
      </w:r>
      <w:r w:rsidR="00765F22">
        <w:t xml:space="preserve">Reality </w:t>
      </w:r>
      <w:r>
        <w:t xml:space="preserve">(VR) </w:t>
      </w:r>
    </w:p>
    <w:p w14:paraId="066FCF56" w14:textId="3295536E" w:rsidR="008E01F9" w:rsidRDefault="003236A8" w:rsidP="008E01F9">
      <w:pPr>
        <w:spacing w:before="240" w:after="240"/>
        <w:jc w:val="both"/>
      </w:pPr>
      <w:r>
        <w:t xml:space="preserve">Virtual </w:t>
      </w:r>
      <w:r w:rsidR="00765F22">
        <w:t>R</w:t>
      </w:r>
      <w:r>
        <w:t xml:space="preserve">eality </w:t>
      </w:r>
      <w:r w:rsidR="008E01F9">
        <w:t>immerses users in a fully artificial (computer generated) digital environment. The term Virtual reality refers to a computer-generated environment in which the user can perceive, feel and interact in a manner that is similar to a physical place. This is achieved by combining stimulation over multiple sensory channels—such as sight, sound and touch—with force-feedback, motion tracking, and control devices. In an ideal VR system, the user would not be able to distinguish an artificial environment from its physical counterpart. Whilst none of the current VR systems would be able to pass this criterion, significant advances in the perceptual fidelity of virtual environments have been achieved over the last few years. The virtual environment itself is a computer-generated three-dimensional model of a physical environment, in which the user can navigate and interact with the objects that it contains.</w:t>
      </w:r>
    </w:p>
    <w:p w14:paraId="0A71D09D" w14:textId="30DCE2D2" w:rsidR="008E01F9" w:rsidRPr="007F4D60" w:rsidRDefault="008E01F9" w:rsidP="008E01F9">
      <w:pPr>
        <w:pStyle w:val="Heading2"/>
        <w:spacing w:after="240"/>
        <w:jc w:val="both"/>
        <w:rPr>
          <w:b w:val="0"/>
          <w:bCs/>
        </w:rPr>
      </w:pPr>
      <w:bookmarkStart w:id="25" w:name="_cbgt6stevvx7" w:colFirst="0" w:colLast="0"/>
      <w:bookmarkEnd w:id="25"/>
      <w:r>
        <w:t>6.3</w:t>
      </w:r>
      <w:r w:rsidR="004E44E5">
        <w:tab/>
      </w:r>
      <w:r>
        <w:t xml:space="preserve">Augmented </w:t>
      </w:r>
      <w:r w:rsidR="00765F22">
        <w:t xml:space="preserve">Reality </w:t>
      </w:r>
      <w:r>
        <w:t xml:space="preserve">(AR) </w:t>
      </w:r>
    </w:p>
    <w:p w14:paraId="4B5CDD9E" w14:textId="19D61FBC" w:rsidR="008E01F9" w:rsidRDefault="003236A8" w:rsidP="008E01F9">
      <w:pPr>
        <w:spacing w:after="240"/>
        <w:jc w:val="both"/>
      </w:pPr>
      <w:r>
        <w:t xml:space="preserve">Augmented </w:t>
      </w:r>
      <w:r w:rsidR="00765F22">
        <w:t>R</w:t>
      </w:r>
      <w:r>
        <w:t xml:space="preserve">eality </w:t>
      </w:r>
      <w:r w:rsidR="008E01F9">
        <w:t>overlays digital objects on the real-world environment with spatial registration that enables geometric persistence concerning placement and orientation within the real world. Augmented reality superimposes a layer of digital content over the real physical world such that users see virtual models at fixed positions and orientations mixed in with the actual world around them.</w:t>
      </w:r>
    </w:p>
    <w:p w14:paraId="44AED449" w14:textId="0CBC6DF6" w:rsidR="008E01F9" w:rsidRDefault="008E01F9" w:rsidP="008E01F9">
      <w:pPr>
        <w:pStyle w:val="Heading2"/>
        <w:spacing w:after="240"/>
        <w:jc w:val="both"/>
      </w:pPr>
      <w:bookmarkStart w:id="26" w:name="_4vcimq2hhdy8" w:colFirst="0" w:colLast="0"/>
      <w:bookmarkEnd w:id="26"/>
      <w:r>
        <w:lastRenderedPageBreak/>
        <w:t>6.4</w:t>
      </w:r>
      <w:r w:rsidR="004E44E5">
        <w:tab/>
      </w:r>
      <w:r>
        <w:t xml:space="preserve">Assisted </w:t>
      </w:r>
      <w:r w:rsidR="00765F22">
        <w:t xml:space="preserve">Reality </w:t>
      </w:r>
      <w:r>
        <w:t xml:space="preserve">(aR) </w:t>
      </w:r>
    </w:p>
    <w:p w14:paraId="0212BEDA" w14:textId="33D33921" w:rsidR="008E01F9" w:rsidRDefault="003236A8" w:rsidP="008E01F9">
      <w:pPr>
        <w:spacing w:before="240" w:after="240"/>
        <w:jc w:val="both"/>
      </w:pPr>
      <w:r>
        <w:t xml:space="preserve">Assisted </w:t>
      </w:r>
      <w:r w:rsidR="00765F22">
        <w:t>R</w:t>
      </w:r>
      <w:r>
        <w:t xml:space="preserve">eality </w:t>
      </w:r>
      <w:r w:rsidR="008E01F9">
        <w:t>overlays digital information or objects on the real-world environment with the aim to assist the user in obtaining a better understanding of the physical environment rather than to merge virtual objects with the real world [b-Rauschnabel2022].</w:t>
      </w:r>
    </w:p>
    <w:p w14:paraId="24306BDE" w14:textId="3CC9412A" w:rsidR="008E01F9" w:rsidRDefault="008E01F9" w:rsidP="008E01F9">
      <w:pPr>
        <w:pStyle w:val="Heading2"/>
        <w:spacing w:after="240"/>
        <w:jc w:val="both"/>
      </w:pPr>
      <w:bookmarkStart w:id="27" w:name="_xurabiskm9dn" w:colFirst="0" w:colLast="0"/>
      <w:bookmarkEnd w:id="27"/>
      <w:r>
        <w:t>6.5</w:t>
      </w:r>
      <w:r w:rsidR="004E44E5">
        <w:tab/>
      </w:r>
      <w:r>
        <w:t xml:space="preserve">Mixed </w:t>
      </w:r>
      <w:r w:rsidR="00765F22">
        <w:t xml:space="preserve">Reality </w:t>
      </w:r>
      <w:r>
        <w:t xml:space="preserve">(MR) </w:t>
      </w:r>
    </w:p>
    <w:p w14:paraId="70A6DFBE" w14:textId="0FD5B630" w:rsidR="008E01F9" w:rsidRDefault="003236A8" w:rsidP="008E01F9">
      <w:pPr>
        <w:spacing w:before="240" w:after="240"/>
        <w:jc w:val="both"/>
      </w:pPr>
      <w:r>
        <w:t xml:space="preserve">Mixed Reality </w:t>
      </w:r>
      <w:r w:rsidR="008E01F9">
        <w:t>is the merging of real and virtual worlds to produce hybrid environments, where physical and digital objects co-exist and interact in real-time. Hence, MR is similar to AR, but the digital objects spatially interact with the real-world objects, rather than being superimposed as ‘floating images’ on top of the real-world objects.</w:t>
      </w:r>
    </w:p>
    <w:p w14:paraId="592CAC4E" w14:textId="14BAFF52" w:rsidR="003236A8" w:rsidRDefault="003236A8" w:rsidP="003236A8">
      <w:pPr>
        <w:pStyle w:val="Heading2"/>
        <w:jc w:val="both"/>
      </w:pPr>
      <w:bookmarkStart w:id="28" w:name="_do6qi3378l27" w:colFirst="0" w:colLast="0"/>
      <w:bookmarkEnd w:id="28"/>
      <w:r>
        <w:t>6.6</w:t>
      </w:r>
      <w:r w:rsidR="004E44E5">
        <w:tab/>
      </w:r>
      <w:r>
        <w:t xml:space="preserve">Mediated </w:t>
      </w:r>
      <w:r w:rsidR="00765F22">
        <w:t>R</w:t>
      </w:r>
      <w:r>
        <w:t>eality</w:t>
      </w:r>
    </w:p>
    <w:p w14:paraId="795BF147" w14:textId="7949F15B" w:rsidR="003236A8" w:rsidRPr="003236A8" w:rsidRDefault="004C6F3E" w:rsidP="004C6F3E">
      <w:pPr>
        <w:jc w:val="both"/>
      </w:pPr>
      <w:r>
        <w:t xml:space="preserve">Sometimes </w:t>
      </w:r>
      <w:r w:rsidR="003236A8">
        <w:t>the term</w:t>
      </w:r>
      <w:r>
        <w:t>s</w:t>
      </w:r>
      <w:r w:rsidR="003236A8">
        <w:t xml:space="preserve"> </w:t>
      </w:r>
      <w:r w:rsidR="00765F22">
        <w:t>M</w:t>
      </w:r>
      <w:r w:rsidR="003236A8">
        <w:t xml:space="preserve">ediated </w:t>
      </w:r>
      <w:r w:rsidR="00765F22">
        <w:t>R</w:t>
      </w:r>
      <w:r w:rsidR="003236A8">
        <w:t xml:space="preserve">eality </w:t>
      </w:r>
      <w:r>
        <w:t xml:space="preserve">or </w:t>
      </w:r>
      <w:r w:rsidR="00765F22">
        <w:t>C</w:t>
      </w:r>
      <w:r>
        <w:t>omputer-</w:t>
      </w:r>
      <w:r w:rsidR="00765F22">
        <w:t>M</w:t>
      </w:r>
      <w:r>
        <w:t xml:space="preserve">ediated </w:t>
      </w:r>
      <w:r w:rsidR="00765F22">
        <w:t>R</w:t>
      </w:r>
      <w:r>
        <w:t xml:space="preserve">eality are </w:t>
      </w:r>
      <w:r w:rsidR="003236A8">
        <w:t xml:space="preserve">used to </w:t>
      </w:r>
      <w:r>
        <w:t>describe VR, AR</w:t>
      </w:r>
      <w:r w:rsidR="00765F22">
        <w:t>, MR</w:t>
      </w:r>
      <w:r>
        <w:t xml:space="preserve"> and </w:t>
      </w:r>
      <w:r w:rsidR="00765F22">
        <w:t>DR</w:t>
      </w:r>
      <w:r>
        <w:t xml:space="preserve"> with one encompassing term. In that respect, this recommendation considers </w:t>
      </w:r>
      <w:r w:rsidR="00765F22">
        <w:t>M</w:t>
      </w:r>
      <w:r>
        <w:t xml:space="preserve">ediated </w:t>
      </w:r>
      <w:r w:rsidR="00765F22">
        <w:t>R</w:t>
      </w:r>
      <w:r>
        <w:t xml:space="preserve">eality and </w:t>
      </w:r>
      <w:r w:rsidR="00765F22">
        <w:t>C</w:t>
      </w:r>
      <w:r>
        <w:t>omputer-</w:t>
      </w:r>
      <w:r w:rsidR="00765F22">
        <w:t>M</w:t>
      </w:r>
      <w:r>
        <w:t xml:space="preserve">ediated </w:t>
      </w:r>
      <w:r w:rsidR="00765F22">
        <w:t>R</w:t>
      </w:r>
      <w:r>
        <w:t xml:space="preserve">eality as synonyms for </w:t>
      </w:r>
      <w:r w:rsidR="00765F22">
        <w:t>E</w:t>
      </w:r>
      <w:r>
        <w:t xml:space="preserve">xtended </w:t>
      </w:r>
      <w:r w:rsidR="00765F22">
        <w:t>R</w:t>
      </w:r>
      <w:r>
        <w:t>eality (XR).</w:t>
      </w:r>
    </w:p>
    <w:p w14:paraId="4CE2606D" w14:textId="3F32BDD9" w:rsidR="008E01F9" w:rsidRDefault="008E01F9" w:rsidP="008E01F9">
      <w:pPr>
        <w:pStyle w:val="Heading2"/>
        <w:jc w:val="both"/>
      </w:pPr>
      <w:r>
        <w:t>6.</w:t>
      </w:r>
      <w:r w:rsidR="004C6F3E">
        <w:t>7</w:t>
      </w:r>
      <w:r w:rsidR="004E44E5">
        <w:tab/>
      </w:r>
      <w:r>
        <w:t>Metaverse</w:t>
      </w:r>
    </w:p>
    <w:p w14:paraId="239A1EB9" w14:textId="77777777" w:rsidR="008E01F9" w:rsidRDefault="008E01F9" w:rsidP="008E01F9">
      <w:pPr>
        <w:spacing w:before="240" w:after="240"/>
        <w:jc w:val="both"/>
      </w:pPr>
      <w:r>
        <w:t>The metaverse is a digital reality that combines aspects of social media, online gaming, augmented reality (AR), and virtual reality (VR) to allow users to interact virtually. Users in the metaverse will be able to immerse themselves in a space where the digital and physical worlds converge. An important characteristic of the metaverse is the persistence of its content, meaning that virtual or augmented content is spatially attached to specific physical objects (e.g., a digital vase on a user’s physical desk), or attached to a specific geographic location through geo-coordinates in order to provide different users a shared experience [b-Rauschnabel2022].</w:t>
      </w:r>
    </w:p>
    <w:p w14:paraId="6A9972F9" w14:textId="4F457406" w:rsidR="008E01F9" w:rsidRDefault="008E01F9" w:rsidP="008E01F9">
      <w:pPr>
        <w:pStyle w:val="Heading2"/>
        <w:jc w:val="both"/>
      </w:pPr>
      <w:bookmarkStart w:id="29" w:name="_ho1zsas5gaxh" w:colFirst="0" w:colLast="0"/>
      <w:bookmarkEnd w:id="29"/>
      <w:r>
        <w:t>6.</w:t>
      </w:r>
      <w:r w:rsidR="004C6F3E">
        <w:t>8</w:t>
      </w:r>
      <w:r w:rsidR="004E44E5">
        <w:tab/>
      </w:r>
      <w:r>
        <w:t>QoE Constituent</w:t>
      </w:r>
    </w:p>
    <w:p w14:paraId="1BDCBD82" w14:textId="77777777" w:rsidR="008E01F9" w:rsidRDefault="008E01F9" w:rsidP="008E01F9">
      <w:pPr>
        <w:jc w:val="both"/>
      </w:pPr>
      <w:r>
        <w:t>A QoE Constituent is formed during an individual’s experience of a service which contributes to its QoE. It is considered to be formed by a cognitive process which aggregates a multitude of Quality Features (see definition of Quality Features in Section 6.8). This aggregation, however, neither needs to form orthogonal dimensions, as is conventionally the goal of multidimensional quality assessment methods, nor needs to result in QoE Constituents that are independent from each other.</w:t>
      </w:r>
    </w:p>
    <w:p w14:paraId="7E5EF226" w14:textId="77777777" w:rsidR="008E01F9" w:rsidRDefault="008E01F9" w:rsidP="008E01F9">
      <w:pPr>
        <w:jc w:val="both"/>
      </w:pPr>
      <w:r>
        <w:t>Moreover, a QoE Constituent can encompass aspects that are linked to the perception of speech, audio, or video signals as well as other aspects such as, for instance simulator sickness, immersion, feeling of presence, feeling of co-presence, or usability. That means, the Quality Features used can encompass perceptual representations of the audiovisual signals, body reactions (e.g., in case of simulator sickness) and other sensory input, contextual information, or other characteristics that refer, for instance, to the direct perception, action, interaction or usage instance of the service [b-</w:t>
      </w:r>
      <w:r w:rsidRPr="0041770D">
        <w:t>Möller2014</w:t>
      </w:r>
      <w:r>
        <w:t>].</w:t>
      </w:r>
    </w:p>
    <w:p w14:paraId="1B7C986A" w14:textId="77777777" w:rsidR="008E01F9" w:rsidRDefault="008E01F9" w:rsidP="008E01F9">
      <w:pPr>
        <w:jc w:val="both"/>
      </w:pPr>
      <w:r>
        <w:t>Furthermore, QoE Constituents can be differentiated from Quality Influence Factors (QIFs, see Definition 3.1.2) by using a process model perspective: QoE Constituents are aspects formed inside the QoE formation process in the person’s mind, which is happening during the experience with the service. QIFs are aspects that either influence the QoE formation process from outside the process, whereas those QIFs can stem from inside or outside the experiencing person. Or the QIFs influence the characteristics of the XR meeting and with this all relevant signals and contextual information that form the input to the QoE formation process.</w:t>
      </w:r>
    </w:p>
    <w:p w14:paraId="15EFD0AF" w14:textId="77777777" w:rsidR="008E01F9" w:rsidRDefault="008E01F9" w:rsidP="008E01F9">
      <w:pPr>
        <w:jc w:val="both"/>
      </w:pPr>
      <w:r>
        <w:t>Figure 1 uses this process model perspective to visualize the relations between the different aspects QoE, QoE constituents, Quality Features, QIF.</w:t>
      </w:r>
    </w:p>
    <w:p w14:paraId="2C258991" w14:textId="0C2269B0" w:rsidR="008E01F9" w:rsidRDefault="008E01F9" w:rsidP="008E01F9">
      <w:pPr>
        <w:pStyle w:val="Heading2"/>
        <w:jc w:val="both"/>
      </w:pPr>
      <w:bookmarkStart w:id="30" w:name="_so1arli1cbh0" w:colFirst="0" w:colLast="0"/>
      <w:bookmarkEnd w:id="30"/>
      <w:r>
        <w:lastRenderedPageBreak/>
        <w:t>6.</w:t>
      </w:r>
      <w:r w:rsidR="004C6F3E">
        <w:t>9</w:t>
      </w:r>
      <w:r w:rsidR="0092164C">
        <w:tab/>
      </w:r>
      <w:r>
        <w:t>Quality Feature</w:t>
      </w:r>
    </w:p>
    <w:p w14:paraId="371B37CC" w14:textId="0A0BF34C" w:rsidR="008E01F9" w:rsidRDefault="008E01F9" w:rsidP="008E01F9">
      <w:pPr>
        <w:jc w:val="both"/>
      </w:pPr>
      <w:r>
        <w:t>A Quality Feature is a perceivable, recognized and nameable characteristic of the individual’s  experience  of  a  service which contributes to its quality [b-Brunnström2013, b-Jekosch2005].</w:t>
      </w:r>
    </w:p>
    <w:p w14:paraId="2A3868D3" w14:textId="77777777" w:rsidR="008E01F9" w:rsidRDefault="008E01F9" w:rsidP="008E01F9">
      <w:pPr>
        <w:jc w:val="both"/>
      </w:pPr>
    </w:p>
    <w:p w14:paraId="511A26B7" w14:textId="77777777" w:rsidR="008E01F9" w:rsidRDefault="008E01F9" w:rsidP="00394F72">
      <w:pPr>
        <w:pStyle w:val="Figure"/>
      </w:pPr>
      <w:r>
        <w:rPr>
          <w:noProof/>
          <w:lang w:val="de-DE"/>
        </w:rPr>
        <w:drawing>
          <wp:inline distT="114300" distB="114300" distL="114300" distR="114300" wp14:anchorId="5F9A9DCC" wp14:editId="120ADFE1">
            <wp:extent cx="3903260" cy="5963602"/>
            <wp:effectExtent l="0" t="0" r="254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4"/>
                    <a:srcRect/>
                    <a:stretch>
                      <a:fillRect/>
                    </a:stretch>
                  </pic:blipFill>
                  <pic:spPr>
                    <a:xfrm>
                      <a:off x="0" y="0"/>
                      <a:ext cx="3935807" cy="6013328"/>
                    </a:xfrm>
                    <a:prstGeom prst="rect">
                      <a:avLst/>
                    </a:prstGeom>
                    <a:ln/>
                  </pic:spPr>
                </pic:pic>
              </a:graphicData>
            </a:graphic>
          </wp:inline>
        </w:drawing>
      </w:r>
    </w:p>
    <w:p w14:paraId="734C1FEE" w14:textId="77777777" w:rsidR="008E01F9" w:rsidRDefault="008E01F9" w:rsidP="00394F72">
      <w:pPr>
        <w:pStyle w:val="FigureNotitle0"/>
      </w:pPr>
      <w:r>
        <w:t>Figure 1: Visualization of the relation between QoE, QoE Constituents, Quality Features, and Quality Influence Factors.</w:t>
      </w:r>
    </w:p>
    <w:p w14:paraId="4A71EB6A" w14:textId="77777777" w:rsidR="008E01F9" w:rsidRDefault="008E01F9" w:rsidP="008E01F9">
      <w:pPr>
        <w:jc w:val="both"/>
      </w:pPr>
    </w:p>
    <w:p w14:paraId="0F612863" w14:textId="77777777" w:rsidR="008E01F9" w:rsidRDefault="008E01F9" w:rsidP="008E01F9">
      <w:pPr>
        <w:pStyle w:val="Heading1"/>
        <w:jc w:val="both"/>
      </w:pPr>
      <w:bookmarkStart w:id="31" w:name="_3vkf202xa5qq" w:colFirst="0" w:colLast="0"/>
      <w:bookmarkEnd w:id="31"/>
      <w:r>
        <w:t xml:space="preserve">7 </w:t>
      </w:r>
      <w:r>
        <w:tab/>
        <w:t>Use cases</w:t>
      </w:r>
    </w:p>
    <w:p w14:paraId="1D572081" w14:textId="07815A1E" w:rsidR="008E01F9" w:rsidRDefault="008E01F9" w:rsidP="008E01F9">
      <w:pPr>
        <w:pStyle w:val="Heading2"/>
      </w:pPr>
      <w:bookmarkStart w:id="32" w:name="_hhjc238v3uc4" w:colFirst="0" w:colLast="0"/>
      <w:bookmarkEnd w:id="32"/>
      <w:r>
        <w:t>7.1</w:t>
      </w:r>
      <w:r w:rsidR="0092164C">
        <w:tab/>
      </w:r>
      <w:r>
        <w:t>Use cases in 3GPP</w:t>
      </w:r>
    </w:p>
    <w:p w14:paraId="3286B3BB" w14:textId="77777777" w:rsidR="008E01F9" w:rsidRDefault="008E01F9" w:rsidP="004C6F3E">
      <w:pPr>
        <w:jc w:val="both"/>
      </w:pPr>
      <w:r>
        <w:t xml:space="preserve">The 3rd Generation Partnership Project (3GPP) has published a technical report [b-TR 26.928] on XR technology in 5G. In this document, seven core use cases with in total 23 individual use cases are specified. A number of those use cases address content delivery for conversational situations and can </w:t>
      </w:r>
      <w:r>
        <w:lastRenderedPageBreak/>
        <w:t>thus be considered as use cases for XR telemeetings. Table 1 summarizes those use cases; for a full description, refer to Chapters 4 and 5 as well as the appendices of [b-TR 26.928].</w:t>
      </w:r>
    </w:p>
    <w:p w14:paraId="74A9CF9E" w14:textId="77777777" w:rsidR="008E01F9" w:rsidRDefault="008E01F9" w:rsidP="004C6F3E">
      <w:pPr>
        <w:jc w:val="both"/>
      </w:pPr>
      <w:r>
        <w:t>Some new use cases including AR remote cooperation, AR Conferencing and shared AR conferencing experience can be found in [b-TR 26.998].</w:t>
      </w:r>
    </w:p>
    <w:p w14:paraId="318ED390" w14:textId="77777777" w:rsidR="008E01F9" w:rsidRDefault="008E01F9" w:rsidP="008E01F9"/>
    <w:p w14:paraId="4F571C32" w14:textId="77777777" w:rsidR="008E01F9" w:rsidRDefault="008E01F9" w:rsidP="00394F72">
      <w:pPr>
        <w:pStyle w:val="TableNotitle0"/>
      </w:pPr>
      <w:r>
        <w:t>Table 1: Overview of use cases from 3GPP’s technical report [b-TR 26.928] that can be considered as XR telemeetings.</w:t>
      </w:r>
    </w:p>
    <w:tbl>
      <w:tblPr>
        <w:tblW w:w="96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35"/>
        <w:gridCol w:w="2820"/>
        <w:gridCol w:w="5175"/>
      </w:tblGrid>
      <w:tr w:rsidR="008E01F9" w14:paraId="3F5E5960" w14:textId="77777777" w:rsidTr="00A708C3">
        <w:tc>
          <w:tcPr>
            <w:tcW w:w="1635" w:type="dxa"/>
            <w:shd w:val="clear" w:color="auto" w:fill="auto"/>
            <w:tcMar>
              <w:top w:w="100" w:type="dxa"/>
              <w:left w:w="100" w:type="dxa"/>
              <w:bottom w:w="100" w:type="dxa"/>
              <w:right w:w="100" w:type="dxa"/>
            </w:tcMar>
          </w:tcPr>
          <w:p w14:paraId="5BE17EAF" w14:textId="77777777" w:rsidR="008E01F9" w:rsidRDefault="008E01F9" w:rsidP="00394F72">
            <w:pPr>
              <w:pStyle w:val="Tablehead"/>
            </w:pPr>
            <w:r>
              <w:t>Core Use Case</w:t>
            </w:r>
          </w:p>
        </w:tc>
        <w:tc>
          <w:tcPr>
            <w:tcW w:w="2820" w:type="dxa"/>
            <w:shd w:val="clear" w:color="auto" w:fill="auto"/>
            <w:tcMar>
              <w:top w:w="100" w:type="dxa"/>
              <w:left w:w="100" w:type="dxa"/>
              <w:bottom w:w="100" w:type="dxa"/>
              <w:right w:w="100" w:type="dxa"/>
            </w:tcMar>
          </w:tcPr>
          <w:p w14:paraId="74C5D537" w14:textId="77777777" w:rsidR="008E01F9" w:rsidRDefault="008E01F9" w:rsidP="00394F72">
            <w:pPr>
              <w:pStyle w:val="Tablehead"/>
            </w:pPr>
            <w:r>
              <w:t>Individual Use Case (parentheses: use case number accordingly to TR 26.928)</w:t>
            </w:r>
          </w:p>
        </w:tc>
        <w:tc>
          <w:tcPr>
            <w:tcW w:w="5175" w:type="dxa"/>
            <w:shd w:val="clear" w:color="auto" w:fill="auto"/>
            <w:tcMar>
              <w:top w:w="100" w:type="dxa"/>
              <w:left w:w="100" w:type="dxa"/>
              <w:bottom w:w="100" w:type="dxa"/>
              <w:right w:w="100" w:type="dxa"/>
            </w:tcMar>
          </w:tcPr>
          <w:p w14:paraId="6491906C" w14:textId="77777777" w:rsidR="008E01F9" w:rsidRDefault="008E01F9" w:rsidP="00394F72">
            <w:pPr>
              <w:pStyle w:val="Tablehead"/>
            </w:pPr>
            <w:r>
              <w:t>Aspect of use case relevant for present recommendation</w:t>
            </w:r>
          </w:p>
        </w:tc>
      </w:tr>
      <w:tr w:rsidR="008E01F9" w14:paraId="609509AF" w14:textId="77777777" w:rsidTr="00A708C3">
        <w:tc>
          <w:tcPr>
            <w:tcW w:w="1635" w:type="dxa"/>
            <w:shd w:val="clear" w:color="auto" w:fill="auto"/>
            <w:tcMar>
              <w:top w:w="100" w:type="dxa"/>
              <w:left w:w="100" w:type="dxa"/>
              <w:bottom w:w="100" w:type="dxa"/>
              <w:right w:w="100" w:type="dxa"/>
            </w:tcMar>
          </w:tcPr>
          <w:p w14:paraId="21977F0F" w14:textId="77777777" w:rsidR="008E01F9" w:rsidRDefault="008E01F9" w:rsidP="00394F72">
            <w:pPr>
              <w:pStyle w:val="Tabletext"/>
            </w:pPr>
            <w:r>
              <w:t>Real-time XR Sharing</w:t>
            </w:r>
          </w:p>
        </w:tc>
        <w:tc>
          <w:tcPr>
            <w:tcW w:w="2820" w:type="dxa"/>
            <w:shd w:val="clear" w:color="auto" w:fill="auto"/>
            <w:tcMar>
              <w:top w:w="100" w:type="dxa"/>
              <w:left w:w="100" w:type="dxa"/>
              <w:bottom w:w="100" w:type="dxa"/>
              <w:right w:w="100" w:type="dxa"/>
            </w:tcMar>
          </w:tcPr>
          <w:p w14:paraId="4BF22B5B" w14:textId="77777777" w:rsidR="008E01F9" w:rsidRDefault="008E01F9" w:rsidP="00394F72">
            <w:pPr>
              <w:pStyle w:val="Tabletext"/>
            </w:pPr>
            <w:r>
              <w:t>(7) Real-time 3D Communication</w:t>
            </w:r>
          </w:p>
        </w:tc>
        <w:tc>
          <w:tcPr>
            <w:tcW w:w="5175" w:type="dxa"/>
            <w:shd w:val="clear" w:color="auto" w:fill="auto"/>
            <w:tcMar>
              <w:top w:w="100" w:type="dxa"/>
              <w:left w:w="100" w:type="dxa"/>
              <w:bottom w:w="100" w:type="dxa"/>
              <w:right w:w="100" w:type="dxa"/>
            </w:tcMar>
          </w:tcPr>
          <w:p w14:paraId="247611C9" w14:textId="77777777" w:rsidR="008E01F9" w:rsidRDefault="008E01F9" w:rsidP="00394F72">
            <w:pPr>
              <w:pStyle w:val="Tabletext"/>
            </w:pPr>
            <w:r>
              <w:t>video telephony call with partially captured (e.g. face) and partially reconstructed (e.g. back of head) 3D representation of conversation partner</w:t>
            </w:r>
          </w:p>
        </w:tc>
      </w:tr>
      <w:tr w:rsidR="008E01F9" w14:paraId="09976892" w14:textId="77777777" w:rsidTr="00A708C3">
        <w:tc>
          <w:tcPr>
            <w:tcW w:w="1635" w:type="dxa"/>
            <w:shd w:val="clear" w:color="auto" w:fill="auto"/>
            <w:tcMar>
              <w:top w:w="100" w:type="dxa"/>
              <w:left w:w="100" w:type="dxa"/>
              <w:bottom w:w="100" w:type="dxa"/>
              <w:right w:w="100" w:type="dxa"/>
            </w:tcMar>
          </w:tcPr>
          <w:p w14:paraId="50A16B38" w14:textId="77777777" w:rsidR="008E01F9" w:rsidRDefault="008E01F9" w:rsidP="00394F72">
            <w:pPr>
              <w:pStyle w:val="Tabletext"/>
            </w:pPr>
            <w:r>
              <w:t>Real-time XR Sharing</w:t>
            </w:r>
          </w:p>
        </w:tc>
        <w:tc>
          <w:tcPr>
            <w:tcW w:w="2820" w:type="dxa"/>
            <w:shd w:val="clear" w:color="auto" w:fill="auto"/>
            <w:tcMar>
              <w:top w:w="100" w:type="dxa"/>
              <w:left w:w="100" w:type="dxa"/>
              <w:bottom w:w="100" w:type="dxa"/>
              <w:right w:w="100" w:type="dxa"/>
            </w:tcMar>
          </w:tcPr>
          <w:p w14:paraId="5B9B2BB8" w14:textId="77777777" w:rsidR="008E01F9" w:rsidRDefault="008E01F9" w:rsidP="00394F72">
            <w:pPr>
              <w:pStyle w:val="Tabletext"/>
            </w:pPr>
            <w:r>
              <w:t>(8) AR guided assistant at remote location (industrial services)</w:t>
            </w:r>
          </w:p>
        </w:tc>
        <w:tc>
          <w:tcPr>
            <w:tcW w:w="5175" w:type="dxa"/>
            <w:shd w:val="clear" w:color="auto" w:fill="auto"/>
            <w:tcMar>
              <w:top w:w="100" w:type="dxa"/>
              <w:left w:w="100" w:type="dxa"/>
              <w:bottom w:w="100" w:type="dxa"/>
              <w:right w:w="100" w:type="dxa"/>
            </w:tcMar>
          </w:tcPr>
          <w:p w14:paraId="6AE90CA8" w14:textId="77777777" w:rsidR="008E01F9" w:rsidRDefault="008E01F9" w:rsidP="00394F72">
            <w:pPr>
              <w:pStyle w:val="Tabletext"/>
            </w:pPr>
            <w:r>
              <w:t>remote expert helps local technician to work on a physical object / machine, both use audio video communication and AR overlays</w:t>
            </w:r>
          </w:p>
        </w:tc>
      </w:tr>
      <w:tr w:rsidR="008E01F9" w14:paraId="0C200015" w14:textId="77777777" w:rsidTr="00A708C3">
        <w:tc>
          <w:tcPr>
            <w:tcW w:w="1635" w:type="dxa"/>
            <w:shd w:val="clear" w:color="auto" w:fill="auto"/>
            <w:tcMar>
              <w:top w:w="100" w:type="dxa"/>
              <w:left w:w="100" w:type="dxa"/>
              <w:bottom w:w="100" w:type="dxa"/>
              <w:right w:w="100" w:type="dxa"/>
            </w:tcMar>
          </w:tcPr>
          <w:p w14:paraId="10934CEF" w14:textId="77777777" w:rsidR="008E01F9" w:rsidRDefault="008E01F9" w:rsidP="00394F72">
            <w:pPr>
              <w:pStyle w:val="Tabletext"/>
            </w:pPr>
            <w:r>
              <w:t>Real-time XR Sharing</w:t>
            </w:r>
          </w:p>
        </w:tc>
        <w:tc>
          <w:tcPr>
            <w:tcW w:w="2820" w:type="dxa"/>
            <w:shd w:val="clear" w:color="auto" w:fill="auto"/>
            <w:tcMar>
              <w:top w:w="100" w:type="dxa"/>
              <w:left w:w="100" w:type="dxa"/>
              <w:bottom w:w="100" w:type="dxa"/>
              <w:right w:w="100" w:type="dxa"/>
            </w:tcMar>
          </w:tcPr>
          <w:p w14:paraId="7DFB2085" w14:textId="77777777" w:rsidR="008E01F9" w:rsidRDefault="008E01F9" w:rsidP="00394F72">
            <w:pPr>
              <w:pStyle w:val="Tabletext"/>
            </w:pPr>
            <w:r>
              <w:t>(11) Real-time communication with the shop assistant</w:t>
            </w:r>
          </w:p>
        </w:tc>
        <w:tc>
          <w:tcPr>
            <w:tcW w:w="5175" w:type="dxa"/>
            <w:shd w:val="clear" w:color="auto" w:fill="auto"/>
            <w:tcMar>
              <w:top w:w="100" w:type="dxa"/>
              <w:left w:w="100" w:type="dxa"/>
              <w:bottom w:w="100" w:type="dxa"/>
              <w:right w:w="100" w:type="dxa"/>
            </w:tcMar>
          </w:tcPr>
          <w:p w14:paraId="261B9B42" w14:textId="77777777" w:rsidR="008E01F9" w:rsidRDefault="008E01F9" w:rsidP="00394F72">
            <w:pPr>
              <w:pStyle w:val="Tabletext"/>
            </w:pPr>
            <w:r>
              <w:t>client and shop assistant use audio video communication and use AR overlays to place 3D representations of the items for sale in the client’s environment</w:t>
            </w:r>
          </w:p>
        </w:tc>
      </w:tr>
      <w:tr w:rsidR="008E01F9" w14:paraId="1F77D7C0" w14:textId="77777777" w:rsidTr="00A708C3">
        <w:tc>
          <w:tcPr>
            <w:tcW w:w="1635" w:type="dxa"/>
            <w:shd w:val="clear" w:color="auto" w:fill="auto"/>
            <w:tcMar>
              <w:top w:w="100" w:type="dxa"/>
              <w:left w:w="100" w:type="dxa"/>
              <w:bottom w:w="100" w:type="dxa"/>
              <w:right w:w="100" w:type="dxa"/>
            </w:tcMar>
          </w:tcPr>
          <w:p w14:paraId="42AFD595" w14:textId="77777777" w:rsidR="008E01F9" w:rsidRDefault="008E01F9" w:rsidP="00394F72">
            <w:pPr>
              <w:pStyle w:val="Tabletext"/>
            </w:pPr>
            <w:r>
              <w:t>Real-time XR Sharing</w:t>
            </w:r>
          </w:p>
        </w:tc>
        <w:tc>
          <w:tcPr>
            <w:tcW w:w="2820" w:type="dxa"/>
            <w:shd w:val="clear" w:color="auto" w:fill="auto"/>
            <w:tcMar>
              <w:top w:w="100" w:type="dxa"/>
              <w:left w:w="100" w:type="dxa"/>
              <w:bottom w:w="100" w:type="dxa"/>
              <w:right w:w="100" w:type="dxa"/>
            </w:tcMar>
          </w:tcPr>
          <w:p w14:paraId="6EA1988E" w14:textId="77777777" w:rsidR="008E01F9" w:rsidRDefault="008E01F9" w:rsidP="00394F72">
            <w:pPr>
              <w:pStyle w:val="Tabletext"/>
            </w:pPr>
            <w:r>
              <w:t>(17) AR animated avatar calls</w:t>
            </w:r>
          </w:p>
        </w:tc>
        <w:tc>
          <w:tcPr>
            <w:tcW w:w="5175" w:type="dxa"/>
            <w:shd w:val="clear" w:color="auto" w:fill="auto"/>
            <w:tcMar>
              <w:top w:w="100" w:type="dxa"/>
              <w:left w:w="100" w:type="dxa"/>
              <w:bottom w:w="100" w:type="dxa"/>
              <w:right w:w="100" w:type="dxa"/>
            </w:tcMar>
          </w:tcPr>
          <w:p w14:paraId="48668136" w14:textId="77777777" w:rsidR="008E01F9" w:rsidRDefault="008E01F9" w:rsidP="00394F72">
            <w:pPr>
              <w:pStyle w:val="Tabletext"/>
            </w:pPr>
            <w:r>
              <w:t>similar to use case “Real-time 3D Communication”: telephony call in which one conversation partner does not transmit video data, hence that partner is represented by a full 3D reconstruction</w:t>
            </w:r>
          </w:p>
        </w:tc>
      </w:tr>
      <w:tr w:rsidR="008E01F9" w14:paraId="3C3D40F9" w14:textId="77777777" w:rsidTr="00A708C3">
        <w:tc>
          <w:tcPr>
            <w:tcW w:w="1635" w:type="dxa"/>
            <w:shd w:val="clear" w:color="auto" w:fill="auto"/>
            <w:tcMar>
              <w:top w:w="100" w:type="dxa"/>
              <w:left w:w="100" w:type="dxa"/>
              <w:bottom w:w="100" w:type="dxa"/>
              <w:right w:w="100" w:type="dxa"/>
            </w:tcMar>
          </w:tcPr>
          <w:p w14:paraId="539CA023" w14:textId="77777777" w:rsidR="008E01F9" w:rsidRDefault="008E01F9" w:rsidP="00394F72">
            <w:pPr>
              <w:pStyle w:val="Tabletext"/>
            </w:pPr>
            <w:r>
              <w:t>Real-time XR Sharing</w:t>
            </w:r>
          </w:p>
        </w:tc>
        <w:tc>
          <w:tcPr>
            <w:tcW w:w="2820" w:type="dxa"/>
            <w:shd w:val="clear" w:color="auto" w:fill="auto"/>
            <w:tcMar>
              <w:top w:w="100" w:type="dxa"/>
              <w:left w:w="100" w:type="dxa"/>
              <w:bottom w:w="100" w:type="dxa"/>
              <w:right w:w="100" w:type="dxa"/>
            </w:tcMar>
          </w:tcPr>
          <w:p w14:paraId="3AB8522E" w14:textId="77777777" w:rsidR="008E01F9" w:rsidRDefault="008E01F9" w:rsidP="00394F72">
            <w:pPr>
              <w:pStyle w:val="Tabletext"/>
            </w:pPr>
            <w:r>
              <w:t>(23) 5G Shared Spatial Data</w:t>
            </w:r>
          </w:p>
        </w:tc>
        <w:tc>
          <w:tcPr>
            <w:tcW w:w="5175" w:type="dxa"/>
            <w:shd w:val="clear" w:color="auto" w:fill="auto"/>
            <w:tcMar>
              <w:top w:w="100" w:type="dxa"/>
              <w:left w:w="100" w:type="dxa"/>
              <w:bottom w:w="100" w:type="dxa"/>
              <w:right w:w="100" w:type="dxa"/>
            </w:tcMar>
          </w:tcPr>
          <w:p w14:paraId="4C358507" w14:textId="77777777" w:rsidR="008E01F9" w:rsidRDefault="008E01F9" w:rsidP="00394F72">
            <w:pPr>
              <w:pStyle w:val="Tabletext"/>
            </w:pPr>
            <w:r>
              <w:t>co-located people wearing an XR HMD collaboratively interact with a detailed 3D virtual model from their own perspective into a shared coordinate system (using a shared map)</w:t>
            </w:r>
          </w:p>
        </w:tc>
      </w:tr>
      <w:tr w:rsidR="008E01F9" w14:paraId="0D42A2F1" w14:textId="77777777" w:rsidTr="00A708C3">
        <w:tc>
          <w:tcPr>
            <w:tcW w:w="1635" w:type="dxa"/>
            <w:shd w:val="clear" w:color="auto" w:fill="auto"/>
            <w:tcMar>
              <w:top w:w="100" w:type="dxa"/>
              <w:left w:w="100" w:type="dxa"/>
              <w:bottom w:w="100" w:type="dxa"/>
              <w:right w:w="100" w:type="dxa"/>
            </w:tcMar>
          </w:tcPr>
          <w:p w14:paraId="14F26BB9" w14:textId="77777777" w:rsidR="008E01F9" w:rsidRDefault="008E01F9" w:rsidP="00394F72">
            <w:pPr>
              <w:pStyle w:val="Tabletext"/>
            </w:pPr>
            <w:r>
              <w:t>XR Mission Critical</w:t>
            </w:r>
          </w:p>
        </w:tc>
        <w:tc>
          <w:tcPr>
            <w:tcW w:w="2820" w:type="dxa"/>
            <w:shd w:val="clear" w:color="auto" w:fill="auto"/>
            <w:tcMar>
              <w:top w:w="100" w:type="dxa"/>
              <w:left w:w="100" w:type="dxa"/>
              <w:bottom w:w="100" w:type="dxa"/>
              <w:right w:w="100" w:type="dxa"/>
            </w:tcMar>
          </w:tcPr>
          <w:p w14:paraId="331B54D3" w14:textId="77777777" w:rsidR="008E01F9" w:rsidRDefault="008E01F9" w:rsidP="00394F72">
            <w:pPr>
              <w:pStyle w:val="Tabletext"/>
            </w:pPr>
            <w:r>
              <w:t>(9) Police Critical Mission with AR</w:t>
            </w:r>
          </w:p>
        </w:tc>
        <w:tc>
          <w:tcPr>
            <w:tcW w:w="5175" w:type="dxa"/>
            <w:shd w:val="clear" w:color="auto" w:fill="auto"/>
            <w:tcMar>
              <w:top w:w="100" w:type="dxa"/>
              <w:left w:w="100" w:type="dxa"/>
              <w:bottom w:w="100" w:type="dxa"/>
              <w:right w:w="100" w:type="dxa"/>
            </w:tcMar>
          </w:tcPr>
          <w:p w14:paraId="3A91FA78" w14:textId="77777777" w:rsidR="008E01F9" w:rsidRDefault="008E01F9" w:rsidP="00394F72">
            <w:pPr>
              <w:pStyle w:val="Tabletext"/>
            </w:pPr>
            <w:r>
              <w:t>police officers on site and in police station use audio video communication and additional data using AR overlays, control of drones is also considered</w:t>
            </w:r>
          </w:p>
        </w:tc>
      </w:tr>
      <w:tr w:rsidR="008E01F9" w14:paraId="44CA2F2E" w14:textId="77777777" w:rsidTr="00A708C3">
        <w:tc>
          <w:tcPr>
            <w:tcW w:w="1635" w:type="dxa"/>
            <w:shd w:val="clear" w:color="auto" w:fill="auto"/>
            <w:tcMar>
              <w:top w:w="100" w:type="dxa"/>
              <w:left w:w="100" w:type="dxa"/>
              <w:bottom w:w="100" w:type="dxa"/>
              <w:right w:w="100" w:type="dxa"/>
            </w:tcMar>
          </w:tcPr>
          <w:p w14:paraId="5071A6C1" w14:textId="77777777" w:rsidR="008E01F9" w:rsidRDefault="008E01F9" w:rsidP="00394F72">
            <w:pPr>
              <w:pStyle w:val="Tabletext"/>
            </w:pPr>
            <w:r>
              <w:t>XR Conference</w:t>
            </w:r>
          </w:p>
        </w:tc>
        <w:tc>
          <w:tcPr>
            <w:tcW w:w="2820" w:type="dxa"/>
            <w:shd w:val="clear" w:color="auto" w:fill="auto"/>
            <w:tcMar>
              <w:top w:w="100" w:type="dxa"/>
              <w:left w:w="100" w:type="dxa"/>
              <w:bottom w:w="100" w:type="dxa"/>
              <w:right w:w="100" w:type="dxa"/>
            </w:tcMar>
          </w:tcPr>
          <w:p w14:paraId="33172496" w14:textId="77777777" w:rsidR="008E01F9" w:rsidRDefault="008E01F9" w:rsidP="00394F72">
            <w:pPr>
              <w:pStyle w:val="Tabletext"/>
            </w:pPr>
            <w:r>
              <w:t>(12) 360-degree conference meeting</w:t>
            </w:r>
          </w:p>
        </w:tc>
        <w:tc>
          <w:tcPr>
            <w:tcW w:w="5175" w:type="dxa"/>
            <w:shd w:val="clear" w:color="auto" w:fill="auto"/>
            <w:tcMar>
              <w:top w:w="100" w:type="dxa"/>
              <w:left w:w="100" w:type="dxa"/>
              <w:bottom w:w="100" w:type="dxa"/>
              <w:right w:w="100" w:type="dxa"/>
            </w:tcMar>
          </w:tcPr>
          <w:p w14:paraId="19E36C9B" w14:textId="086AEA86" w:rsidR="008E01F9" w:rsidRDefault="008E01F9" w:rsidP="00394F72">
            <w:pPr>
              <w:pStyle w:val="Tabletext"/>
            </w:pPr>
            <w:r>
              <w:t>multiparty telemeeting in which all conversation partners communicate in a virtual 3D representation of a real meeting room; in a variation of this use case mediated representations of the remote participants are projected into the real meeting room by means of AR for those who are actually in that room</w:t>
            </w:r>
          </w:p>
        </w:tc>
      </w:tr>
      <w:tr w:rsidR="008E01F9" w14:paraId="730CDD5C" w14:textId="77777777" w:rsidTr="00A708C3">
        <w:tc>
          <w:tcPr>
            <w:tcW w:w="1635" w:type="dxa"/>
            <w:shd w:val="clear" w:color="auto" w:fill="auto"/>
            <w:tcMar>
              <w:top w:w="100" w:type="dxa"/>
              <w:left w:w="100" w:type="dxa"/>
              <w:bottom w:w="100" w:type="dxa"/>
              <w:right w:w="100" w:type="dxa"/>
            </w:tcMar>
          </w:tcPr>
          <w:p w14:paraId="1B80CC62" w14:textId="77777777" w:rsidR="008E01F9" w:rsidRDefault="008E01F9" w:rsidP="00394F72">
            <w:pPr>
              <w:pStyle w:val="Tabletext"/>
            </w:pPr>
            <w:r>
              <w:t>XR Conference</w:t>
            </w:r>
          </w:p>
        </w:tc>
        <w:tc>
          <w:tcPr>
            <w:tcW w:w="2820" w:type="dxa"/>
            <w:shd w:val="clear" w:color="auto" w:fill="auto"/>
            <w:tcMar>
              <w:top w:w="100" w:type="dxa"/>
              <w:left w:w="100" w:type="dxa"/>
              <w:bottom w:w="100" w:type="dxa"/>
              <w:right w:w="100" w:type="dxa"/>
            </w:tcMar>
          </w:tcPr>
          <w:p w14:paraId="372D88D2" w14:textId="77777777" w:rsidR="008E01F9" w:rsidRDefault="008E01F9" w:rsidP="00394F72">
            <w:pPr>
              <w:pStyle w:val="Tabletext"/>
            </w:pPr>
            <w:r>
              <w:t>(13) 3D shared experience</w:t>
            </w:r>
          </w:p>
        </w:tc>
        <w:tc>
          <w:tcPr>
            <w:tcW w:w="5175" w:type="dxa"/>
            <w:shd w:val="clear" w:color="auto" w:fill="auto"/>
            <w:tcMar>
              <w:top w:w="100" w:type="dxa"/>
              <w:left w:w="100" w:type="dxa"/>
              <w:bottom w:w="100" w:type="dxa"/>
              <w:right w:w="100" w:type="dxa"/>
            </w:tcMar>
          </w:tcPr>
          <w:p w14:paraId="68E6A31F" w14:textId="77777777" w:rsidR="008E01F9" w:rsidRDefault="008E01F9" w:rsidP="00394F72">
            <w:pPr>
              <w:pStyle w:val="Tabletext"/>
            </w:pPr>
            <w:r>
              <w:t xml:space="preserve">conversation partners collaborate in a virtual environment to perform a task </w:t>
            </w:r>
          </w:p>
        </w:tc>
      </w:tr>
      <w:tr w:rsidR="008E01F9" w14:paraId="58FF190F" w14:textId="77777777" w:rsidTr="00A708C3">
        <w:tc>
          <w:tcPr>
            <w:tcW w:w="1635" w:type="dxa"/>
            <w:shd w:val="clear" w:color="auto" w:fill="auto"/>
            <w:tcMar>
              <w:top w:w="100" w:type="dxa"/>
              <w:left w:w="100" w:type="dxa"/>
              <w:bottom w:w="100" w:type="dxa"/>
              <w:right w:w="100" w:type="dxa"/>
            </w:tcMar>
          </w:tcPr>
          <w:p w14:paraId="4F95115A" w14:textId="77777777" w:rsidR="008E01F9" w:rsidRDefault="008E01F9" w:rsidP="00394F72">
            <w:pPr>
              <w:pStyle w:val="Tabletext"/>
            </w:pPr>
            <w:r>
              <w:lastRenderedPageBreak/>
              <w:t>XR Conference</w:t>
            </w:r>
          </w:p>
        </w:tc>
        <w:tc>
          <w:tcPr>
            <w:tcW w:w="2820" w:type="dxa"/>
            <w:shd w:val="clear" w:color="auto" w:fill="auto"/>
            <w:tcMar>
              <w:top w:w="100" w:type="dxa"/>
              <w:left w:w="100" w:type="dxa"/>
              <w:bottom w:w="100" w:type="dxa"/>
              <w:right w:w="100" w:type="dxa"/>
            </w:tcMar>
          </w:tcPr>
          <w:p w14:paraId="24C77826" w14:textId="77777777" w:rsidR="008E01F9" w:rsidRDefault="008E01F9" w:rsidP="00394F72">
            <w:pPr>
              <w:pStyle w:val="Tabletext"/>
            </w:pPr>
            <w:r>
              <w:t>(14) 6DOF VR conferencing</w:t>
            </w:r>
          </w:p>
        </w:tc>
        <w:tc>
          <w:tcPr>
            <w:tcW w:w="5175" w:type="dxa"/>
            <w:shd w:val="clear" w:color="auto" w:fill="auto"/>
            <w:tcMar>
              <w:top w:w="100" w:type="dxa"/>
              <w:left w:w="100" w:type="dxa"/>
              <w:bottom w:w="100" w:type="dxa"/>
              <w:right w:w="100" w:type="dxa"/>
            </w:tcMar>
          </w:tcPr>
          <w:p w14:paraId="1359041A" w14:textId="77777777" w:rsidR="008E01F9" w:rsidRDefault="008E01F9" w:rsidP="00394F72">
            <w:pPr>
              <w:pStyle w:val="Tabletext"/>
            </w:pPr>
            <w:r>
              <w:t>virtual world in which conversation partners are represented by avatars, avatars can move in the virtual world and can communicate with others when they are near enough</w:t>
            </w:r>
          </w:p>
        </w:tc>
      </w:tr>
      <w:tr w:rsidR="008E01F9" w14:paraId="4C091926" w14:textId="77777777" w:rsidTr="00A708C3">
        <w:tc>
          <w:tcPr>
            <w:tcW w:w="1635" w:type="dxa"/>
            <w:shd w:val="clear" w:color="auto" w:fill="auto"/>
            <w:tcMar>
              <w:top w:w="100" w:type="dxa"/>
              <w:left w:w="100" w:type="dxa"/>
              <w:bottom w:w="100" w:type="dxa"/>
              <w:right w:w="100" w:type="dxa"/>
            </w:tcMar>
          </w:tcPr>
          <w:p w14:paraId="4D713674" w14:textId="77777777" w:rsidR="008E01F9" w:rsidRDefault="008E01F9" w:rsidP="00394F72">
            <w:pPr>
              <w:pStyle w:val="Tabletext"/>
            </w:pPr>
            <w:r>
              <w:t>XR Conference</w:t>
            </w:r>
          </w:p>
        </w:tc>
        <w:tc>
          <w:tcPr>
            <w:tcW w:w="2820" w:type="dxa"/>
            <w:shd w:val="clear" w:color="auto" w:fill="auto"/>
            <w:tcMar>
              <w:top w:w="100" w:type="dxa"/>
              <w:left w:w="100" w:type="dxa"/>
              <w:bottom w:w="100" w:type="dxa"/>
              <w:right w:w="100" w:type="dxa"/>
            </w:tcMar>
          </w:tcPr>
          <w:p w14:paraId="0B42F076" w14:textId="77777777" w:rsidR="008E01F9" w:rsidRDefault="008E01F9" w:rsidP="00394F72">
            <w:pPr>
              <w:pStyle w:val="Tabletext"/>
            </w:pPr>
            <w:r>
              <w:t>(15) XR Meeting</w:t>
            </w:r>
          </w:p>
        </w:tc>
        <w:tc>
          <w:tcPr>
            <w:tcW w:w="5175" w:type="dxa"/>
            <w:shd w:val="clear" w:color="auto" w:fill="auto"/>
            <w:tcMar>
              <w:top w:w="100" w:type="dxa"/>
              <w:left w:w="100" w:type="dxa"/>
              <w:bottom w:w="100" w:type="dxa"/>
              <w:right w:w="100" w:type="dxa"/>
            </w:tcMar>
          </w:tcPr>
          <w:p w14:paraId="220F9D0F" w14:textId="77777777" w:rsidR="008E01F9" w:rsidRDefault="008E01F9" w:rsidP="00394F72">
            <w:pPr>
              <w:pStyle w:val="Tabletext"/>
            </w:pPr>
            <w:r>
              <w:t>remote participants experience a virtual representation of a real environment and can communicate with local participants who are physically present in that environment, local participants can communicate with remote participants using AR</w:t>
            </w:r>
          </w:p>
        </w:tc>
      </w:tr>
      <w:tr w:rsidR="008E01F9" w14:paraId="162E7019" w14:textId="77777777" w:rsidTr="00A708C3">
        <w:tc>
          <w:tcPr>
            <w:tcW w:w="1635" w:type="dxa"/>
            <w:shd w:val="clear" w:color="auto" w:fill="auto"/>
            <w:tcMar>
              <w:top w:w="100" w:type="dxa"/>
              <w:left w:w="100" w:type="dxa"/>
              <w:bottom w:w="100" w:type="dxa"/>
              <w:right w:w="100" w:type="dxa"/>
            </w:tcMar>
          </w:tcPr>
          <w:p w14:paraId="14169256" w14:textId="77777777" w:rsidR="008E01F9" w:rsidRDefault="008E01F9" w:rsidP="00394F72">
            <w:pPr>
              <w:pStyle w:val="Tabletext"/>
            </w:pPr>
            <w:r>
              <w:t>XR Conference</w:t>
            </w:r>
          </w:p>
        </w:tc>
        <w:tc>
          <w:tcPr>
            <w:tcW w:w="2820" w:type="dxa"/>
            <w:shd w:val="clear" w:color="auto" w:fill="auto"/>
            <w:tcMar>
              <w:top w:w="100" w:type="dxa"/>
              <w:left w:w="100" w:type="dxa"/>
              <w:bottom w:w="100" w:type="dxa"/>
              <w:right w:w="100" w:type="dxa"/>
            </w:tcMar>
          </w:tcPr>
          <w:p w14:paraId="40F8A451" w14:textId="77777777" w:rsidR="008E01F9" w:rsidRDefault="008E01F9" w:rsidP="00394F72">
            <w:pPr>
              <w:pStyle w:val="Tabletext"/>
            </w:pPr>
            <w:r>
              <w:t>(16) Convention / Poster Session</w:t>
            </w:r>
          </w:p>
        </w:tc>
        <w:tc>
          <w:tcPr>
            <w:tcW w:w="5175" w:type="dxa"/>
            <w:shd w:val="clear" w:color="auto" w:fill="auto"/>
            <w:tcMar>
              <w:top w:w="100" w:type="dxa"/>
              <w:left w:w="100" w:type="dxa"/>
              <w:bottom w:w="100" w:type="dxa"/>
              <w:right w:w="100" w:type="dxa"/>
            </w:tcMar>
          </w:tcPr>
          <w:p w14:paraId="1DC47E4F" w14:textId="77777777" w:rsidR="008E01F9" w:rsidRDefault="008E01F9" w:rsidP="00394F72">
            <w:pPr>
              <w:pStyle w:val="Tabletext"/>
            </w:pPr>
            <w:r>
              <w:t>similar to XR Meeting: local and remote participants join a physical poster session, presenters and listeners may be physically present or participate remotely</w:t>
            </w:r>
          </w:p>
        </w:tc>
      </w:tr>
      <w:tr w:rsidR="008E01F9" w14:paraId="3A2C41A1" w14:textId="77777777" w:rsidTr="00A708C3">
        <w:tc>
          <w:tcPr>
            <w:tcW w:w="1635" w:type="dxa"/>
            <w:shd w:val="clear" w:color="auto" w:fill="auto"/>
            <w:tcMar>
              <w:top w:w="100" w:type="dxa"/>
              <w:left w:w="100" w:type="dxa"/>
              <w:bottom w:w="100" w:type="dxa"/>
              <w:right w:w="100" w:type="dxa"/>
            </w:tcMar>
          </w:tcPr>
          <w:p w14:paraId="0E8F28EE" w14:textId="77777777" w:rsidR="008E01F9" w:rsidRDefault="008E01F9" w:rsidP="00394F72">
            <w:pPr>
              <w:pStyle w:val="Tabletext"/>
            </w:pPr>
            <w:r>
              <w:t>Spatial Audio Multiparty Call</w:t>
            </w:r>
          </w:p>
        </w:tc>
        <w:tc>
          <w:tcPr>
            <w:tcW w:w="2820" w:type="dxa"/>
            <w:shd w:val="clear" w:color="auto" w:fill="auto"/>
            <w:tcMar>
              <w:top w:w="100" w:type="dxa"/>
              <w:left w:w="100" w:type="dxa"/>
              <w:bottom w:w="100" w:type="dxa"/>
              <w:right w:w="100" w:type="dxa"/>
            </w:tcMar>
          </w:tcPr>
          <w:p w14:paraId="2521EEA1" w14:textId="77777777" w:rsidR="008E01F9" w:rsidRDefault="008E01F9" w:rsidP="00394F72">
            <w:pPr>
              <w:pStyle w:val="Tabletext"/>
            </w:pPr>
            <w:r>
              <w:t>(18) AR avatar multi-party calls</w:t>
            </w:r>
          </w:p>
        </w:tc>
        <w:tc>
          <w:tcPr>
            <w:tcW w:w="5175" w:type="dxa"/>
            <w:shd w:val="clear" w:color="auto" w:fill="auto"/>
            <w:tcMar>
              <w:top w:w="100" w:type="dxa"/>
              <w:left w:w="100" w:type="dxa"/>
              <w:bottom w:w="100" w:type="dxa"/>
              <w:right w:w="100" w:type="dxa"/>
            </w:tcMar>
          </w:tcPr>
          <w:p w14:paraId="21CC6ADC" w14:textId="77777777" w:rsidR="008E01F9" w:rsidRDefault="008E01F9" w:rsidP="00394F72">
            <w:pPr>
              <w:pStyle w:val="Tabletext"/>
            </w:pPr>
            <w:r>
              <w:t>multiparty call in which remote participants are placed in each local environment using AR, whereas spatial audio is used a) for rendering each conversation partner in the direction of his/her geolocation and b) for sharing the individual acoustic scenes when desired (e.g. “hear what I hear” feature)</w:t>
            </w:r>
          </w:p>
        </w:tc>
      </w:tr>
      <w:tr w:rsidR="008E01F9" w14:paraId="520C8E99" w14:textId="77777777" w:rsidTr="00A708C3">
        <w:tc>
          <w:tcPr>
            <w:tcW w:w="1635" w:type="dxa"/>
            <w:shd w:val="clear" w:color="auto" w:fill="auto"/>
            <w:tcMar>
              <w:top w:w="100" w:type="dxa"/>
              <w:left w:w="100" w:type="dxa"/>
              <w:bottom w:w="100" w:type="dxa"/>
              <w:right w:w="100" w:type="dxa"/>
            </w:tcMar>
          </w:tcPr>
          <w:p w14:paraId="4EDE90CF" w14:textId="77777777" w:rsidR="008E01F9" w:rsidRDefault="008E01F9" w:rsidP="00394F72">
            <w:pPr>
              <w:pStyle w:val="Tabletext"/>
            </w:pPr>
            <w:r>
              <w:t>Spatial Audio Multiparty Call</w:t>
            </w:r>
          </w:p>
        </w:tc>
        <w:tc>
          <w:tcPr>
            <w:tcW w:w="2820" w:type="dxa"/>
            <w:shd w:val="clear" w:color="auto" w:fill="auto"/>
            <w:tcMar>
              <w:top w:w="100" w:type="dxa"/>
              <w:left w:w="100" w:type="dxa"/>
              <w:bottom w:w="100" w:type="dxa"/>
              <w:right w:w="100" w:type="dxa"/>
            </w:tcMar>
          </w:tcPr>
          <w:p w14:paraId="4B662E70" w14:textId="77777777" w:rsidR="008E01F9" w:rsidRDefault="008E01F9" w:rsidP="00394F72">
            <w:pPr>
              <w:pStyle w:val="Tabletext"/>
            </w:pPr>
            <w:r>
              <w:t>(19) Front-facing camera video multi-party calls</w:t>
            </w:r>
          </w:p>
        </w:tc>
        <w:tc>
          <w:tcPr>
            <w:tcW w:w="5175" w:type="dxa"/>
            <w:shd w:val="clear" w:color="auto" w:fill="auto"/>
            <w:tcMar>
              <w:top w:w="100" w:type="dxa"/>
              <w:left w:w="100" w:type="dxa"/>
              <w:bottom w:w="100" w:type="dxa"/>
              <w:right w:w="100" w:type="dxa"/>
            </w:tcMar>
          </w:tcPr>
          <w:p w14:paraId="2A106557" w14:textId="77777777" w:rsidR="008E01F9" w:rsidRDefault="008E01F9" w:rsidP="00394F72">
            <w:pPr>
              <w:pStyle w:val="Tabletext"/>
            </w:pPr>
            <w:r>
              <w:t>multiparty video telephony in which spatial audio is used to keep the acoustic location of the conversation partners at the same spot relative to the video display (e.g. mobile phone)</w:t>
            </w:r>
          </w:p>
        </w:tc>
      </w:tr>
      <w:tr w:rsidR="008E01F9" w14:paraId="1E91BF24" w14:textId="77777777" w:rsidTr="00A708C3">
        <w:tc>
          <w:tcPr>
            <w:tcW w:w="1635" w:type="dxa"/>
            <w:shd w:val="clear" w:color="auto" w:fill="auto"/>
            <w:tcMar>
              <w:top w:w="100" w:type="dxa"/>
              <w:left w:w="100" w:type="dxa"/>
              <w:bottom w:w="100" w:type="dxa"/>
              <w:right w:w="100" w:type="dxa"/>
            </w:tcMar>
          </w:tcPr>
          <w:p w14:paraId="46C7752C" w14:textId="77777777" w:rsidR="008E01F9" w:rsidRDefault="008E01F9" w:rsidP="00394F72">
            <w:pPr>
              <w:pStyle w:val="Tabletext"/>
            </w:pPr>
            <w:r>
              <w:t>XR Multimedia Streaming</w:t>
            </w:r>
          </w:p>
        </w:tc>
        <w:tc>
          <w:tcPr>
            <w:tcW w:w="2820" w:type="dxa"/>
            <w:shd w:val="clear" w:color="auto" w:fill="auto"/>
            <w:tcMar>
              <w:top w:w="100" w:type="dxa"/>
              <w:left w:w="100" w:type="dxa"/>
              <w:bottom w:w="100" w:type="dxa"/>
              <w:right w:w="100" w:type="dxa"/>
            </w:tcMar>
          </w:tcPr>
          <w:p w14:paraId="6CE700E8" w14:textId="77777777" w:rsidR="008E01F9" w:rsidRDefault="008E01F9" w:rsidP="00394F72">
            <w:pPr>
              <w:pStyle w:val="Tabletext"/>
            </w:pPr>
            <w:r>
              <w:t>(20) AR Streaming with Localization Registry</w:t>
            </w:r>
          </w:p>
        </w:tc>
        <w:tc>
          <w:tcPr>
            <w:tcW w:w="5175" w:type="dxa"/>
            <w:shd w:val="clear" w:color="auto" w:fill="auto"/>
            <w:tcMar>
              <w:top w:w="100" w:type="dxa"/>
              <w:left w:w="100" w:type="dxa"/>
              <w:bottom w:w="100" w:type="dxa"/>
              <w:right w:w="100" w:type="dxa"/>
            </w:tcMar>
          </w:tcPr>
          <w:p w14:paraId="751AC202" w14:textId="77777777" w:rsidR="008E01F9" w:rsidRDefault="008E01F9" w:rsidP="00394F72">
            <w:pPr>
              <w:pStyle w:val="Tabletext"/>
            </w:pPr>
            <w:r>
              <w:t>while this is mainly a streaming-only scenario based on the example of an AR museum guide, a variation allows for a communication with a travel guide avatar</w:t>
            </w:r>
          </w:p>
        </w:tc>
      </w:tr>
      <w:tr w:rsidR="008E01F9" w14:paraId="33164AD5" w14:textId="77777777" w:rsidTr="00A708C3">
        <w:tc>
          <w:tcPr>
            <w:tcW w:w="1635" w:type="dxa"/>
            <w:shd w:val="clear" w:color="auto" w:fill="auto"/>
            <w:tcMar>
              <w:top w:w="100" w:type="dxa"/>
              <w:left w:w="100" w:type="dxa"/>
              <w:bottom w:w="100" w:type="dxa"/>
              <w:right w:w="100" w:type="dxa"/>
            </w:tcMar>
          </w:tcPr>
          <w:p w14:paraId="585E77A8" w14:textId="77777777" w:rsidR="008E01F9" w:rsidRDefault="008E01F9" w:rsidP="00394F72">
            <w:pPr>
              <w:pStyle w:val="Tabletext"/>
            </w:pPr>
            <w:r>
              <w:t>XR Multimedia Streaming</w:t>
            </w:r>
          </w:p>
        </w:tc>
        <w:tc>
          <w:tcPr>
            <w:tcW w:w="2820" w:type="dxa"/>
            <w:shd w:val="clear" w:color="auto" w:fill="auto"/>
            <w:tcMar>
              <w:top w:w="100" w:type="dxa"/>
              <w:left w:w="100" w:type="dxa"/>
              <w:bottom w:w="100" w:type="dxa"/>
              <w:right w:w="100" w:type="dxa"/>
            </w:tcMar>
          </w:tcPr>
          <w:p w14:paraId="3B214EFC" w14:textId="77777777" w:rsidR="008E01F9" w:rsidRDefault="008E01F9" w:rsidP="00394F72">
            <w:pPr>
              <w:pStyle w:val="Tabletext"/>
            </w:pPr>
            <w:r>
              <w:t>(21) Immersive 6DoF Streaming with Social Interaction</w:t>
            </w:r>
          </w:p>
        </w:tc>
        <w:tc>
          <w:tcPr>
            <w:tcW w:w="5175" w:type="dxa"/>
            <w:shd w:val="clear" w:color="auto" w:fill="auto"/>
            <w:tcMar>
              <w:top w:w="100" w:type="dxa"/>
              <w:left w:w="100" w:type="dxa"/>
              <w:bottom w:w="100" w:type="dxa"/>
              <w:right w:w="100" w:type="dxa"/>
            </w:tcMar>
          </w:tcPr>
          <w:p w14:paraId="07DFE30E" w14:textId="77777777" w:rsidR="008E01F9" w:rsidRDefault="008E01F9" w:rsidP="00394F72">
            <w:pPr>
              <w:pStyle w:val="Tabletext"/>
            </w:pPr>
            <w:r>
              <w:t>this is an extension of a streaming-only scenario (“immersive game spectator mode”) based on the example of watching in real-time a game (or other event) as a remote spectator: in this extension, however, the spectator can communicate with the avatars of other spectators</w:t>
            </w:r>
          </w:p>
        </w:tc>
      </w:tr>
    </w:tbl>
    <w:p w14:paraId="79419070" w14:textId="77777777" w:rsidR="008E01F9" w:rsidRDefault="008E01F9" w:rsidP="008E01F9"/>
    <w:p w14:paraId="634F0854" w14:textId="77777777" w:rsidR="008E01F9" w:rsidRDefault="008E01F9" w:rsidP="008E01F9">
      <w:pPr>
        <w:jc w:val="both"/>
      </w:pPr>
      <w:r>
        <w:t>Related work on XR meetings has been conducted in ITU. For that reason, additional information concerning some use cases is provided in the following to clarify the relation of XR telemeetings to telemeetings considered in existing Recommendations.</w:t>
      </w:r>
    </w:p>
    <w:p w14:paraId="69FF713B" w14:textId="77777777" w:rsidR="008E01F9" w:rsidRDefault="008E01F9" w:rsidP="008E01F9">
      <w:pPr>
        <w:pStyle w:val="Heading2"/>
        <w:jc w:val="both"/>
      </w:pPr>
      <w:bookmarkStart w:id="33" w:name="_7nu9xfnu09j4" w:colFirst="0" w:colLast="0"/>
      <w:bookmarkEnd w:id="33"/>
      <w:r>
        <w:t>7.2</w:t>
      </w:r>
      <w:r>
        <w:tab/>
        <w:t>Spatial Audio Multiparty Call in ITU</w:t>
      </w:r>
    </w:p>
    <w:p w14:paraId="07A7C1CC" w14:textId="77777777" w:rsidR="008E01F9" w:rsidRDefault="008E01F9" w:rsidP="008E01F9">
      <w:pPr>
        <w:jc w:val="both"/>
      </w:pPr>
      <w:r>
        <w:t>In [b-TR 26.928] two use cases (No. 18 &amp; 19) are grouped into a core use case “spatial audio multiparty call”. The detailed descriptions in [b-TR 26.928] reveal actually two aspects that qualify this core use case for an XR meeting.</w:t>
      </w:r>
    </w:p>
    <w:p w14:paraId="49C26F06" w14:textId="77777777" w:rsidR="008E01F9" w:rsidRDefault="008E01F9" w:rsidP="008E01F9">
      <w:pPr>
        <w:jc w:val="both"/>
      </w:pPr>
      <w:r>
        <w:t xml:space="preserve">First, according to the definition in Clause 3.2.1, using spatial audio technology for a telemeeting already qualifies for an XR meeting. In terms of quality assessment, it should be noted that a number of assessment methods for such “spatial audio meetings” are described in Recommendations [ITU-T P.1310], [ITU-T P.1311] and [ITU-T P.1312]. Also, the combination of spatial audio with video (over ordinary displays) has been addressed in some of these methods. That means, the core use case </w:t>
      </w:r>
      <w:r>
        <w:lastRenderedPageBreak/>
        <w:t>“spatial audio multiparty call” comprises additional individual use cases that are addressed in aforementioned recommendations.</w:t>
      </w:r>
    </w:p>
    <w:p w14:paraId="432A10B2" w14:textId="77777777" w:rsidR="008E01F9" w:rsidRDefault="008E01F9" w:rsidP="008E01F9">
      <w:pPr>
        <w:jc w:val="both"/>
      </w:pPr>
      <w:r>
        <w:t>Second, the combination of spatial audio with other XR elements such as a visual representation by means of VR or AR qualifies for an XR meeting as well. In terms of quality assessment, however, this is a new use case that has not been covered in the aforementioned recommendations and thus requires further study.</w:t>
      </w:r>
    </w:p>
    <w:p w14:paraId="3FCF5C7F" w14:textId="77777777" w:rsidR="008E01F9" w:rsidRDefault="008E01F9" w:rsidP="008E01F9">
      <w:pPr>
        <w:pStyle w:val="Heading2"/>
        <w:jc w:val="both"/>
      </w:pPr>
      <w:bookmarkStart w:id="34" w:name="_otad91yhdw9e" w:colFirst="0" w:colLast="0"/>
      <w:bookmarkEnd w:id="34"/>
      <w:r>
        <w:t>7.3</w:t>
      </w:r>
      <w:r>
        <w:tab/>
        <w:t>Remote system operation over XR telemeeting</w:t>
      </w:r>
    </w:p>
    <w:p w14:paraId="111C5A31" w14:textId="77777777" w:rsidR="008E01F9" w:rsidRDefault="008E01F9" w:rsidP="008E01F9">
      <w:pPr>
        <w:jc w:val="both"/>
      </w:pPr>
      <w:r>
        <w:t>This is in general a “new” field, a combination of telemeeting technology with physical objects and machines which leads to a cyber physical system remotely controlled by multiple persons.</w:t>
      </w:r>
    </w:p>
    <w:p w14:paraId="07BCCC6A" w14:textId="77777777" w:rsidR="008E01F9" w:rsidRPr="00A96AAE" w:rsidRDefault="008E01F9" w:rsidP="008E01F9">
      <w:pPr>
        <w:pStyle w:val="Heading2"/>
      </w:pPr>
      <w:bookmarkStart w:id="35" w:name="_tx4p7bhf5j5m" w:colFirst="0" w:colLast="0"/>
      <w:bookmarkEnd w:id="35"/>
      <w:r w:rsidRPr="00A96AAE">
        <w:t>7.4</w:t>
      </w:r>
      <w:r w:rsidRPr="00A96AAE">
        <w:tab/>
        <w:t>XR Conference</w:t>
      </w:r>
    </w:p>
    <w:p w14:paraId="70FAC457" w14:textId="77777777" w:rsidR="008E01F9" w:rsidRDefault="008E01F9" w:rsidP="008E01F9">
      <w:pPr>
        <w:jc w:val="both"/>
      </w:pPr>
      <w:r>
        <w:t xml:space="preserve">A virtual conference experience typically happens with multiple participants. As an example almost 2000 participants participated in IEEE VR 2020 [b-Ahn2021]). The experience may involve different types of events, which are sub-parts of the XR conference with different requirements, such as plenary talks, parallel sessions, workshops, poster sessions, or demonstrations [b-ACM2020]. </w:t>
      </w:r>
    </w:p>
    <w:p w14:paraId="5F4B2288" w14:textId="77777777" w:rsidR="008E01F9" w:rsidRDefault="008E01F9" w:rsidP="008E01F9">
      <w:pPr>
        <w:jc w:val="both"/>
      </w:pPr>
      <w:r>
        <w:t>Hybrid conferences with virtual participants represented by remotely operated telepresence robots [b-Neustaedter2018].</w:t>
      </w:r>
    </w:p>
    <w:p w14:paraId="6078AF05" w14:textId="77777777" w:rsidR="008E01F9" w:rsidRPr="00A96AAE" w:rsidRDefault="008E01F9" w:rsidP="008E01F9">
      <w:pPr>
        <w:pStyle w:val="Heading1"/>
      </w:pPr>
      <w:bookmarkStart w:id="36" w:name="_ej6c7lofm9wc" w:colFirst="0" w:colLast="0"/>
      <w:bookmarkEnd w:id="36"/>
      <w:r w:rsidRPr="00A96AAE">
        <w:t>8</w:t>
      </w:r>
      <w:r w:rsidRPr="00A96AAE">
        <w:tab/>
        <w:t>Factors influencing QoE of XR telemeetings</w:t>
      </w:r>
    </w:p>
    <w:p w14:paraId="10DF3713" w14:textId="33DA186C" w:rsidR="008E01F9" w:rsidRDefault="008E01F9" w:rsidP="008E01F9">
      <w:pPr>
        <w:jc w:val="both"/>
      </w:pPr>
      <w:r>
        <w:t>This Section identifies the XR telemeeting specific influencing factors affecting the QoE constituents collected in Section 9. They are divided into three categories, human (Section 8.1), context (Section 8.2) and system (Section 8.3) influencing factors. These factors can also be mixed [</w:t>
      </w:r>
      <w:r w:rsidR="001212C4">
        <w:t xml:space="preserve">b-Reiter2014, </w:t>
      </w:r>
      <w:r>
        <w:t xml:space="preserve">b-Skrowronek2022]. Other relevant XR-related QoE influencing factors collected in ITU-T G.1035 are mentioned here, but not explained in detail. </w:t>
      </w:r>
    </w:p>
    <w:p w14:paraId="5E5088BA" w14:textId="77777777" w:rsidR="008E01F9" w:rsidRDefault="008E01F9" w:rsidP="008E01F9">
      <w:pPr>
        <w:pStyle w:val="Heading2"/>
        <w:jc w:val="both"/>
      </w:pPr>
      <w:bookmarkStart w:id="37" w:name="_uitr0y1cxh21" w:colFirst="0" w:colLast="0"/>
      <w:bookmarkEnd w:id="37"/>
      <w:r>
        <w:t>8.1</w:t>
      </w:r>
      <w:r>
        <w:tab/>
        <w:t>Human Influence Factors (HIFs)</w:t>
      </w:r>
    </w:p>
    <w:p w14:paraId="529A2395" w14:textId="77777777" w:rsidR="008E01F9" w:rsidRDefault="008E01F9" w:rsidP="004C6F3E">
      <w:pPr>
        <w:jc w:val="both"/>
      </w:pPr>
      <w:r>
        <w:t xml:space="preserve">Human Influence Factors (HIFs) refer to any characteristics of a user that have an influence on QoE, including the background and the mental, psychophysiological and physiological state of a user [b-Brunnström2013, Reiter2014]. Next to the fidelity of the representation of a mediated environment and the persons therein, the experienced quality of an XR meeting experience may also depend on highly subjective secondary factors like its personal relevance [b-Toet2016] and the user’s context (e.g., task, available information: [b-Hägni2007, Lee2020b]), current (mental and physical) state, personality [b-Alsina2010, Hofer2012, Sacau2008], engagement and involvement (e.g., </w:t>
      </w:r>
      <w:r>
        <w:rPr>
          <w:highlight w:val="white"/>
        </w:rPr>
        <w:t>enjoyment, flow, and mental absorption or attention [b-</w:t>
      </w:r>
      <w:r>
        <w:t>Lee2020a]).</w:t>
      </w:r>
    </w:p>
    <w:p w14:paraId="7E53E710" w14:textId="77777777" w:rsidR="008E01F9" w:rsidRDefault="008E01F9" w:rsidP="008E01F9">
      <w:pPr>
        <w:pStyle w:val="Heading3"/>
        <w:jc w:val="both"/>
      </w:pPr>
      <w:bookmarkStart w:id="38" w:name="_4b9pmsqfd1mt" w:colFirst="0" w:colLast="0"/>
      <w:bookmarkEnd w:id="38"/>
      <w:r>
        <w:t>8.1.1</w:t>
      </w:r>
      <w:r>
        <w:tab/>
        <w:t xml:space="preserve">Characteristics of the perceptual and cognitive processes </w:t>
      </w:r>
    </w:p>
    <w:p w14:paraId="73D44C24" w14:textId="77777777" w:rsidR="008E01F9" w:rsidRDefault="008E01F9" w:rsidP="004C6F3E">
      <w:pPr>
        <w:tabs>
          <w:tab w:val="left" w:pos="794"/>
          <w:tab w:val="left" w:pos="1191"/>
          <w:tab w:val="left" w:pos="1588"/>
          <w:tab w:val="left" w:pos="1985"/>
        </w:tabs>
        <w:jc w:val="both"/>
      </w:pPr>
      <w:r>
        <w:t>A user’s visual, auditory, olfactory and tactile acuity can all affect the perceived quality of an XR telemeeting [b-Skowronek2022], [ITU-T G.1035].  For example, impaired visual or hearing acuity will influence the perception of any degradations in the audio and video signals.</w:t>
      </w:r>
    </w:p>
    <w:p w14:paraId="0D78F9F1" w14:textId="6ECBFA7F" w:rsidR="008E01F9" w:rsidRDefault="008E01F9" w:rsidP="004C6F3E">
      <w:pPr>
        <w:pBdr>
          <w:top w:val="nil"/>
          <w:left w:val="nil"/>
          <w:bottom w:val="nil"/>
          <w:right w:val="nil"/>
          <w:between w:val="nil"/>
        </w:pBdr>
        <w:tabs>
          <w:tab w:val="left" w:pos="794"/>
          <w:tab w:val="left" w:pos="1191"/>
          <w:tab w:val="left" w:pos="1588"/>
          <w:tab w:val="left" w:pos="1985"/>
        </w:tabs>
        <w:jc w:val="both"/>
      </w:pPr>
      <w:r>
        <w:t>QoE is a complex cognitive construct, resulting from the technical aspects of a telemeeting system.  During an XR telemeeting, users can be confronted with different technical possibilities to communicate remotely, resulting in high cognitive load and fatigue. The user’s cognitive process (i.e., the way concepts and information are formulated and processed) will determine the level of cognitive load and thus ultimately the quality of the experience.</w:t>
      </w:r>
    </w:p>
    <w:p w14:paraId="75194726" w14:textId="77777777" w:rsidR="008E01F9" w:rsidRDefault="008E01F9" w:rsidP="008E01F9">
      <w:pPr>
        <w:pStyle w:val="Heading3"/>
        <w:jc w:val="both"/>
      </w:pPr>
      <w:bookmarkStart w:id="39" w:name="_sfk2msixvv8" w:colFirst="0" w:colLast="0"/>
      <w:bookmarkEnd w:id="39"/>
      <w:r>
        <w:lastRenderedPageBreak/>
        <w:t>8.1.2</w:t>
      </w:r>
      <w:r>
        <w:tab/>
        <w:t>Internal state of individual participants</w:t>
      </w:r>
    </w:p>
    <w:p w14:paraId="65CB6A46" w14:textId="77777777" w:rsidR="008E01F9" w:rsidRDefault="008E01F9" w:rsidP="004C6F3E">
      <w:pPr>
        <w:tabs>
          <w:tab w:val="left" w:pos="794"/>
          <w:tab w:val="left" w:pos="1191"/>
          <w:tab w:val="left" w:pos="1588"/>
          <w:tab w:val="left" w:pos="1985"/>
        </w:tabs>
        <w:jc w:val="both"/>
      </w:pPr>
      <w:r>
        <w:t>Tendency to experience simulator sickness [ITU-T G.1035]. If a participant is experiencing simulator sickness during an XR meeting, then the quality of the overall experience is correspondingly degraded [b-Toet2010].</w:t>
      </w:r>
    </w:p>
    <w:p w14:paraId="47B8E7CE" w14:textId="77777777" w:rsidR="008E01F9" w:rsidRPr="005518C0" w:rsidRDefault="008E01F9" w:rsidP="004C6F3E">
      <w:pPr>
        <w:tabs>
          <w:tab w:val="left" w:pos="794"/>
          <w:tab w:val="left" w:pos="1191"/>
          <w:tab w:val="left" w:pos="1588"/>
          <w:tab w:val="left" w:pos="1985"/>
        </w:tabs>
        <w:jc w:val="both"/>
      </w:pPr>
      <w:r>
        <w:t>Tendency to experience immersion [ITU-T G.1035]. Immersion is the extent to which a system can replace the user’s natural sensory input with mediated input, whereas presence refers to the user’s interpretation of immersion. Since it appears likely that presence requires a tendency for immersion, Witmer and Singer [b-Witmer1998] developed the Immersive Tendency Questionnaire (ITQ) to measure the propensity for immersion. However, no correlation was found between immersion and ITQ ratings [b-Agrawal2021], and only a partial negative correlation between the ITQ and presence measured with the Presence Questionnaire (PQ) [b-Witmer1998, b-Nystad2004, b-Youngblut2003] and a partial positive correlation between the ITQ and presence measured with the Slater-Usoh-</w:t>
      </w:r>
      <w:r w:rsidRPr="005518C0">
        <w:t xml:space="preserve">Steed (SUS) [b-Slater1994] questionnaire [b-Youngblut2003]. </w:t>
      </w:r>
    </w:p>
    <w:p w14:paraId="1BA1A4A7" w14:textId="77777777" w:rsidR="008E01F9" w:rsidRPr="005518C0" w:rsidRDefault="008E01F9" w:rsidP="004C6F3E">
      <w:pPr>
        <w:tabs>
          <w:tab w:val="left" w:pos="794"/>
          <w:tab w:val="left" w:pos="1191"/>
          <w:tab w:val="left" w:pos="1588"/>
          <w:tab w:val="left" w:pos="1985"/>
        </w:tabs>
        <w:jc w:val="both"/>
      </w:pPr>
      <w:r w:rsidRPr="005518C0">
        <w:t xml:space="preserve">The level of expertise can also influence QoE, for example </w:t>
      </w:r>
      <w:r w:rsidRPr="005518C0">
        <w:rPr>
          <w:highlight w:val="white"/>
        </w:rPr>
        <w:t xml:space="preserve">in the sense of technical expertise about the system (when I understand the technology, I rate differently than a naive user), the expertise to use the system to achieve my goal </w:t>
      </w:r>
      <w:r w:rsidRPr="005518C0">
        <w:t>[ITU-T G.1035]</w:t>
      </w:r>
      <w:r w:rsidRPr="005518C0">
        <w:rPr>
          <w:highlight w:val="white"/>
        </w:rPr>
        <w:t>, and the expertise about the subject of the XR meeting, which influences cognitive load etc. [b-Skowronek2022]</w:t>
      </w:r>
    </w:p>
    <w:p w14:paraId="233653D7" w14:textId="77777777" w:rsidR="008E01F9" w:rsidRDefault="008E01F9" w:rsidP="004C6F3E">
      <w:pPr>
        <w:tabs>
          <w:tab w:val="left" w:pos="794"/>
          <w:tab w:val="left" w:pos="1191"/>
          <w:tab w:val="left" w:pos="1588"/>
          <w:tab w:val="left" w:pos="1985"/>
        </w:tabs>
        <w:spacing w:before="240" w:after="240"/>
        <w:jc w:val="both"/>
      </w:pPr>
      <w:r w:rsidRPr="005518C0">
        <w:t xml:space="preserve">Spatial intelligence and introversion both affect the experience of spatial presence, such that higher </w:t>
      </w:r>
      <w:r>
        <w:t xml:space="preserve">degrees of spatial intelligence and introversion correspond to higher degrees of spatial presence on the sense of presence [b-Jurnet2010, b-Jurnet2005]. </w:t>
      </w:r>
    </w:p>
    <w:p w14:paraId="763B2948" w14:textId="77777777" w:rsidR="008E01F9" w:rsidRDefault="008E01F9" w:rsidP="008E01F9">
      <w:pPr>
        <w:pStyle w:val="Heading3"/>
        <w:jc w:val="both"/>
      </w:pPr>
      <w:bookmarkStart w:id="40" w:name="_ubmaorqrj72q" w:colFirst="0" w:colLast="0"/>
      <w:bookmarkEnd w:id="40"/>
      <w:r>
        <w:t>8.1.3</w:t>
      </w:r>
      <w:r>
        <w:tab/>
        <w:t>Conversation behaviour</w:t>
      </w:r>
    </w:p>
    <w:p w14:paraId="56ABA89D" w14:textId="77777777" w:rsidR="008E01F9" w:rsidRDefault="008E01F9" w:rsidP="004C6F3E">
      <w:pPr>
        <w:tabs>
          <w:tab w:val="left" w:pos="794"/>
          <w:tab w:val="left" w:pos="1191"/>
          <w:tab w:val="left" w:pos="1588"/>
          <w:tab w:val="left" w:pos="1985"/>
        </w:tabs>
        <w:jc w:val="both"/>
      </w:pPr>
      <w:r>
        <w:t>The conversation behavior of participants will influence the structure and flow of the conversation during a meeting and thus they will influence the QoE perceived by the participants. Here, aspects such as, for instance, the formality of the conversation or communication discipline (see [b-Mengis2018]) determine the conversation behavior.</w:t>
      </w:r>
    </w:p>
    <w:p w14:paraId="127079D0" w14:textId="77777777" w:rsidR="008E01F9" w:rsidRDefault="008E01F9" w:rsidP="004C6F3E">
      <w:pPr>
        <w:tabs>
          <w:tab w:val="left" w:pos="794"/>
          <w:tab w:val="left" w:pos="1191"/>
          <w:tab w:val="left" w:pos="1588"/>
          <w:tab w:val="left" w:pos="1985"/>
        </w:tabs>
        <w:jc w:val="both"/>
      </w:pPr>
      <w:r>
        <w:t>Moreover, the degree of involvement, that is the extent to which participants actively contribute to the XR meeting, can also influence the QoE. Passive participants tend to perceive quality degradations more critically than actively engaged participants, see e.g. [b-Schmitt2014, b-Skowronek2013].</w:t>
      </w:r>
    </w:p>
    <w:p w14:paraId="7FFDCDD1" w14:textId="77777777" w:rsidR="008E01F9" w:rsidRDefault="008E01F9" w:rsidP="008E01F9">
      <w:pPr>
        <w:pStyle w:val="Heading3"/>
        <w:jc w:val="both"/>
      </w:pPr>
      <w:bookmarkStart w:id="41" w:name="_wgjyz9nfy8h7" w:colFirst="0" w:colLast="0"/>
      <w:bookmarkEnd w:id="41"/>
      <w:r>
        <w:t>8.1.4</w:t>
      </w:r>
      <w:r>
        <w:tab/>
        <w:t>Relations between participants</w:t>
      </w:r>
    </w:p>
    <w:p w14:paraId="46CDC00A" w14:textId="77777777" w:rsidR="008E01F9" w:rsidRDefault="008E01F9" w:rsidP="008E01F9">
      <w:pPr>
        <w:tabs>
          <w:tab w:val="left" w:pos="794"/>
          <w:tab w:val="left" w:pos="1191"/>
          <w:tab w:val="left" w:pos="1588"/>
          <w:tab w:val="left" w:pos="1985"/>
        </w:tabs>
        <w:spacing w:before="240" w:after="240"/>
        <w:jc w:val="both"/>
      </w:pPr>
      <w:r>
        <w:t>People in close relationships typically experience higher levels of social presence when communicating through XR, particularly when the communication medium affords interpersonal affective social touch [b-Longa2022, b-Fermoselle2020, b-Gavrilovska2017, b-Haritaipan2018, Huisman2017]</w:t>
      </w:r>
    </w:p>
    <w:p w14:paraId="5E4D15E0" w14:textId="77777777" w:rsidR="008E01F9" w:rsidRDefault="008E01F9" w:rsidP="008E01F9">
      <w:pPr>
        <w:tabs>
          <w:tab w:val="left" w:pos="794"/>
          <w:tab w:val="left" w:pos="1191"/>
          <w:tab w:val="left" w:pos="1588"/>
          <w:tab w:val="left" w:pos="1985"/>
        </w:tabs>
        <w:spacing w:before="240" w:after="240"/>
        <w:jc w:val="both"/>
        <w:rPr>
          <w:sz w:val="26"/>
          <w:szCs w:val="26"/>
        </w:rPr>
      </w:pPr>
      <w:r>
        <w:t xml:space="preserve">The arrival of the tactile internet will </w:t>
      </w:r>
      <w:r>
        <w:rPr>
          <w:color w:val="231F20"/>
        </w:rPr>
        <w:t xml:space="preserve">stimulate </w:t>
      </w:r>
      <w:r>
        <w:t>the integration of the haptic modality into digital communication devices and interfaces, with remote personal communication. health care and teleoperation becoming the primary market domains [b-Jewitt2020]. Mediated social communication including touch can contribute significantly to a feeling of social presence in the context of collaborative tasks performed in shared virtual environments. However, since mediated social touch</w:t>
      </w:r>
      <w:r>
        <w:rPr>
          <w:rFonts w:ascii="Arial" w:eastAsia="Arial" w:hAnsi="Arial" w:cs="Arial"/>
          <w:sz w:val="22"/>
          <w:szCs w:val="22"/>
        </w:rPr>
        <w:t xml:space="preserve"> </w:t>
      </w:r>
      <w:r>
        <w:t>can cause feelings of discomfort between strangers [b-Smith2007], a closer (e.g., romantic) relationship may be preferred for this kind of tactile stimulation [b-Rantala2013, b-Suvilehto2015</w:t>
      </w:r>
      <w:r>
        <w:rPr>
          <w:color w:val="222222"/>
          <w:highlight w:val="white"/>
        </w:rPr>
        <w:t>].</w:t>
      </w:r>
    </w:p>
    <w:p w14:paraId="4E4D0ED6" w14:textId="77777777" w:rsidR="008E01F9" w:rsidRDefault="008E01F9" w:rsidP="008E01F9">
      <w:pPr>
        <w:pStyle w:val="Heading3"/>
        <w:jc w:val="both"/>
      </w:pPr>
      <w:bookmarkStart w:id="42" w:name="_j6746lh5ajs" w:colFirst="0" w:colLast="0"/>
      <w:bookmarkEnd w:id="42"/>
      <w:r>
        <w:t>8.1.5</w:t>
      </w:r>
      <w:r>
        <w:tab/>
        <w:t>Language and body language aspects</w:t>
      </w:r>
    </w:p>
    <w:p w14:paraId="7D3F071F" w14:textId="77777777" w:rsidR="008E01F9" w:rsidRDefault="008E01F9" w:rsidP="008E01F9">
      <w:pPr>
        <w:tabs>
          <w:tab w:val="left" w:pos="794"/>
          <w:tab w:val="left" w:pos="1191"/>
          <w:tab w:val="left" w:pos="1588"/>
          <w:tab w:val="left" w:pos="1985"/>
        </w:tabs>
        <w:jc w:val="both"/>
      </w:pPr>
      <w:r>
        <w:t xml:space="preserve">The QoE of an XR telemeeting depends on the extent to which the system conveys linguistic social cues and body language. Linguistic cues refer to the choice of words and structure of sentences, i.e., </w:t>
      </w:r>
      <w:r>
        <w:lastRenderedPageBreak/>
        <w:t>dialect and syntax, that users employ during communication. While linguistic social cues are essential in mediated social communication, they are far more effective when paired with other nonverbal social cues like body language [b-Sharan2022]. Body language consists of two key elements: (1) body posture and movements and (2) head movements and hand gestures. While the former is subtle, less definite, and can indicate some feelings and attitudes, the latter is deliberate and important to communicate meaning without words. Some examples of body posture movements are arm- or leg-crossing. Head and hand gestures could include movements like nodding, pointing, waving, etc. [b-Sharan2022]</w:t>
      </w:r>
    </w:p>
    <w:p w14:paraId="7601393A" w14:textId="77777777" w:rsidR="008E01F9" w:rsidRDefault="008E01F9" w:rsidP="008E01F9">
      <w:pPr>
        <w:pStyle w:val="Heading2"/>
      </w:pPr>
      <w:bookmarkStart w:id="43" w:name="_1xghkmc3hnvu" w:colFirst="0" w:colLast="0"/>
      <w:bookmarkEnd w:id="43"/>
      <w:r>
        <w:t>8.2</w:t>
      </w:r>
      <w:r>
        <w:tab/>
        <w:t>Context Influence Factors (CIFs)</w:t>
      </w:r>
    </w:p>
    <w:p w14:paraId="27FD67C6" w14:textId="77777777" w:rsidR="008E01F9" w:rsidRDefault="008E01F9" w:rsidP="004C6F3E">
      <w:pPr>
        <w:jc w:val="both"/>
      </w:pPr>
      <w:r>
        <w:t>Context Influence Factors (CIFs) refer to the physical, temporal, social, economic, task and any technical and information context that influence QoE [b-Brunnström2013, b-Reiter2014]. With respect to XR meetings, CIFs essentially refer to the overall situation in which the XR meeting takes place. [b-Döring2022, Section 3.2.2] provides an overview of context (and content) factors that (are likely to) contribute to videoconferencing (VC) fatigue. It remains to be investigated to which extent XR lightens or aggravates those effects.</w:t>
      </w:r>
    </w:p>
    <w:p w14:paraId="3F82DA97" w14:textId="77777777" w:rsidR="008E01F9" w:rsidRDefault="008E01F9" w:rsidP="004C6F3E">
      <w:pPr>
        <w:jc w:val="both"/>
      </w:pPr>
      <w:r>
        <w:t xml:space="preserve">While there exists a lot of related work, see next paragraphs, it still needs to be validated in the context of XR meetings. </w:t>
      </w:r>
    </w:p>
    <w:p w14:paraId="1A08AD85" w14:textId="77777777" w:rsidR="008E01F9" w:rsidRDefault="008E01F9" w:rsidP="008E01F9">
      <w:pPr>
        <w:pStyle w:val="Heading3"/>
      </w:pPr>
      <w:bookmarkStart w:id="44" w:name="_5hncx46fftay" w:colFirst="0" w:colLast="0"/>
      <w:bookmarkEnd w:id="44"/>
      <w:r>
        <w:t>8.2.1</w:t>
      </w:r>
      <w:r>
        <w:tab/>
      </w:r>
      <w:r w:rsidRPr="00A96AAE">
        <w:t>Communication</w:t>
      </w:r>
      <w:r>
        <w:t xml:space="preserve"> environment</w:t>
      </w:r>
    </w:p>
    <w:p w14:paraId="59F598E9" w14:textId="77777777" w:rsidR="008E01F9" w:rsidRDefault="008E01F9" w:rsidP="004C6F3E">
      <w:pPr>
        <w:jc w:val="both"/>
      </w:pPr>
      <w:r>
        <w:t xml:space="preserve">Corresponding CIFs are given by the </w:t>
      </w:r>
      <w:r>
        <w:rPr>
          <w:i/>
        </w:rPr>
        <w:t>acoustical</w:t>
      </w:r>
      <w:r>
        <w:t xml:space="preserve"> and </w:t>
      </w:r>
      <w:r>
        <w:rPr>
          <w:i/>
        </w:rPr>
        <w:t>optical/lighting</w:t>
      </w:r>
      <w:r>
        <w:t xml:space="preserve"> situation, see e.g. [b-Shimizu2018, b-Porcu2019]. </w:t>
      </w:r>
    </w:p>
    <w:p w14:paraId="3DF81B6E" w14:textId="77777777" w:rsidR="008E01F9" w:rsidRDefault="008E01F9" w:rsidP="004C6F3E">
      <w:pPr>
        <w:pBdr>
          <w:top w:val="nil"/>
          <w:left w:val="nil"/>
          <w:bottom w:val="nil"/>
          <w:right w:val="nil"/>
          <w:between w:val="nil"/>
        </w:pBdr>
        <w:jc w:val="both"/>
      </w:pPr>
      <w:r>
        <w:t>Tests in lab environments demand a detailed specification and validation of the lab setup and procedures, which is a challenging task in face of the increased number of degrees of freedom provided (cf. Section 8.3.3.1). Out-of-the-lab testing complements tests in lab environments, allowing for real use cases while limiting the possibility to derive ground-truth-like insights. Crowdsourcing goes one step further by leaving the execution of the experiment to the user, but there are special methods to validate the results as described in [b-ITU-T PSTR-CROWDS2018].</w:t>
      </w:r>
    </w:p>
    <w:p w14:paraId="72411D4E" w14:textId="77777777" w:rsidR="008E01F9" w:rsidRDefault="008E01F9" w:rsidP="008E01F9">
      <w:pPr>
        <w:pStyle w:val="Heading3"/>
      </w:pPr>
      <w:bookmarkStart w:id="45" w:name="_y81u4ky1rx9i" w:colFirst="0" w:colLast="0"/>
      <w:bookmarkEnd w:id="45"/>
      <w:r>
        <w:t>8.2.2</w:t>
      </w:r>
      <w:r>
        <w:tab/>
        <w:t xml:space="preserve">Use case </w:t>
      </w:r>
    </w:p>
    <w:p w14:paraId="470E2B14" w14:textId="77777777" w:rsidR="008E01F9" w:rsidRDefault="008E01F9" w:rsidP="004C6F3E">
      <w:pPr>
        <w:jc w:val="both"/>
      </w:pPr>
      <w:r>
        <w:t xml:space="preserve">One CIF in this category addresses the </w:t>
      </w:r>
      <w:r>
        <w:rPr>
          <w:i/>
        </w:rPr>
        <w:t>purpose of the meeting</w:t>
      </w:r>
      <w:r>
        <w:t xml:space="preserve">. For meetings with a focus on the accomplishments of tasks, the two-dimensional circumplex model of group tasks [b-McGrath1984] can be used to characterize the purpose of the meeting. Complementary distinctions of meeting purposes can be made between </w:t>
      </w:r>
    </w:p>
    <w:p w14:paraId="05976DEB" w14:textId="77777777" w:rsidR="008E01F9" w:rsidRDefault="008E01F9" w:rsidP="008E01F9">
      <w:pPr>
        <w:numPr>
          <w:ilvl w:val="0"/>
          <w:numId w:val="23"/>
        </w:numPr>
        <w:jc w:val="both"/>
      </w:pPr>
      <w:r>
        <w:t xml:space="preserve">professional and private / business and leisure meetings </w:t>
      </w:r>
    </w:p>
    <w:p w14:paraId="1D608712" w14:textId="77777777" w:rsidR="008E01F9" w:rsidRDefault="008E01F9" w:rsidP="008E01F9">
      <w:pPr>
        <w:numPr>
          <w:ilvl w:val="0"/>
          <w:numId w:val="23"/>
        </w:numPr>
        <w:spacing w:before="0"/>
        <w:jc w:val="both"/>
      </w:pPr>
      <w:r>
        <w:t>accomplishing tasks, fulfilling social needs (including belongingness and co-presence), and exchanging information</w:t>
      </w:r>
    </w:p>
    <w:p w14:paraId="1B2A87F2" w14:textId="77777777" w:rsidR="008E01F9" w:rsidRDefault="008E01F9" w:rsidP="008E01F9">
      <w:pPr>
        <w:numPr>
          <w:ilvl w:val="0"/>
          <w:numId w:val="23"/>
        </w:numPr>
        <w:spacing w:before="0"/>
      </w:pPr>
      <w:r>
        <w:t xml:space="preserve">distributed collaborative work with shared </w:t>
      </w:r>
      <w:r>
        <w:rPr>
          <w:i/>
        </w:rPr>
        <w:t>virtual workspaces</w:t>
      </w:r>
      <w:r>
        <w:t xml:space="preserve"> and related perceptual, cognitive and usability aspects</w:t>
      </w:r>
    </w:p>
    <w:p w14:paraId="49AE108D" w14:textId="77777777" w:rsidR="008E01F9" w:rsidRDefault="008E01F9" w:rsidP="008E01F9">
      <w:pPr>
        <w:jc w:val="both"/>
      </w:pPr>
      <w:r>
        <w:t>Dependent on the purpose, the user can be focused on</w:t>
      </w:r>
    </w:p>
    <w:p w14:paraId="35BDCF8F" w14:textId="77777777" w:rsidR="008E01F9" w:rsidRDefault="008E01F9" w:rsidP="008E01F9">
      <w:pPr>
        <w:numPr>
          <w:ilvl w:val="0"/>
          <w:numId w:val="19"/>
        </w:numPr>
        <w:jc w:val="both"/>
      </w:pPr>
      <w:r>
        <w:t>participants (i.e., socializing)</w:t>
      </w:r>
    </w:p>
    <w:p w14:paraId="4DD06EB9" w14:textId="77777777" w:rsidR="008E01F9" w:rsidRDefault="008E01F9" w:rsidP="008E01F9">
      <w:pPr>
        <w:numPr>
          <w:ilvl w:val="0"/>
          <w:numId w:val="19"/>
        </w:numPr>
        <w:spacing w:before="0"/>
        <w:jc w:val="both"/>
      </w:pPr>
      <w:r>
        <w:t>objects (in space)</w:t>
      </w:r>
    </w:p>
    <w:p w14:paraId="50349DE0" w14:textId="77777777" w:rsidR="008E01F9" w:rsidRDefault="008E01F9" w:rsidP="008E01F9">
      <w:pPr>
        <w:numPr>
          <w:ilvl w:val="0"/>
          <w:numId w:val="19"/>
        </w:numPr>
        <w:spacing w:before="0"/>
        <w:jc w:val="both"/>
      </w:pPr>
      <w:r>
        <w:t xml:space="preserve">tasks (at hand) </w:t>
      </w:r>
    </w:p>
    <w:p w14:paraId="0D997F15" w14:textId="77777777" w:rsidR="008E01F9" w:rsidRDefault="008E01F9" w:rsidP="008E01F9">
      <w:pPr>
        <w:jc w:val="both"/>
      </w:pPr>
      <w:r>
        <w:t>which in turn puts demands on the degrees of realism and performance that are required for the various elements. More information can be found in [b-Skowronek2017].</w:t>
      </w:r>
    </w:p>
    <w:p w14:paraId="54AD00E6" w14:textId="77777777" w:rsidR="008E01F9" w:rsidRDefault="008E01F9" w:rsidP="008E01F9">
      <w:pPr>
        <w:pStyle w:val="Heading3"/>
      </w:pPr>
      <w:bookmarkStart w:id="46" w:name="_2qzdzd3r684i" w:colFirst="0" w:colLast="0"/>
      <w:bookmarkEnd w:id="46"/>
      <w:r>
        <w:lastRenderedPageBreak/>
        <w:t>8.2.3</w:t>
      </w:r>
      <w:r>
        <w:tab/>
        <w:t>Communication scenario</w:t>
      </w:r>
    </w:p>
    <w:p w14:paraId="0C086135" w14:textId="77777777" w:rsidR="008E01F9" w:rsidRDefault="008E01F9" w:rsidP="008E01F9">
      <w:pPr>
        <w:jc w:val="both"/>
      </w:pPr>
      <w:r>
        <w:t xml:space="preserve">Related CIFs are the size (number of participants [ITU-T P.1301, b-Skowronek2015]) and nature of a group (closed versus open), the number of connected sites [ITU-T P.1301], as well as potential mixtures between face-to-face and mediated conversations [ITU-T P.1301, b-Skowronek2017]. </w:t>
      </w:r>
    </w:p>
    <w:p w14:paraId="3885E614" w14:textId="77777777" w:rsidR="008E01F9" w:rsidRDefault="008E01F9" w:rsidP="008E01F9">
      <w:pPr>
        <w:pStyle w:val="Heading3"/>
        <w:jc w:val="both"/>
      </w:pPr>
      <w:bookmarkStart w:id="47" w:name="_bs87lf9qn58x" w:colFirst="0" w:colLast="0"/>
      <w:bookmarkEnd w:id="47"/>
      <w:r>
        <w:t>8.2.4</w:t>
      </w:r>
      <w:r>
        <w:tab/>
        <w:t>Time aspects</w:t>
      </w:r>
    </w:p>
    <w:p w14:paraId="03D84D1C" w14:textId="77777777" w:rsidR="008E01F9" w:rsidRDefault="008E01F9" w:rsidP="008E01F9">
      <w:pPr>
        <w:jc w:val="both"/>
      </w:pPr>
      <w:r>
        <w:t xml:space="preserve">Telemeetings allow for bridging time zones, where the feasibility of the resulting time zone constitutes a CIF for the affected user. [b-Döring2022, Section 3.2.1] provides an overview of temporal-organizational CIFs in VC, such as the number, duration and timing of sessions. Also, social uses and habits represent CIFs. </w:t>
      </w:r>
    </w:p>
    <w:p w14:paraId="1C12D55C" w14:textId="77777777" w:rsidR="008E01F9" w:rsidRDefault="008E01F9" w:rsidP="008E01F9">
      <w:pPr>
        <w:jc w:val="both"/>
      </w:pPr>
    </w:p>
    <w:p w14:paraId="198FE804" w14:textId="77777777" w:rsidR="008E01F9" w:rsidRDefault="008E01F9" w:rsidP="008E01F9">
      <w:pPr>
        <w:pStyle w:val="Heading2"/>
        <w:spacing w:line="276" w:lineRule="auto"/>
        <w:jc w:val="both"/>
      </w:pPr>
      <w:bookmarkStart w:id="48" w:name="_8pjze5g1umdv" w:colFirst="0" w:colLast="0"/>
      <w:bookmarkEnd w:id="48"/>
      <w:r>
        <w:t>8.3</w:t>
      </w:r>
      <w:r>
        <w:tab/>
        <w:t>System Influence Factors (SIFs)</w:t>
      </w:r>
    </w:p>
    <w:p w14:paraId="40C4A0C5" w14:textId="77777777" w:rsidR="008E01F9" w:rsidRDefault="008E01F9" w:rsidP="008E01F9">
      <w:pPr>
        <w:spacing w:after="240"/>
        <w:jc w:val="both"/>
      </w:pPr>
      <w:r>
        <w:t xml:space="preserve">SIFs take into account the various impacts of parts of the system, such as hardware, software, application, network etc. on QoE. In a VR or XR scenario, the system has to ensure that the flow of video and sensor data is transmitted, processed, combined and viewed in a timely manner. </w:t>
      </w:r>
    </w:p>
    <w:p w14:paraId="52586BB3" w14:textId="77777777" w:rsidR="008E01F9" w:rsidRDefault="008E01F9" w:rsidP="008E01F9">
      <w:pPr>
        <w:spacing w:after="240"/>
        <w:jc w:val="both"/>
      </w:pPr>
      <w:r>
        <w:t xml:space="preserve">A SIF may determine the QoE and allow for indirect QoE monitoring once a formal relationship between QoE and SIF is established. </w:t>
      </w:r>
    </w:p>
    <w:p w14:paraId="25288C78" w14:textId="77777777" w:rsidR="008E01F9" w:rsidRDefault="008E01F9" w:rsidP="008E01F9">
      <w:pPr>
        <w:spacing w:after="240"/>
        <w:jc w:val="both"/>
      </w:pPr>
      <w:r>
        <w:t xml:space="preserve">However, a SIF-originated </w:t>
      </w:r>
      <w:r>
        <w:rPr>
          <w:i/>
        </w:rPr>
        <w:t>cause</w:t>
      </w:r>
      <w:r>
        <w:t xml:space="preserve"> of QoE degradation, such as data packet delay or losses in an Internet context, might not manifest itself immediately to the user, but transform throughout the communication and application stack [b-Minhas2013] into various perceivable </w:t>
      </w:r>
      <w:r>
        <w:rPr>
          <w:i/>
        </w:rPr>
        <w:t>effects</w:t>
      </w:r>
      <w:r>
        <w:t xml:space="preserve"> on features. For instance, wireless transmission errors due to fading entail retransmission delays and reductions of throughput, yielding lower quality and/or playback glitches. Such effects can however be mitigated by additional measures, e.g., packet loss concealment.</w:t>
      </w:r>
    </w:p>
    <w:p w14:paraId="1FA1944A" w14:textId="77777777" w:rsidR="008E01F9" w:rsidRDefault="008E01F9" w:rsidP="008E01F9">
      <w:pPr>
        <w:spacing w:after="240"/>
        <w:jc w:val="both"/>
        <w:rPr>
          <w:sz w:val="22"/>
          <w:szCs w:val="22"/>
        </w:rPr>
      </w:pPr>
      <w:r>
        <w:t>In the sequel, SIFs will be dealt with in a top-down fashion, from human/world related factors (Section 8.3.1) via rendering aspects (Section 8.3.2) to network and compression (Section 8.3.2).</w:t>
      </w:r>
    </w:p>
    <w:p w14:paraId="14C2934F" w14:textId="08B3BDF2" w:rsidR="008E01F9" w:rsidRDefault="008E01F9" w:rsidP="008E01F9">
      <w:pPr>
        <w:pStyle w:val="Heading3"/>
        <w:spacing w:before="240" w:after="240"/>
      </w:pPr>
      <w:bookmarkStart w:id="49" w:name="_suhc3yz2wpwt" w:colFirst="0" w:colLast="0"/>
      <w:bookmarkEnd w:id="49"/>
      <w:r>
        <w:t>8.3.1</w:t>
      </w:r>
      <w:r w:rsidR="0092164C">
        <w:tab/>
      </w:r>
      <w:r>
        <w:t>Human/world-related factors</w:t>
      </w:r>
    </w:p>
    <w:p w14:paraId="0799E890" w14:textId="77777777" w:rsidR="008E01F9" w:rsidRDefault="008E01F9" w:rsidP="008E01F9">
      <w:pPr>
        <w:spacing w:after="240"/>
        <w:jc w:val="both"/>
        <w:rPr>
          <w:color w:val="231F20"/>
        </w:rPr>
      </w:pPr>
      <w:r>
        <w:t>These high-level factors address degrees of freedom (Section 8.3.1.1), representation of the user (Section 8.3.1.2) as well as aspects of realism and style (Section 8.3.1.3), locomotion (Section 8.3.1.4</w:t>
      </w:r>
      <w:r>
        <w:rPr>
          <w:color w:val="231F20"/>
        </w:rPr>
        <w:t>),</w:t>
      </w:r>
      <w:r>
        <w:rPr>
          <w:b/>
          <w:color w:val="231F20"/>
        </w:rPr>
        <w:t xml:space="preserve"> </w:t>
      </w:r>
      <w:r>
        <w:rPr>
          <w:color w:val="231F20"/>
        </w:rPr>
        <w:t>positioning (Section 8.3.1.5) and proxemics (Section 8.3.1.6).</w:t>
      </w:r>
    </w:p>
    <w:p w14:paraId="367B8BE5" w14:textId="77777777" w:rsidR="008E01F9" w:rsidRDefault="008E01F9" w:rsidP="008E01F9">
      <w:pPr>
        <w:pStyle w:val="Heading4"/>
        <w:rPr>
          <w:color w:val="FF0000"/>
        </w:rPr>
      </w:pPr>
      <w:r>
        <w:t xml:space="preserve">8.3.1.1       </w:t>
      </w:r>
      <w:r>
        <w:tab/>
        <w:t xml:space="preserve"> Degrees of freedom</w:t>
      </w:r>
    </w:p>
    <w:p w14:paraId="3CB290C8" w14:textId="77777777" w:rsidR="008E01F9" w:rsidRDefault="008E01F9" w:rsidP="008E01F9">
      <w:pPr>
        <w:spacing w:after="240"/>
        <w:jc w:val="both"/>
        <w:rPr>
          <w:color w:val="FF0000"/>
        </w:rPr>
      </w:pPr>
      <w:r>
        <w:t xml:space="preserve">In XR, </w:t>
      </w:r>
      <w:r>
        <w:rPr>
          <w:i/>
        </w:rPr>
        <w:t>degrees of freedom</w:t>
      </w:r>
      <w:r>
        <w:t xml:space="preserve"> are defined as the basic ways that an object or avatar can move. There are six degrees of freedom in 3D space, rotational movement around the x, y and z axes (pitch, yaw and roll), and translational movement along those axes (forward/backward (surge), left/right (strafe), and up/down (elevation)). </w:t>
      </w:r>
    </w:p>
    <w:p w14:paraId="2969122A" w14:textId="77777777" w:rsidR="008E01F9" w:rsidRDefault="008E01F9" w:rsidP="00394F72">
      <w:pPr>
        <w:pStyle w:val="Figure"/>
      </w:pPr>
      <w:r>
        <w:rPr>
          <w:noProof/>
          <w:lang w:val="de-DE"/>
        </w:rPr>
        <w:lastRenderedPageBreak/>
        <w:drawing>
          <wp:inline distT="114300" distB="114300" distL="114300" distR="114300" wp14:anchorId="487759CC" wp14:editId="25BCCC6A">
            <wp:extent cx="3477578" cy="2850207"/>
            <wp:effectExtent l="0" t="0" r="0" b="0"/>
            <wp:docPr id="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5"/>
                    <a:srcRect/>
                    <a:stretch>
                      <a:fillRect/>
                    </a:stretch>
                  </pic:blipFill>
                  <pic:spPr>
                    <a:xfrm>
                      <a:off x="0" y="0"/>
                      <a:ext cx="3477578" cy="2850207"/>
                    </a:xfrm>
                    <a:prstGeom prst="rect">
                      <a:avLst/>
                    </a:prstGeom>
                    <a:ln/>
                  </pic:spPr>
                </pic:pic>
              </a:graphicData>
            </a:graphic>
          </wp:inline>
        </w:drawing>
      </w:r>
    </w:p>
    <w:p w14:paraId="3EEA9001" w14:textId="77777777" w:rsidR="008E01F9" w:rsidRDefault="008E01F9" w:rsidP="00394F72">
      <w:pPr>
        <w:pStyle w:val="FigureNotitle0"/>
      </w:pPr>
      <w:r>
        <w:t>Figure 2: Illustration of 6 degrees of freedom.</w:t>
      </w:r>
    </w:p>
    <w:p w14:paraId="47A3396D" w14:textId="77777777" w:rsidR="008E01F9" w:rsidRDefault="008E01F9" w:rsidP="008E01F9">
      <w:pPr>
        <w:spacing w:after="240"/>
        <w:jc w:val="both"/>
      </w:pPr>
      <w:r>
        <w:t xml:space="preserve">A common distinction in XR is between three degrees of freedom (3DoF) or fully six degrees of freedom (6DoF). This both relates to the tracking of the physical movement of a device, but also to how the avatar and objects controlled by the devices can move in the virtual environment. Usually 3DoF means that rotational movement can be tracked and acted upon, but the object or avatar controlled by the user does not change its position.  </w:t>
      </w:r>
    </w:p>
    <w:p w14:paraId="5BDED3E0" w14:textId="77777777" w:rsidR="008E01F9" w:rsidRDefault="008E01F9" w:rsidP="008E01F9">
      <w:pPr>
        <w:spacing w:after="240"/>
        <w:jc w:val="both"/>
      </w:pPr>
      <w:r>
        <w:t xml:space="preserve">Comparison between subjective experiments conducted in 3DoF and 6DoF environments showed a statistical effect of DoF on the collected scores for at least one out of two test contents under exam [b-Subramanyam2020]. Moreover, on average more time was spent on observing contents in 6DoF, compared to the 3DoF counterpart. </w:t>
      </w:r>
    </w:p>
    <w:p w14:paraId="0E732AF2" w14:textId="77777777" w:rsidR="008E01F9" w:rsidRDefault="008E01F9" w:rsidP="008E01F9">
      <w:pPr>
        <w:spacing w:after="240"/>
        <w:jc w:val="both"/>
      </w:pPr>
      <w:r>
        <w:t>DoF influences and is influenced by the content chosen to represent the XR environment: having 6DoF in a 360° video will not be useful, as the content does not change even if the user changes its position (actually, it might shatter the illusion of presence, since there is no parallax effect). Visualizing a 3D content in 3DoF will mean that some parts will never be visible/accessible.</w:t>
      </w:r>
    </w:p>
    <w:p w14:paraId="73432EF9" w14:textId="728AA748" w:rsidR="008E01F9" w:rsidRDefault="008E01F9" w:rsidP="008E01F9">
      <w:pPr>
        <w:pStyle w:val="Heading4"/>
      </w:pPr>
      <w:r>
        <w:t>8.3.1.</w:t>
      </w:r>
      <w:r w:rsidR="0092164C">
        <w:t>2</w:t>
      </w:r>
      <w:r w:rsidR="0092164C">
        <w:tab/>
      </w:r>
      <w:r>
        <w:t>Representation of users</w:t>
      </w:r>
    </w:p>
    <w:p w14:paraId="736DF4F9" w14:textId="77777777" w:rsidR="008E01F9" w:rsidRDefault="008E01F9" w:rsidP="008E01F9">
      <w:pPr>
        <w:spacing w:after="240"/>
        <w:jc w:val="both"/>
      </w:pPr>
      <w:r>
        <w:t>Degree of user modelling is a characteristic feature of collaborative virtual environments with effects on co-presence [b-Steed2015]. A first distinction in user representation is whether it is achieved through the insertion of a real-time video stream in the scene, or through an animated avatar.</w:t>
      </w:r>
    </w:p>
    <w:p w14:paraId="5C5BF1A9" w14:textId="77777777" w:rsidR="008E01F9" w:rsidRDefault="008E01F9" w:rsidP="008E01F9">
      <w:pPr>
        <w:spacing w:after="240"/>
        <w:jc w:val="both"/>
      </w:pPr>
      <w:r>
        <w:t xml:space="preserve">Real-time video user representation (sometimes described as photo-realistic avatars) display a real-time capture of the remote user within the scene. This can be done using conventional 2D video or a 3D representation, typically based on point clouds. </w:t>
      </w:r>
    </w:p>
    <w:p w14:paraId="4E52CE50" w14:textId="77777777" w:rsidR="008E01F9" w:rsidRDefault="008E01F9" w:rsidP="008E01F9">
      <w:pPr>
        <w:spacing w:after="240"/>
        <w:jc w:val="both"/>
      </w:pPr>
      <w:r>
        <w:t xml:space="preserve">Animated avatars may show different levels of realism with respect to its animation capabilities and its appearance. </w:t>
      </w:r>
      <w:r>
        <w:rPr>
          <w:b/>
        </w:rPr>
        <w:t>Puppeteered avatars</w:t>
      </w:r>
      <w:r>
        <w:t xml:space="preserve"> present the first stage of modelling, where users can customize the avatar but controlling them happens only through an interface. </w:t>
      </w:r>
      <w:r>
        <w:rPr>
          <w:b/>
        </w:rPr>
        <w:t>Tracked avatars</w:t>
      </w:r>
      <w:r>
        <w:t xml:space="preserve"> involve tracking a few or multiple points such as the limbs and joints of the user’s body in addition to head tracking in order to create a virtual representation that is able to convey more information about the behavior and mood of the user. </w:t>
      </w:r>
      <w:r>
        <w:rPr>
          <w:b/>
        </w:rPr>
        <w:t>Reconstructed avatars</w:t>
      </w:r>
      <w:r>
        <w:t xml:space="preserve">, or captured avatars, requires a full 3D capture of the user’s appearance and movement in real time. Ideally the facial expression and eye gaze of the animated avatar also matches the users in real time. </w:t>
      </w:r>
    </w:p>
    <w:p w14:paraId="59C1BECF" w14:textId="77777777" w:rsidR="008E01F9" w:rsidRDefault="008E01F9" w:rsidP="008E01F9">
      <w:pPr>
        <w:spacing w:after="240"/>
        <w:jc w:val="both"/>
      </w:pPr>
      <w:r>
        <w:lastRenderedPageBreak/>
        <w:t>Comparisons between different types of user representation in XR meetings have been reported in [b-Gunkel2018, b-Li2019]</w:t>
      </w:r>
    </w:p>
    <w:p w14:paraId="78C1ECAE" w14:textId="77777777" w:rsidR="008E01F9" w:rsidRDefault="008E01F9" w:rsidP="008E01F9">
      <w:pPr>
        <w:spacing w:after="240"/>
        <w:jc w:val="both"/>
      </w:pPr>
      <w:r>
        <w:t xml:space="preserve">Additionally, the representation of the user’s own avatar within the virtual environment is relevant, particularly with respect to the user’s sense of embodiment [b-Gonzalez-Franco2018]. The representation of the user may be provided as </w:t>
      </w:r>
      <w:r>
        <w:rPr>
          <w:b/>
        </w:rPr>
        <w:t>computer-generated avatars</w:t>
      </w:r>
      <w:r>
        <w:t xml:space="preserve"> or as a </w:t>
      </w:r>
      <w:r>
        <w:rPr>
          <w:b/>
        </w:rPr>
        <w:t>segmented video stream</w:t>
      </w:r>
      <w:r>
        <w:t xml:space="preserve"> from an egocentric capture. In either case, the representation may include only the hands, or the full user body [b-Gonzalez-Sosa2020]. A comparison between computer-generated and segmented self-representations can be found in [b-Villegas2020].</w:t>
      </w:r>
    </w:p>
    <w:p w14:paraId="42A1B51D" w14:textId="4C40621A" w:rsidR="008E01F9" w:rsidRDefault="008E01F9" w:rsidP="008E01F9">
      <w:pPr>
        <w:pStyle w:val="Heading4"/>
      </w:pPr>
      <w:r>
        <w:t>8.3.1.</w:t>
      </w:r>
      <w:r w:rsidR="0092164C">
        <w:t>3</w:t>
      </w:r>
      <w:r w:rsidR="0092164C">
        <w:tab/>
      </w:r>
      <w:r>
        <w:t>Realism/style</w:t>
      </w:r>
    </w:p>
    <w:p w14:paraId="50ADF493" w14:textId="77777777" w:rsidR="008E01F9" w:rsidRDefault="008E01F9" w:rsidP="008E01F9">
      <w:pPr>
        <w:spacing w:after="240"/>
        <w:jc w:val="both"/>
      </w:pPr>
      <w:r>
        <w:t>Realistic video background enhances the feeling of co-presence and realistic avatars increase the sensation of trust in a teleconference [b-Jo2017a]. Mismatching levels of realism between background and avatar may reduce the feeling of body ownership and presence [b-Jo2017b].</w:t>
      </w:r>
    </w:p>
    <w:p w14:paraId="3C8C797A" w14:textId="77777777" w:rsidR="008E01F9" w:rsidRDefault="008E01F9" w:rsidP="008E01F9">
      <w:pPr>
        <w:spacing w:after="240"/>
        <w:jc w:val="both"/>
      </w:pPr>
      <w:r>
        <w:t>There are various properties of an avatar that are contributing to realism, such as eye contact, body movement, facial expression, gestures, proxemic cues [b-Sharan2022], and temporal aspects such as a repetition pattern of simulated movements. With respect to the degree of realism, an uncanny valley effect can arise when there is a mismatch between the visual and behavioral degrees of realism (e.g., a highly photorealistic avatar showing an unnatural behavior) [b-Diel2021].</w:t>
      </w:r>
    </w:p>
    <w:p w14:paraId="741D217F" w14:textId="5D005D7B" w:rsidR="008E01F9" w:rsidRDefault="008E01F9" w:rsidP="008E01F9">
      <w:pPr>
        <w:pStyle w:val="Heading4"/>
      </w:pPr>
      <w:r>
        <w:t>8.3.1.</w:t>
      </w:r>
      <w:r w:rsidR="0092164C">
        <w:t>4</w:t>
      </w:r>
      <w:r w:rsidR="0092164C">
        <w:tab/>
      </w:r>
      <w:r>
        <w:t>Locomotion</w:t>
      </w:r>
    </w:p>
    <w:p w14:paraId="1C9AFFB9" w14:textId="77777777" w:rsidR="008E01F9" w:rsidRDefault="008E01F9" w:rsidP="008E01F9">
      <w:pPr>
        <w:spacing w:after="240"/>
        <w:jc w:val="both"/>
        <w:rPr>
          <w:color w:val="0000FF"/>
        </w:rPr>
      </w:pPr>
      <w:r>
        <w:t>Locomotion is defined as the act or power of moving from place to place. This concept also transfers into XR locomotion being an essential interaction mode [b-Bozgeyikli2016]. XR locomotion needs to support either active or passive navigation in the virtual world through walking, driving, flying or other modes. Because of the increased degrees of freedom in viewing virtual worlds, different postures also need to be considered such as seated, standing, and walking [b-Zielasko2020]. In [b-Nguyen-Vo2021], four locomotion interfaces allowing for limited translation combined with full rotation were used in a mixed-method experiment to compare the associated four levels of translational cues in terms of measures such as task performance, task load, and simulator sickness. Further, seating arrangements include fixed chair, swivel chair, couch, or cave automatic virtual environment (CAVE) like environment. The influence of standing and seated viewing of 360°-degree videos on an HMD regarding head movements and viewing behavior changes over time has been studied in [b-Elwardy2021]. The analysis of the results from a subjective experiment indicate that each participant has their own distinct exploration behavior for standing viewing which becomes less different among the participants for seated viewing. Further, amplitude of head movements were higher in standing viewing compared to when being seated with high rotations in yaw followed by pitch and then roll.</w:t>
      </w:r>
    </w:p>
    <w:p w14:paraId="015115FB" w14:textId="720F0FF2" w:rsidR="008E01F9" w:rsidRDefault="008E01F9" w:rsidP="008E01F9">
      <w:pPr>
        <w:pStyle w:val="Heading4"/>
      </w:pPr>
      <w:r>
        <w:t>8.3.1.</w:t>
      </w:r>
      <w:r w:rsidR="0092164C">
        <w:t>5</w:t>
      </w:r>
      <w:r w:rsidR="0092164C">
        <w:tab/>
      </w:r>
      <w:r>
        <w:t>Positioning</w:t>
      </w:r>
    </w:p>
    <w:p w14:paraId="1EC4F363" w14:textId="77777777" w:rsidR="008E01F9" w:rsidRDefault="008E01F9" w:rsidP="008E01F9">
      <w:pPr>
        <w:spacing w:after="240"/>
        <w:jc w:val="both"/>
      </w:pPr>
      <w:r>
        <w:t>For two-way immersive telepresence communication, the local user is represented by an avatar to the remote user. The placement and movements of the avatar of the local user need to adhere to the semantics of the remote user’s environment. If the configurations of the two remote spaces are identical, this can be achieved through a rigid transformation between both spaces, and the local user’s placement and motion can be captured and applied to the remote avatar [b-Orts-Escolano2016].  However, users are likely to be in rooms with different layout, size and furniture arrangement, so that a simple mapping between the two spaces does not exist. In this case, one needs a non-trivial method that determines the placement and movement of the avatar according to the configuration of the local environment so that the local user can properly recognize what the remote user is doing and interact through an avatar [b-Yoon2022].</w:t>
      </w:r>
    </w:p>
    <w:p w14:paraId="04B9CF19" w14:textId="46E3B611" w:rsidR="008E01F9" w:rsidRDefault="008E01F9" w:rsidP="008E01F9">
      <w:pPr>
        <w:pStyle w:val="Heading4"/>
      </w:pPr>
      <w:r>
        <w:lastRenderedPageBreak/>
        <w:t>8.3.1.</w:t>
      </w:r>
      <w:r w:rsidR="0092164C">
        <w:t>6</w:t>
      </w:r>
      <w:r w:rsidR="0092164C">
        <w:tab/>
      </w:r>
      <w:r>
        <w:t>Proxemics</w:t>
      </w:r>
    </w:p>
    <w:p w14:paraId="674A9E8D" w14:textId="77777777" w:rsidR="008E01F9" w:rsidRPr="0041770D" w:rsidRDefault="008E01F9" w:rsidP="008E01F9">
      <w:pPr>
        <w:spacing w:after="240"/>
        <w:jc w:val="both"/>
      </w:pPr>
      <w:r>
        <w:t xml:space="preserve">Inter-person distances should adhere to real-life conventions. People utilize space to communicate comfort, anger, friendliness, and standoffishness through four distance </w:t>
      </w:r>
      <w:r w:rsidRPr="0041770D">
        <w:t>zones</w:t>
      </w:r>
      <w:r w:rsidRPr="0041770D">
        <w:rPr>
          <w:rFonts w:eastAsia="Roboto"/>
          <w:highlight w:val="white"/>
        </w:rPr>
        <w:t xml:space="preserve"> </w:t>
      </w:r>
      <w:r w:rsidRPr="0041770D">
        <w:rPr>
          <w:rFonts w:eastAsia="Roboto"/>
          <w:lang w:val="en-US"/>
        </w:rPr>
        <w:t>[b-Sharma2022]</w:t>
      </w:r>
    </w:p>
    <w:p w14:paraId="34B16CB7" w14:textId="77777777" w:rsidR="008E01F9" w:rsidRDefault="008E01F9" w:rsidP="008E01F9">
      <w:pPr>
        <w:numPr>
          <w:ilvl w:val="0"/>
          <w:numId w:val="18"/>
        </w:numPr>
        <w:spacing w:before="240"/>
        <w:jc w:val="both"/>
      </w:pPr>
      <w:r>
        <w:t>intimate (&lt; 0.45 m),</w:t>
      </w:r>
    </w:p>
    <w:p w14:paraId="15A4706A" w14:textId="77777777" w:rsidR="008E01F9" w:rsidRDefault="008E01F9" w:rsidP="008E01F9">
      <w:pPr>
        <w:numPr>
          <w:ilvl w:val="0"/>
          <w:numId w:val="18"/>
        </w:numPr>
        <w:spacing w:before="0"/>
        <w:jc w:val="both"/>
      </w:pPr>
      <w:r>
        <w:t>personal (0.45 – 1.2 m),</w:t>
      </w:r>
    </w:p>
    <w:p w14:paraId="6079545E" w14:textId="77777777" w:rsidR="008E01F9" w:rsidRDefault="008E01F9" w:rsidP="008E01F9">
      <w:pPr>
        <w:numPr>
          <w:ilvl w:val="0"/>
          <w:numId w:val="18"/>
        </w:numPr>
        <w:spacing w:before="0"/>
        <w:jc w:val="both"/>
      </w:pPr>
      <w:r>
        <w:t>social (1.2 – 3.6 m), and</w:t>
      </w:r>
    </w:p>
    <w:p w14:paraId="29A68D64" w14:textId="77777777" w:rsidR="008E01F9" w:rsidRDefault="008E01F9" w:rsidP="008E01F9">
      <w:pPr>
        <w:numPr>
          <w:ilvl w:val="0"/>
          <w:numId w:val="18"/>
        </w:numPr>
        <w:spacing w:before="0" w:after="240"/>
        <w:jc w:val="both"/>
      </w:pPr>
      <w:r>
        <w:t>public (&gt;3.6 m).</w:t>
      </w:r>
    </w:p>
    <w:p w14:paraId="758AF6BD" w14:textId="77777777" w:rsidR="008E01F9" w:rsidRDefault="008E01F9" w:rsidP="008E01F9">
      <w:pPr>
        <w:spacing w:before="240" w:after="240"/>
        <w:jc w:val="both"/>
        <w:rPr>
          <w:b/>
        </w:rPr>
      </w:pPr>
      <w:r>
        <w:t>Each distance zone has a specific range of proximity affording certain types of communication. For example, the intimate zone is common for communicating through physical contact activities such as expressing affection, comfort, physical stress, protection. People show similar proxemic spacing behavior in virtual worlds as in the physical world [b-Williamson2021, b-Yee2007]. Perceived interpersonal distance (proximity) is a significant determinant of social presence and quality of communication in immersive VR [b-Ennis2012]. Like in real life, invasions of one’s personal space by strangers (avatars) may feel highly uncomfortable in VR/XR. Social communication systems can impose personal boundaries that prevent avatars from coming within a set distance of each other, creating more personal space for people and making it easier to avoid unwanted interactions.</w:t>
      </w:r>
    </w:p>
    <w:p w14:paraId="6F28A073" w14:textId="28CC8D75" w:rsidR="008E01F9" w:rsidRPr="003518F4" w:rsidRDefault="008E01F9" w:rsidP="008E01F9">
      <w:pPr>
        <w:pStyle w:val="Heading3"/>
      </w:pPr>
      <w:bookmarkStart w:id="50" w:name="_42g4ff6m4aju" w:colFirst="0" w:colLast="0"/>
      <w:bookmarkEnd w:id="50"/>
      <w:r w:rsidRPr="003518F4">
        <w:t>8.3.2</w:t>
      </w:r>
      <w:r w:rsidR="0092164C">
        <w:tab/>
      </w:r>
      <w:r w:rsidRPr="003518F4">
        <w:t>Rendering</w:t>
      </w:r>
    </w:p>
    <w:p w14:paraId="04A05C49" w14:textId="77777777" w:rsidR="008E01F9" w:rsidRDefault="008E01F9" w:rsidP="008E01F9">
      <w:pPr>
        <w:spacing w:before="240" w:after="240"/>
      </w:pPr>
      <w:r>
        <w:t xml:space="preserve">This section starts from the VR-perspective, with focus on single user rendering including time warp and audio (Section 8.3.2.1), which is extended to a multi-party rendering scenario (Section 8.3.2.2) and short reviews of rendering errors (Section 8.3.2.3), resolutions (Section 8.3.2.4), foveated rendering (Section 8.3.2.5) and overlaying of images (Section 8.3.2.6). </w:t>
      </w:r>
    </w:p>
    <w:p w14:paraId="1700FD6A" w14:textId="4A5B8ED4" w:rsidR="008E01F9" w:rsidRDefault="008E01F9" w:rsidP="008E01F9">
      <w:pPr>
        <w:pStyle w:val="Heading4"/>
      </w:pPr>
      <w:r>
        <w:t>8.3.2.</w:t>
      </w:r>
      <w:r w:rsidR="0092164C">
        <w:t>1</w:t>
      </w:r>
      <w:r w:rsidR="0092164C">
        <w:tab/>
      </w:r>
      <w:r>
        <w:t>Rendering per client</w:t>
      </w:r>
    </w:p>
    <w:p w14:paraId="1C069B62" w14:textId="3583463D" w:rsidR="008E01F9" w:rsidRDefault="008E01F9" w:rsidP="008E01F9">
      <w:pPr>
        <w:spacing w:after="240"/>
        <w:jc w:val="both"/>
      </w:pPr>
      <w:r>
        <w:t xml:space="preserve">Figure </w:t>
      </w:r>
      <w:r w:rsidR="0092164C">
        <w:t xml:space="preserve">3 </w:t>
      </w:r>
      <w:r>
        <w:t>illustrates the main components of the reference system for single-user rendering per client.</w:t>
      </w:r>
    </w:p>
    <w:p w14:paraId="4483CA34" w14:textId="77777777" w:rsidR="008E01F9" w:rsidRDefault="008E01F9" w:rsidP="00394F72">
      <w:pPr>
        <w:pStyle w:val="Figure"/>
      </w:pPr>
      <w:r>
        <w:rPr>
          <w:noProof/>
          <w:lang w:val="de-DE"/>
        </w:rPr>
        <w:lastRenderedPageBreak/>
        <w:drawing>
          <wp:inline distT="114300" distB="114300" distL="114300" distR="114300" wp14:anchorId="56FAC829" wp14:editId="6DDDBBF0">
            <wp:extent cx="6119820" cy="3733800"/>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6"/>
                    <a:srcRect/>
                    <a:stretch>
                      <a:fillRect/>
                    </a:stretch>
                  </pic:blipFill>
                  <pic:spPr>
                    <a:xfrm>
                      <a:off x="0" y="0"/>
                      <a:ext cx="6119820" cy="3733800"/>
                    </a:xfrm>
                    <a:prstGeom prst="rect">
                      <a:avLst/>
                    </a:prstGeom>
                    <a:ln/>
                  </pic:spPr>
                </pic:pic>
              </a:graphicData>
            </a:graphic>
          </wp:inline>
        </w:drawing>
      </w:r>
    </w:p>
    <w:p w14:paraId="0EF1114C" w14:textId="082A693B" w:rsidR="008E01F9" w:rsidRDefault="008E01F9" w:rsidP="00394F72">
      <w:pPr>
        <w:pStyle w:val="FigureNotitle0"/>
      </w:pPr>
      <w:r>
        <w:t xml:space="preserve">Figure </w:t>
      </w:r>
      <w:r w:rsidR="0092164C">
        <w:t>3</w:t>
      </w:r>
      <w:r>
        <w:t>: Reference system for single user rendering per client.</w:t>
      </w:r>
    </w:p>
    <w:p w14:paraId="5131535F" w14:textId="5E13B275" w:rsidR="008E01F9" w:rsidRDefault="008E01F9" w:rsidP="008E01F9">
      <w:pPr>
        <w:spacing w:after="240"/>
        <w:jc w:val="both"/>
      </w:pPr>
      <w:r>
        <w:t xml:space="preserve">Referring to Figure </w:t>
      </w:r>
      <w:r w:rsidR="0092164C">
        <w:t>3</w:t>
      </w:r>
      <w:r>
        <w:t xml:space="preserve">, rendering on both a distributed and a local system can be split up into two parts:  (1) Create an image on the GPU based on control signals from the client, descriptions of models, physics, textures, viewport and lighting that are already available in the renderer’s CPU and GPU, and eventually (2) adjust the image to be displayed remotely, which is usually not needed for local rendering. </w:t>
      </w:r>
    </w:p>
    <w:p w14:paraId="6C583747" w14:textId="77777777" w:rsidR="008E01F9" w:rsidRDefault="008E01F9" w:rsidP="008E01F9">
      <w:pPr>
        <w:spacing w:after="240"/>
        <w:jc w:val="both"/>
      </w:pPr>
      <w:r>
        <w:t>In VR or XR, this image is to be shown on the head mounted display (HMD) as quickly as possible. However, given that miniscule movements of the head must coincide with what is displayed in order to avoid motion sickness, the Motion-To-Photon (MTP) delay needs to be minimal, ideally not exceeding one inter-frame time, which for frame rates above 50 fps is an even stricter requirement than the 20 ms reported in [b-TR26.918].</w:t>
      </w:r>
    </w:p>
    <w:p w14:paraId="0F4DA1D9" w14:textId="77777777" w:rsidR="008E01F9" w:rsidRDefault="008E01F9" w:rsidP="008E01F9">
      <w:pPr>
        <w:spacing w:after="240"/>
        <w:jc w:val="both"/>
      </w:pPr>
      <w:r>
        <w:t xml:space="preserve">There are two possibilities; either have content and viewport updates synchronized, or have them separated. </w:t>
      </w:r>
    </w:p>
    <w:p w14:paraId="3046A978" w14:textId="77777777" w:rsidR="008E01F9" w:rsidRDefault="008E01F9" w:rsidP="008E01F9">
      <w:pPr>
        <w:spacing w:after="240"/>
        <w:jc w:val="both"/>
      </w:pPr>
      <w:r w:rsidRPr="004C6F3E">
        <w:t>In the synchronized case, MTP applies to all movements together. This MTP is the time it takes from position sensing via rendering to displaying the frame, in Figure 1 described by path P1: {H &amp; A}→B→C→D→B→E→G→F. There are many contributions by various entities along this path to the total delay by the sensing logic, application logic (virtual world and avatar calculations), CPU/GPU processing, viewport rendering and lighting calculation, image encoding, network transmissions, sensor buffers, etc.  Any delay affects both content and viewport latencies in the same way. In case the actual and perceived instants of movements grow beyond one inter-frame time, the risk for nausea increases [b-Norman2018].</w:t>
      </w:r>
    </w:p>
    <w:p w14:paraId="21E03DCF" w14:textId="77777777" w:rsidR="008E01F9" w:rsidRPr="0092164C" w:rsidRDefault="008E01F9" w:rsidP="008E01F9">
      <w:pPr>
        <w:spacing w:after="240"/>
        <w:jc w:val="both"/>
      </w:pPr>
      <w:r w:rsidRPr="00394F72">
        <w:rPr>
          <w:rFonts w:eastAsia="Cardo"/>
        </w:rPr>
        <w:t>Breaking the synchronicity by separating content and viewport updates makes it possible to adjust the viewport based on the head movement alone, before all content-related input has been processed. This delay is then described by the path P2: H→G→F within E. Accordingly, the Head-MTP delay (path P2) is much shorter than the content delay (path P1).</w:t>
      </w:r>
    </w:p>
    <w:p w14:paraId="32AFE02D" w14:textId="77777777" w:rsidR="008E01F9" w:rsidRDefault="008E01F9" w:rsidP="008E01F9">
      <w:pPr>
        <w:spacing w:after="240"/>
        <w:jc w:val="both"/>
        <w:rPr>
          <w:i/>
        </w:rPr>
      </w:pPr>
      <w:r>
        <w:rPr>
          <w:i/>
        </w:rPr>
        <w:lastRenderedPageBreak/>
        <w:t>Time warp</w:t>
      </w:r>
    </w:p>
    <w:p w14:paraId="2037FE1C" w14:textId="77777777" w:rsidR="008E01F9" w:rsidRDefault="008E01F9" w:rsidP="008E01F9">
      <w:pPr>
        <w:spacing w:after="240"/>
        <w:jc w:val="both"/>
      </w:pPr>
      <w:r>
        <w:t xml:space="preserve">One approach to speeding up the viewport update process is called </w:t>
      </w:r>
      <w:r>
        <w:rPr>
          <w:i/>
        </w:rPr>
        <w:t>time warp</w:t>
      </w:r>
      <w:r>
        <w:t xml:space="preserve"> [b-vanWaveren2016]. This implies increasing the content delay by one frame in order to be able to slightly adjust the image laterally to cater for small head movements, as seen from most recent sensor data (H). To enable this, the first rendering step (D) is actually performed with a resolution that is higher than that of the display so that the adjusted image is a subset of the originally rendered image. </w:t>
      </w:r>
    </w:p>
    <w:p w14:paraId="1F1C30E5" w14:textId="34B20AEC" w:rsidR="008E01F9" w:rsidRDefault="008E01F9" w:rsidP="008E01F9">
      <w:pPr>
        <w:spacing w:after="240"/>
        <w:jc w:val="both"/>
      </w:pPr>
      <w:r>
        <w:t xml:space="preserve">These slight adjustments improve QoE and allow for higher MTPs by smoothing out 1st-stage rendering hiccups and frame losses. Note that time warp, and similar techniques such as space warp, reprojection, etc., are also used in locally rendered devices to handle unplanned jitter from the renderer (see Figure </w:t>
      </w:r>
      <w:r w:rsidR="0092164C">
        <w:t xml:space="preserve">4 </w:t>
      </w:r>
      <w:r>
        <w:t>for an example).</w:t>
      </w:r>
    </w:p>
    <w:p w14:paraId="178C87ED" w14:textId="77777777" w:rsidR="008E01F9" w:rsidRDefault="008E01F9" w:rsidP="008E01F9">
      <w:pPr>
        <w:spacing w:after="240"/>
        <w:jc w:val="both"/>
      </w:pPr>
      <w:r>
        <w:t>In both synchronized and separated cases, barrel distortion to minimize lens distortion effects [b-Watson1995] and other display specific adjustments are performed in step G to optimize the perception of the flat image on a HMD.</w:t>
      </w:r>
    </w:p>
    <w:p w14:paraId="0547548F" w14:textId="77777777" w:rsidR="008E01F9" w:rsidRDefault="008E01F9" w:rsidP="00394F72">
      <w:pPr>
        <w:pStyle w:val="Figure"/>
      </w:pPr>
      <w:r>
        <w:rPr>
          <w:noProof/>
          <w:lang w:val="de-DE"/>
        </w:rPr>
        <w:drawing>
          <wp:inline distT="114300" distB="114300" distL="114300" distR="114300" wp14:anchorId="6E7FC75E" wp14:editId="3710519E">
            <wp:extent cx="6119820" cy="32258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7"/>
                    <a:srcRect/>
                    <a:stretch>
                      <a:fillRect/>
                    </a:stretch>
                  </pic:blipFill>
                  <pic:spPr>
                    <a:xfrm>
                      <a:off x="0" y="0"/>
                      <a:ext cx="6119820" cy="3225800"/>
                    </a:xfrm>
                    <a:prstGeom prst="rect">
                      <a:avLst/>
                    </a:prstGeom>
                    <a:ln/>
                  </pic:spPr>
                </pic:pic>
              </a:graphicData>
            </a:graphic>
          </wp:inline>
        </w:drawing>
      </w:r>
    </w:p>
    <w:p w14:paraId="1C83B40A" w14:textId="2D59C019" w:rsidR="008E01F9" w:rsidRDefault="008E01F9" w:rsidP="00394F72">
      <w:pPr>
        <w:pStyle w:val="FigureNotitle0"/>
      </w:pPr>
      <w:r>
        <w:t xml:space="preserve">Figure </w:t>
      </w:r>
      <w:r w:rsidR="0092164C">
        <w:t>4</w:t>
      </w:r>
      <w:r>
        <w:t>: Transition from flat to lens compensated and time warped image (performed on a local GPU). Original image captured from the Tears of steel movie [b-Tearsofsteel2012].</w:t>
      </w:r>
    </w:p>
    <w:p w14:paraId="039E9F0E" w14:textId="77777777" w:rsidR="008E01F9" w:rsidRDefault="008E01F9" w:rsidP="008E01F9">
      <w:pPr>
        <w:spacing w:after="240"/>
        <w:jc w:val="both"/>
        <w:rPr>
          <w:i/>
        </w:rPr>
      </w:pPr>
      <w:r>
        <w:rPr>
          <w:i/>
        </w:rPr>
        <w:t>Audio rendering</w:t>
      </w:r>
    </w:p>
    <w:p w14:paraId="77489122" w14:textId="77777777" w:rsidR="008E01F9" w:rsidRDefault="008E01F9" w:rsidP="008E01F9">
      <w:pPr>
        <w:spacing w:after="240"/>
        <w:jc w:val="both"/>
      </w:pPr>
      <w:r>
        <w:t xml:space="preserve">Various degrees of spatial audio rendering may have implications on the QoE. Providing spatial audio within a single shared acoustic space, as opposed to each participant's local acoustic background, may increase QoE constitutes such as immersion and presence, and potentially task performance. More complex representations of sound sources using directivity can also be modelled which describe the 360° propagation sound level, as a function of the source’s size, shape, and material properties. Combined with an avatars’ head orientation driven by the tracked user, source directivity may provide more clarity towards emphasizing the intended recipient of a dialogue exchange in a multi-user scenario. Conversely, the use of </w:t>
      </w:r>
      <w:r>
        <w:rPr>
          <w:i/>
        </w:rPr>
        <w:t>head-related transfer functions</w:t>
      </w:r>
      <w:r>
        <w:t xml:space="preserve"> (HRTF) models the directivity of the receiver (listener) used to deliver binaural spatial audio. Sound mediation depends on the placement of the speakers, e.g., over the ears (HTC Vive) or close to them (Oculus Quest 2).</w:t>
      </w:r>
    </w:p>
    <w:p w14:paraId="35F4B645" w14:textId="77777777" w:rsidR="008E01F9" w:rsidRDefault="008E01F9" w:rsidP="008E01F9">
      <w:pPr>
        <w:spacing w:after="240"/>
        <w:jc w:val="both"/>
      </w:pPr>
      <w:r>
        <w:lastRenderedPageBreak/>
        <w:t xml:space="preserve">This will probably be handled in the same way as the “split” rendering described in Section 8.3.2.2, with the main audio “space” rendered on the server and the HRTF filtering done in the client. Ambisonics in the AR/VR environment can be used to create a “recording” from the virtual space that then can be delivered to the HRTF algorithm to create the sound that is presented to the ears via headphones or speakers using crosstalk-cancellation. A key performance measure in this context is the </w:t>
      </w:r>
      <w:r>
        <w:rPr>
          <w:i/>
        </w:rPr>
        <w:t>Motion-To-Sound</w:t>
      </w:r>
      <w:r>
        <w:t xml:space="preserve"> (MTS) delay. </w:t>
      </w:r>
    </w:p>
    <w:p w14:paraId="080144B8" w14:textId="77777777" w:rsidR="008E01F9" w:rsidRDefault="008E01F9" w:rsidP="008E01F9">
      <w:pPr>
        <w:spacing w:after="240"/>
        <w:jc w:val="both"/>
      </w:pPr>
      <w:r>
        <w:t>From a physiological point of view, the location of audio sources is strongly influenced by visual information [b-Hershey1999].</w:t>
      </w:r>
    </w:p>
    <w:p w14:paraId="33B5FD8B" w14:textId="672B5A0B" w:rsidR="008E01F9" w:rsidRDefault="008E01F9" w:rsidP="008E01F9">
      <w:pPr>
        <w:pStyle w:val="Heading4"/>
      </w:pPr>
      <w:r>
        <w:t>8.3.2.</w:t>
      </w:r>
      <w:r w:rsidR="0092164C">
        <w:t>2</w:t>
      </w:r>
      <w:r w:rsidR="0092164C">
        <w:tab/>
      </w:r>
      <w:r>
        <w:t>Multi-party effects on rendering</w:t>
      </w:r>
    </w:p>
    <w:p w14:paraId="67CC87E6" w14:textId="052A4578" w:rsidR="008E01F9" w:rsidRDefault="008E01F9" w:rsidP="008E01F9">
      <w:pPr>
        <w:spacing w:after="240"/>
        <w:jc w:val="both"/>
      </w:pPr>
      <w:r>
        <w:t xml:space="preserve">Figure </w:t>
      </w:r>
      <w:r w:rsidR="0092164C">
        <w:t xml:space="preserve">5 </w:t>
      </w:r>
      <w:r>
        <w:t>illustrates the coordination of several parties and entities. Multi-party communication extends the rendering scenario across several dimensions. On the one hand, different parties may render the same scene using their own instance of the remote renderer system. This means that the information used for rendering, particularly regarding the global status of the system, might differ between parties. This might cause relative latency differences in the update of several graphical objects of the scene, such as avatars.</w:t>
      </w:r>
    </w:p>
    <w:p w14:paraId="2C866A8F" w14:textId="77777777" w:rsidR="008E01F9" w:rsidRDefault="008E01F9" w:rsidP="00394F72">
      <w:pPr>
        <w:pStyle w:val="Figure"/>
      </w:pPr>
      <w:r>
        <w:t xml:space="preserve"> </w:t>
      </w:r>
      <w:r>
        <w:rPr>
          <w:noProof/>
          <w:lang w:val="de-DE" w:eastAsia="de-DE"/>
        </w:rPr>
        <w:drawing>
          <wp:inline distT="114300" distB="114300" distL="114300" distR="114300" wp14:anchorId="0817E69B" wp14:editId="351A68E3">
            <wp:extent cx="6066430" cy="4005618"/>
            <wp:effectExtent l="0" t="0" r="0" b="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8"/>
                    <a:srcRect/>
                    <a:stretch>
                      <a:fillRect/>
                    </a:stretch>
                  </pic:blipFill>
                  <pic:spPr>
                    <a:xfrm>
                      <a:off x="0" y="0"/>
                      <a:ext cx="6068597" cy="4007049"/>
                    </a:xfrm>
                    <a:prstGeom prst="rect">
                      <a:avLst/>
                    </a:prstGeom>
                    <a:ln/>
                  </pic:spPr>
                </pic:pic>
              </a:graphicData>
            </a:graphic>
          </wp:inline>
        </w:drawing>
      </w:r>
    </w:p>
    <w:p w14:paraId="3BB2A7EC" w14:textId="437B0B40" w:rsidR="008E01F9" w:rsidRDefault="008E01F9" w:rsidP="00394F72">
      <w:pPr>
        <w:pStyle w:val="FigureNotitle0"/>
      </w:pPr>
      <w:r>
        <w:t xml:space="preserve">Figure </w:t>
      </w:r>
      <w:r w:rsidR="00566118">
        <w:t>5</w:t>
      </w:r>
      <w:r>
        <w:t>: Multi-party rendering scenario.</w:t>
      </w:r>
    </w:p>
    <w:p w14:paraId="4FE0D682" w14:textId="626B79E7" w:rsidR="008E01F9" w:rsidRDefault="008E01F9" w:rsidP="008E01F9">
      <w:pPr>
        <w:spacing w:after="240"/>
        <w:jc w:val="both"/>
      </w:pPr>
      <w:r>
        <w:t xml:space="preserve">Obviously, the coordination affects only the processes between entities B-C-D (see Figure </w:t>
      </w:r>
      <w:r w:rsidR="00566118">
        <w:t>3</w:t>
      </w:r>
      <w:r>
        <w:t>), but not in the traditional delay sense. Only the client and avatar descriptions are shared together with the complete world description. Each individual renderer then takes care of rendering the scene for each client, based on their individual points of view. Discrepancies between the “true” world state, according to the server, and information in the clients will cause visible effects. Clients will try to estimate the true state, and differences between the true and estimated state are repaired once the information has been shared. This repair is sometimes visible and will give cause to artifacts in the form of temporal rendering errors.</w:t>
      </w:r>
    </w:p>
    <w:p w14:paraId="7F9227E4" w14:textId="50308316" w:rsidR="008E01F9" w:rsidRDefault="008E01F9" w:rsidP="008E01F9">
      <w:pPr>
        <w:pStyle w:val="Heading4"/>
      </w:pPr>
      <w:r>
        <w:lastRenderedPageBreak/>
        <w:t>8.3.2.</w:t>
      </w:r>
      <w:r w:rsidR="00566118">
        <w:t>3</w:t>
      </w:r>
      <w:r w:rsidR="00566118">
        <w:tab/>
      </w:r>
      <w:r>
        <w:t>Rendering errors</w:t>
      </w:r>
    </w:p>
    <w:p w14:paraId="251160E6" w14:textId="77777777" w:rsidR="008E01F9" w:rsidRDefault="008E01F9" w:rsidP="008E01F9">
      <w:pPr>
        <w:spacing w:after="240"/>
        <w:jc w:val="both"/>
      </w:pPr>
      <w:r>
        <w:t xml:space="preserve">A temporal rendering error is </w:t>
      </w:r>
      <w:r>
        <w:rPr>
          <w:i/>
        </w:rPr>
        <w:t>rubber banding</w:t>
      </w:r>
      <w:r>
        <w:t xml:space="preserve">, which means temporary slow-downs and back-and-forth jumps due to network delays and errors combined with untimely game engine predictions. This is a symptom of the clients “catching up” to the true state of the game or environment server. </w:t>
      </w:r>
    </w:p>
    <w:p w14:paraId="26BF0FD4" w14:textId="77777777" w:rsidR="008E01F9" w:rsidRDefault="008E01F9" w:rsidP="008E01F9">
      <w:pPr>
        <w:spacing w:after="240"/>
        <w:jc w:val="both"/>
      </w:pPr>
      <w:r>
        <w:t xml:space="preserve">Spatial rendering errors include </w:t>
      </w:r>
      <w:r>
        <w:rPr>
          <w:i/>
        </w:rPr>
        <w:t>texture transition errors</w:t>
      </w:r>
      <w:r>
        <w:t xml:space="preserve">, emanating from scalability issues of textures due to varying distances to the corresponding object.     </w:t>
      </w:r>
    </w:p>
    <w:p w14:paraId="0ACEFB4E" w14:textId="77777777" w:rsidR="008E01F9" w:rsidRDefault="008E01F9" w:rsidP="008E01F9">
      <w:pPr>
        <w:spacing w:after="240"/>
        <w:jc w:val="both"/>
      </w:pPr>
      <w:r>
        <w:t xml:space="preserve">Multiuser AR-specific rendering issues spans both the spatial and temporal VR rendering errors but also a group of errors that originates from the situation of trying to match a virtual object to an already lighted scene, with non-virtual entities that also can affect the rendered items. These errors can be both analog, due to lens issues or capture settings, but also purely digital. </w:t>
      </w:r>
    </w:p>
    <w:p w14:paraId="418B9728" w14:textId="77777777" w:rsidR="008E01F9" w:rsidRDefault="008E01F9" w:rsidP="008E01F9">
      <w:pPr>
        <w:spacing w:after="240"/>
        <w:jc w:val="both"/>
      </w:pPr>
      <w:r>
        <w:t xml:space="preserve">The digital environment and augmentation errors can originate from mismatch of lighting conditions on objects and the real lighting, occlusion errors, resolution mismatch, errors in reproducing reflections of both real and virtual items, capturing and rendering rate mismatches, viewing angle offset. Not matching color depth between what is rendered and what is recorded is also something that can make items look out of place in the real world. </w:t>
      </w:r>
    </w:p>
    <w:p w14:paraId="2332BFBC" w14:textId="77777777" w:rsidR="008E01F9" w:rsidRDefault="008E01F9" w:rsidP="008E01F9">
      <w:pPr>
        <w:spacing w:after="240"/>
        <w:jc w:val="both"/>
      </w:pPr>
      <w:r>
        <w:t>User specific errors are errors where there are discrepancies in location, orientation etc of objects between the different users. This is related to rubber banding and object location prediction, but can also be unsolved object positioning changes making items appear in different locations for different users. [b-Kruijff2010]</w:t>
      </w:r>
    </w:p>
    <w:p w14:paraId="6CF25FD8" w14:textId="7021B99B" w:rsidR="008E01F9" w:rsidRDefault="008E01F9" w:rsidP="008E01F9">
      <w:pPr>
        <w:pStyle w:val="Heading4"/>
      </w:pPr>
      <w:r>
        <w:t>8.3.2.</w:t>
      </w:r>
      <w:r w:rsidR="00566118">
        <w:t>4</w:t>
      </w:r>
      <w:r w:rsidR="00566118">
        <w:tab/>
      </w:r>
      <w:r>
        <w:t>Resolutions</w:t>
      </w:r>
    </w:p>
    <w:p w14:paraId="2953C56D" w14:textId="77777777" w:rsidR="008E01F9" w:rsidRDefault="008E01F9" w:rsidP="008E01F9">
      <w:pPr>
        <w:spacing w:after="240"/>
        <w:jc w:val="both"/>
      </w:pPr>
      <w:r>
        <w:t>The spatial resolution, determined by the size of the pixel matrix per eye and the covered viewing angle, impacts the QoE. If video encoding and rendering does not match the display resolution, additional artifacts can occur due to scaling. As the time needed to render, encode and transmit video frames grows with their size, there might be a need for compromising between size and framerate.</w:t>
      </w:r>
    </w:p>
    <w:p w14:paraId="0DC9A611" w14:textId="77777777" w:rsidR="008E01F9" w:rsidRDefault="008E01F9" w:rsidP="008E01F9">
      <w:pPr>
        <w:spacing w:after="240"/>
        <w:jc w:val="both"/>
      </w:pPr>
      <w:r>
        <w:t xml:space="preserve">The temporal resolution reflects the supported number of video frames per second, which is either given by the minimal latency deadline that can be met when adding up latencies from rendering, encoding, transmissing, decoding and displaying the frame, or by the refresh rate of the head-mounted device. </w:t>
      </w:r>
    </w:p>
    <w:p w14:paraId="0BF487E3" w14:textId="77777777" w:rsidR="008E01F9" w:rsidRDefault="008E01F9" w:rsidP="008E01F9">
      <w:pPr>
        <w:spacing w:after="240"/>
        <w:jc w:val="both"/>
      </w:pPr>
      <w:r>
        <w:t xml:space="preserve">The delay along the rendering loop reveals to which extent a specific combination of spatial resolution, specific hardware and eventual networks is able to maintain a given temporal resolution, i.e. enable a desired framerate and latency [b-Kelkkanen2021b]. At sufficiently high resolutions (2K and above), the delay is dominated by encoding and decoding times. </w:t>
      </w:r>
    </w:p>
    <w:p w14:paraId="3F0DBB4C" w14:textId="58DA6E9C" w:rsidR="008E01F9" w:rsidRDefault="008E01F9" w:rsidP="008E01F9">
      <w:pPr>
        <w:pStyle w:val="Heading4"/>
      </w:pPr>
      <w:r>
        <w:t>8.3.2.</w:t>
      </w:r>
      <w:r w:rsidR="00566118">
        <w:t>5</w:t>
      </w:r>
      <w:r w:rsidR="00566118">
        <w:tab/>
      </w:r>
      <w:r>
        <w:t>Foveated rendering</w:t>
      </w:r>
    </w:p>
    <w:p w14:paraId="0CD7366B" w14:textId="77777777" w:rsidR="008E01F9" w:rsidRDefault="008E01F9" w:rsidP="008E01F9">
      <w:pPr>
        <w:spacing w:after="240"/>
        <w:jc w:val="both"/>
      </w:pPr>
      <w:r>
        <w:t>Foveated rendering is a technique used together with an eye-tracking device for dynamically adjusting the visual quality depending on the peripheral vision area.  The technique will reduce the quality where the human vision has less resolution while preserving a higher quality inside the foveal area.</w:t>
      </w:r>
    </w:p>
    <w:p w14:paraId="374F5840" w14:textId="77777777" w:rsidR="008E01F9" w:rsidRDefault="008E01F9" w:rsidP="008E01F9">
      <w:pPr>
        <w:spacing w:after="240"/>
        <w:jc w:val="both"/>
      </w:pPr>
      <w:r>
        <w:t>Another technique that does not require eye-tracking is the fixed foveated rendering. In this case, the foveal area is previously fixed assuming a specific point in the rendering. For telemeetings, the foveated rendering may reduce the use of the bandwidth. However, the delay associated with the foveated algorithms may drive to a deterioration of the QoE.</w:t>
      </w:r>
    </w:p>
    <w:p w14:paraId="79F95D9F" w14:textId="4ED247E3" w:rsidR="008E01F9" w:rsidRDefault="008E01F9" w:rsidP="008E01F9">
      <w:pPr>
        <w:pStyle w:val="Heading4"/>
        <w:rPr>
          <w:highlight w:val="white"/>
        </w:rPr>
      </w:pPr>
      <w:r>
        <w:lastRenderedPageBreak/>
        <w:t>8.3.2.</w:t>
      </w:r>
      <w:r w:rsidR="00566118">
        <w:t>6</w:t>
      </w:r>
      <w:r w:rsidR="00566118">
        <w:tab/>
      </w:r>
      <w:r>
        <w:t>Overlaying</w:t>
      </w:r>
      <w:r>
        <w:rPr>
          <w:highlight w:val="white"/>
        </w:rPr>
        <w:t xml:space="preserve"> rendered images</w:t>
      </w:r>
    </w:p>
    <w:p w14:paraId="6E899CD0" w14:textId="77777777" w:rsidR="008E01F9" w:rsidRDefault="008E01F9" w:rsidP="008E01F9">
      <w:pPr>
        <w:spacing w:after="240"/>
        <w:jc w:val="both"/>
      </w:pPr>
      <w:r>
        <w:t>Combining rendered synthetic images with video as well as projecting them on glass or real objects might imply resolution, scaling and location and depth mismatches, sub-pixel aliasing and (temporal) synchronization issues.</w:t>
      </w:r>
    </w:p>
    <w:p w14:paraId="3051C1BD" w14:textId="0D3B689F" w:rsidR="008E01F9" w:rsidRPr="003518F4" w:rsidRDefault="008E01F9" w:rsidP="008E01F9">
      <w:pPr>
        <w:pStyle w:val="Heading3"/>
      </w:pPr>
      <w:bookmarkStart w:id="51" w:name="_jd3qqv91qruq" w:colFirst="0" w:colLast="0"/>
      <w:bookmarkEnd w:id="51"/>
      <w:r w:rsidRPr="003518F4">
        <w:t>8.3.</w:t>
      </w:r>
      <w:r w:rsidR="00566118" w:rsidRPr="003518F4">
        <w:t>3</w:t>
      </w:r>
      <w:r w:rsidR="00566118">
        <w:tab/>
      </w:r>
      <w:r w:rsidRPr="003518F4">
        <w:t>Network and compression</w:t>
      </w:r>
    </w:p>
    <w:p w14:paraId="4B8231F9" w14:textId="77777777" w:rsidR="008E01F9" w:rsidRDefault="008E01F9" w:rsidP="008E01F9">
      <w:pPr>
        <w:spacing w:before="240" w:after="240"/>
        <w:jc w:val="both"/>
        <w:rPr>
          <w:b/>
        </w:rPr>
      </w:pPr>
      <w:r>
        <w:t>This section addresses low-level factors related to encoding and decoding (Section 8.3.3.1), latency (Section 8.3.3.2), bandwidth (Section 8.3.3.3) and synchronization (Section 8.3.3.4) requirements</w:t>
      </w:r>
      <w:r>
        <w:rPr>
          <w:b/>
        </w:rPr>
        <w:t>.</w:t>
      </w:r>
    </w:p>
    <w:p w14:paraId="5CC3EDC7" w14:textId="3B29457F" w:rsidR="008E01F9" w:rsidRDefault="008E01F9" w:rsidP="008E01F9">
      <w:pPr>
        <w:pStyle w:val="Heading4"/>
      </w:pPr>
      <w:r>
        <w:t>8.3.3.</w:t>
      </w:r>
      <w:r w:rsidR="00566118">
        <w:t>1</w:t>
      </w:r>
      <w:r w:rsidR="00566118">
        <w:tab/>
      </w:r>
      <w:r>
        <w:t>Media encoding/decoding</w:t>
      </w:r>
    </w:p>
    <w:p w14:paraId="6385E0B4" w14:textId="77777777" w:rsidR="008E01F9" w:rsidRDefault="008E01F9" w:rsidP="008E01F9">
      <w:pPr>
        <w:spacing w:after="240"/>
        <w:jc w:val="both"/>
      </w:pPr>
      <w:r>
        <w:t xml:space="preserve">To send textures/images/videos over a network, these are commonly compressed before transmission to minimize the necessary bandwidth. This is also true for audio, but audio will usually have smaller bandwidth requirements anyway. </w:t>
      </w:r>
    </w:p>
    <w:p w14:paraId="220A4B6F" w14:textId="77777777" w:rsidR="008E01F9" w:rsidRDefault="008E01F9" w:rsidP="008E01F9">
      <w:pPr>
        <w:spacing w:after="240"/>
        <w:jc w:val="both"/>
      </w:pPr>
      <w:r>
        <w:t xml:space="preserve">There are very fast encoders implemented directly on most modern GPUs today. Having access to the same GPU memory as the rendering process itself makes this a very efficient process, reading from the same frame/texture that the GPU has produced from the game directly. Off-the-shelf solutions can produce encoding times below 2-3 ms per video frame for common full viewport VR headsets and proprietary solutions can even reach sub-ms algorithmic delays. </w:t>
      </w:r>
    </w:p>
    <w:p w14:paraId="7FFCA654" w14:textId="77777777" w:rsidR="008E01F9" w:rsidRDefault="008E01F9" w:rsidP="008E01F9">
      <w:pPr>
        <w:spacing w:after="240"/>
        <w:jc w:val="both"/>
      </w:pPr>
      <w:r>
        <w:t xml:space="preserve">Video frames are encoded and transmitted with various techniques, such as varying GoP lengths, infinite GoP but with video encoding referencing only received P-frames (making it very good at coming back after an error), trying to balance delay and encoding efficiency for network error resilience in its own way. </w:t>
      </w:r>
    </w:p>
    <w:p w14:paraId="1A85EFE3" w14:textId="77777777" w:rsidR="008E01F9" w:rsidRDefault="008E01F9" w:rsidP="008E01F9">
      <w:pPr>
        <w:spacing w:after="240"/>
        <w:jc w:val="both"/>
      </w:pPr>
      <w:r>
        <w:t xml:space="preserve">Realistic human avatars may be acquired in real-time using volumetric video capture and then represented as point clouds. Point clouds must be encoded to be transmitted through the network. The most widespread compression solution to compress dynamic point clouds is V-PCC, which was standardised recently by MPEG [b-Mekuria2017]. V-PCC encoding is computationally costly, and therefore other solutions such as octree representations [b-Kammerl2012] are used as an alternative. </w:t>
      </w:r>
    </w:p>
    <w:p w14:paraId="1F508540" w14:textId="77777777" w:rsidR="008E01F9" w:rsidRDefault="008E01F9" w:rsidP="008E01F9">
      <w:pPr>
        <w:spacing w:after="240"/>
        <w:jc w:val="both"/>
      </w:pPr>
      <w:r>
        <w:t>VR images contain unseen areas commonly referred to as the hidden area mesh that make the images unnecessarily large. In experiments with remote VR, an overall speed-up of up to 10% was achieved by remapping the rendered images in a way that cuts out the unseen areas, thus reducing image size and therefore codec time-consumption [b-Kelkkanen2021a].</w:t>
      </w:r>
    </w:p>
    <w:p w14:paraId="6F149B0D" w14:textId="395BF9A5" w:rsidR="008E01F9" w:rsidRDefault="008E01F9" w:rsidP="008E01F9">
      <w:pPr>
        <w:pStyle w:val="Heading4"/>
      </w:pPr>
      <w:r>
        <w:t>8.3.3.</w:t>
      </w:r>
      <w:r w:rsidR="00566118">
        <w:t>2</w:t>
      </w:r>
      <w:r w:rsidR="00566118">
        <w:tab/>
      </w:r>
      <w:r>
        <w:t>Latency</w:t>
      </w:r>
    </w:p>
    <w:p w14:paraId="048D2169" w14:textId="77777777" w:rsidR="008E01F9" w:rsidRDefault="008E01F9" w:rsidP="008E01F9">
      <w:pPr>
        <w:spacing w:after="240"/>
        <w:jc w:val="both"/>
      </w:pPr>
      <w:r>
        <w:t xml:space="preserve">In the VR context, constant latency stemming from physical distance and various processing steps affect MTP and thus reaction times, but they may not need to have a negative impact on the frame rate [b-Kelkkanen2021b]. On the other hand, delay variations due to communication outages and/or resource competition introduce temporary reductions of video frame rates [b-Kelkkanen2021b] and freezes [b-Fiedler2019]. Recent measurements revealed significant and varying network delays in case of 4G, 5G without URLLC, WiFi (802.11ac/n) and wired connections across the public internet [b-Kelkkanen2021b]. </w:t>
      </w:r>
    </w:p>
    <w:p w14:paraId="35476AF9" w14:textId="77777777" w:rsidR="008E01F9" w:rsidRDefault="008E01F9" w:rsidP="008E01F9">
      <w:pPr>
        <w:spacing w:after="240"/>
        <w:jc w:val="both"/>
      </w:pPr>
      <w:r>
        <w:t xml:space="preserve">Relationships between injected delays and QoE ratings in VR remote control and game scenarios have been reported in [b-Brunnström2020, b-Vlahovic2019]. </w:t>
      </w:r>
    </w:p>
    <w:p w14:paraId="0FDFA448" w14:textId="77777777" w:rsidR="008E01F9" w:rsidRDefault="008E01F9" w:rsidP="008E01F9">
      <w:pPr>
        <w:spacing w:after="240"/>
        <w:jc w:val="both"/>
      </w:pPr>
      <w:r>
        <w:t xml:space="preserve">Motion to photon delays in immersive teleconferencing environments are mainly classified into those affecting the consistency of the world with regard to the user's movements and those related to the </w:t>
      </w:r>
      <w:r>
        <w:lastRenderedPageBreak/>
        <w:t>user's embodiment or self-delay. Some studies have addressed the influence on the QoE of the consistency delay [b-Singla2019, b-Cortés2020]. Besides, other studies have also evaluated the influence of the self-delay [b-Caserman2019, b-vanDam2018]. These studies suggest that the consistency delay is more restrictive than the self-view delay in terms of QoE and should remain below 150 ms.</w:t>
      </w:r>
    </w:p>
    <w:p w14:paraId="11AE1F1F" w14:textId="188506FC" w:rsidR="008E01F9" w:rsidRDefault="008E01F9" w:rsidP="008E01F9">
      <w:pPr>
        <w:pStyle w:val="Heading4"/>
      </w:pPr>
      <w:r>
        <w:t>8.3.3.</w:t>
      </w:r>
      <w:r w:rsidR="00566118">
        <w:t>3</w:t>
      </w:r>
      <w:r w:rsidR="00566118">
        <w:tab/>
      </w:r>
      <w:r>
        <w:t>Bandwidth requirements</w:t>
      </w:r>
    </w:p>
    <w:p w14:paraId="5FECAE3E" w14:textId="77777777" w:rsidR="008E01F9" w:rsidRDefault="008E01F9" w:rsidP="008E01F9">
      <w:pPr>
        <w:spacing w:after="240"/>
        <w:jc w:val="both"/>
      </w:pPr>
      <w:r>
        <w:t xml:space="preserve">The bandwidth requirement in order to maintain a given spatial and temporal resolution depends on the scene complexity and HMD rotation speed. [b-Kelkkanen2020] reported that average head moving speeds required a steadily available bandwidth of more than 20 Mbps for supporting both channels at 2K, that requirement basically doubled when head moving speeds were tripled. </w:t>
      </w:r>
    </w:p>
    <w:p w14:paraId="15E57364" w14:textId="77777777" w:rsidR="008E01F9" w:rsidRDefault="008E01F9" w:rsidP="008E01F9">
      <w:pPr>
        <w:spacing w:after="240"/>
        <w:jc w:val="both"/>
      </w:pPr>
      <w:r>
        <w:t xml:space="preserve">For point clouds, the common range of bitrates for typical representations of 800K-1M points is between 5 and 100 Mbps [b-Schwarz2019, b-Essaili2022]. User-adaptive strategies can be adopted to reduce the bandwidth requirements while prioritizing the user’s QoE. [b-Subramanyam2020] shows that user-adaptive allocation of bandwidth in tiled point cloud contents leads to significant gains in perceived quality as compared to non-adaptive streaming at the same bitrates. In [b-Subramanyam2022], the quality of live-captured point clouds of ca. 130K points at 15 fps was evaluated in an XR meeting system, demonstrating that tiled user-adaptive point cloud streaming at 14 Mbps leads to similar visual quality as compared to uncompressed streaming at ca 300 Mbps. Also, the end-to-end delay can differ in the order of 70 ms depending on if the point cloud compression/decompression is done in the edge or on the device itself, according to [b-Essaili2022]. </w:t>
      </w:r>
    </w:p>
    <w:p w14:paraId="1E888844" w14:textId="77777777" w:rsidR="008E01F9" w:rsidRDefault="008E01F9" w:rsidP="008E01F9">
      <w:pPr>
        <w:spacing w:after="240"/>
        <w:jc w:val="both"/>
      </w:pPr>
      <w:r>
        <w:t>Similarly, to delay variations, bandwidth variations entail quality variations over time. [b-Orduna2022] evaluated QoE of 360° video with time-varying qualities, simultaneously to high-level features (presence, empathy, attention), in a simulated telemeeting environment. For 360° video transmission of XR meeting scenes, where the camera is normally in a fixed position, 5-10 Mbps are sufficient for a 4K resolution equirectangular panorama [b-Tran2017, b-Krogfoss2020].</w:t>
      </w:r>
    </w:p>
    <w:p w14:paraId="76E0505F" w14:textId="4269B56F" w:rsidR="008E01F9" w:rsidRDefault="008E01F9" w:rsidP="008E01F9">
      <w:pPr>
        <w:pStyle w:val="Heading4"/>
      </w:pPr>
      <w:r>
        <w:t>8.3.3.</w:t>
      </w:r>
      <w:r w:rsidR="00566118">
        <w:t>4</w:t>
      </w:r>
      <w:r w:rsidR="00566118">
        <w:tab/>
      </w:r>
      <w:r>
        <w:t xml:space="preserve">Synchronization requirements </w:t>
      </w:r>
    </w:p>
    <w:p w14:paraId="16784B25" w14:textId="77777777" w:rsidR="008E01F9" w:rsidRDefault="008E01F9" w:rsidP="008E01F9">
      <w:pPr>
        <w:spacing w:after="240"/>
        <w:jc w:val="both"/>
      </w:pPr>
      <w:r>
        <w:t xml:space="preserve">Regarding audio and video synchronization, [b-ITU-R BT.1359-1] reports on </w:t>
      </w:r>
      <w:r>
        <w:rPr>
          <w:i/>
        </w:rPr>
        <w:t>detectability</w:t>
      </w:r>
      <w:r>
        <w:t xml:space="preserve"> thresholds between 45 ms (audio advanced) and 125 ms (video advanced) and </w:t>
      </w:r>
      <w:r>
        <w:rPr>
          <w:i/>
        </w:rPr>
        <w:t>acceptability</w:t>
      </w:r>
      <w:r>
        <w:t xml:space="preserve"> thresholds between 90 ms (audio advanced) and 185 ms (video advanced). These figures relate to broadcasting in the first place, and need to be validated in the context of XR meetings. There appears to be a significant positive correlation between sensory synchronization and social presence [b-Becker2021].</w:t>
      </w:r>
    </w:p>
    <w:p w14:paraId="1FE77D05" w14:textId="77777777" w:rsidR="008E01F9" w:rsidRPr="003518F4" w:rsidRDefault="008E01F9" w:rsidP="008E01F9">
      <w:pPr>
        <w:pStyle w:val="Heading1"/>
        <w:rPr>
          <w:highlight w:val="white"/>
        </w:rPr>
      </w:pPr>
      <w:bookmarkStart w:id="52" w:name="_3m5i4nlbnvsi" w:colFirst="0" w:colLast="0"/>
      <w:bookmarkEnd w:id="52"/>
      <w:r w:rsidRPr="003518F4">
        <w:rPr>
          <w:highlight w:val="white"/>
        </w:rPr>
        <w:t xml:space="preserve">9 </w:t>
      </w:r>
      <w:r w:rsidRPr="003518F4">
        <w:rPr>
          <w:highlight w:val="white"/>
        </w:rPr>
        <w:tab/>
        <w:t>Constituents of QoE in XR telemeetings</w:t>
      </w:r>
    </w:p>
    <w:p w14:paraId="0EB3F399" w14:textId="77777777" w:rsidR="008E01F9" w:rsidRDefault="008E01F9" w:rsidP="008E01F9">
      <w:pPr>
        <w:jc w:val="both"/>
      </w:pPr>
      <w:r>
        <w:t xml:space="preserve">This Section surveys the constituents contributing towards QoE that are relevant especially for XR telemeetings.  </w:t>
      </w:r>
    </w:p>
    <w:p w14:paraId="2894F2B3" w14:textId="77777777" w:rsidR="008E01F9" w:rsidRDefault="008E01F9" w:rsidP="008E01F9">
      <w:pPr>
        <w:pStyle w:val="Heading2"/>
        <w:jc w:val="both"/>
        <w:rPr>
          <w:highlight w:val="white"/>
        </w:rPr>
      </w:pPr>
      <w:bookmarkStart w:id="53" w:name="_271q94jre3r4" w:colFirst="0" w:colLast="0"/>
      <w:bookmarkEnd w:id="53"/>
      <w:r>
        <w:rPr>
          <w:highlight w:val="white"/>
        </w:rPr>
        <w:t>9.1</w:t>
      </w:r>
      <w:r>
        <w:rPr>
          <w:highlight w:val="white"/>
        </w:rPr>
        <w:tab/>
        <w:t>Simulator sickness</w:t>
      </w:r>
    </w:p>
    <w:p w14:paraId="752F86C1" w14:textId="77777777" w:rsidR="008E01F9" w:rsidRDefault="008E01F9" w:rsidP="008E01F9">
      <w:pPr>
        <w:tabs>
          <w:tab w:val="left" w:pos="794"/>
          <w:tab w:val="left" w:pos="1191"/>
          <w:tab w:val="left" w:pos="1588"/>
          <w:tab w:val="left" w:pos="1985"/>
        </w:tabs>
        <w:jc w:val="both"/>
        <w:rPr>
          <w:highlight w:val="white"/>
        </w:rPr>
      </w:pPr>
      <w:r>
        <w:rPr>
          <w:highlight w:val="white"/>
        </w:rPr>
        <w:t xml:space="preserve">Simulator sickness (also known as cybersickness) refers to the unpleasant sensations which can occur among users during and after exposure to XR. The symptoms are likened to those of motion sickness and usually increase with time of exposure. After a threshold time the symptoms may stop increasing or even decrease due to an adaptation effect following multiple exposures to XR. For a review, see [b-Duzmanska2018]. Simulator sickness is negatively related to presence (feelings of presence decrease with increasing simulator sickness) [b-Weech2019], and this relationship appears to be mediated by factors including illusions of self-motion (vection), navigation control, and display factors. </w:t>
      </w:r>
    </w:p>
    <w:p w14:paraId="3B519020" w14:textId="77777777" w:rsidR="008E01F9" w:rsidRDefault="008E01F9" w:rsidP="008E01F9">
      <w:pPr>
        <w:tabs>
          <w:tab w:val="left" w:pos="794"/>
          <w:tab w:val="left" w:pos="1191"/>
          <w:tab w:val="left" w:pos="1588"/>
          <w:tab w:val="left" w:pos="1985"/>
        </w:tabs>
        <w:jc w:val="both"/>
        <w:rPr>
          <w:highlight w:val="white"/>
        </w:rPr>
      </w:pPr>
      <w:r>
        <w:rPr>
          <w:highlight w:val="white"/>
        </w:rPr>
        <w:lastRenderedPageBreak/>
        <w:t>Simulator sickness is currently most often assessed by using self-report methods such as the Simulator Sickness Questionnaire (SSQ) [b-Kennedy1993]. Physiological, objective, indicators are under active investigation. Measures such as fatigue for example may have already manifested to a degree within participants. This is then unproportionally attributed to the system via subjective evaluation and can be better determined objectively [b-Iskander2018]. Understanding and measuring simulator sickness is considered relevant to the evaluation of XR telemeeting QoE; see related findings in [b-Singla2017, b-Singla2018, ITU-T P.919].</w:t>
      </w:r>
    </w:p>
    <w:p w14:paraId="4312F8C3" w14:textId="77777777" w:rsidR="008E01F9" w:rsidRDefault="008E01F9" w:rsidP="008E01F9">
      <w:pPr>
        <w:pStyle w:val="Heading2"/>
        <w:jc w:val="both"/>
      </w:pPr>
      <w:bookmarkStart w:id="54" w:name="_q9vcwsyxamwb" w:colFirst="0" w:colLast="0"/>
      <w:bookmarkEnd w:id="54"/>
      <w:r>
        <w:t>9.2</w:t>
      </w:r>
      <w:r>
        <w:tab/>
        <w:t>Immersion</w:t>
      </w:r>
    </w:p>
    <w:p w14:paraId="49DE2236" w14:textId="77777777" w:rsidR="008E01F9" w:rsidRDefault="008E01F9" w:rsidP="008E01F9">
      <w:pPr>
        <w:tabs>
          <w:tab w:val="left" w:pos="794"/>
          <w:tab w:val="left" w:pos="1191"/>
          <w:tab w:val="left" w:pos="1588"/>
          <w:tab w:val="left" w:pos="1985"/>
        </w:tabs>
        <w:jc w:val="both"/>
      </w:pPr>
      <w:r>
        <w:t>The term immersion is closely related to the sensation of presence (Section 8.3). In this Recommendation immersion is understood along three axes 1) as a property of a system, 2) a subjective response to narrative contents, or 3) a subjective response to challenges within the virtual environment following the taxonomy presented in [b-Nilsson2016]. The first is objectively measurable from the properties of the system, whereas the last two are related to subjective attention and focus on the events in the XR service manifested by mental absorption with the mediated experience. These three dimensions span a space which allows immersion to arise equally well from services requiring no technology (e.g., reading a book) to complex XR systems. Understanding the narrative properties, sensorimotor skill requirements, and intellectual challenges of an XR telemeeting service in addition to the technical fidelity may become defining constituents of the QoE.</w:t>
      </w:r>
    </w:p>
    <w:p w14:paraId="69D3557F" w14:textId="77777777" w:rsidR="008E01F9" w:rsidRDefault="008E01F9" w:rsidP="008E01F9">
      <w:pPr>
        <w:pStyle w:val="Heading2"/>
        <w:jc w:val="both"/>
        <w:rPr>
          <w:highlight w:val="white"/>
        </w:rPr>
      </w:pPr>
      <w:bookmarkStart w:id="55" w:name="_ocptzhu58zzl" w:colFirst="0" w:colLast="0"/>
      <w:bookmarkEnd w:id="55"/>
      <w:r>
        <w:rPr>
          <w:highlight w:val="white"/>
        </w:rPr>
        <w:t>9.3</w:t>
      </w:r>
      <w:r>
        <w:rPr>
          <w:highlight w:val="white"/>
        </w:rPr>
        <w:tab/>
        <w:t>Presence, co-presence, and social presence</w:t>
      </w:r>
    </w:p>
    <w:p w14:paraId="6B83C7D8" w14:textId="77777777" w:rsidR="008E01F9" w:rsidRDefault="008E01F9" w:rsidP="008E01F9">
      <w:pPr>
        <w:tabs>
          <w:tab w:val="left" w:pos="794"/>
          <w:tab w:val="left" w:pos="1191"/>
          <w:tab w:val="left" w:pos="1588"/>
          <w:tab w:val="left" w:pos="1985"/>
        </w:tabs>
        <w:jc w:val="both"/>
      </w:pPr>
      <w:r>
        <w:t>Presence has been defined as: “</w:t>
      </w:r>
      <w:r>
        <w:rPr>
          <w:i/>
        </w:rPr>
        <w:t>a psychological state in which the individual perceives himself or herself as existing within an environment</w:t>
      </w:r>
      <w:r>
        <w:t>” [b-Blascovich2002].  XR has the potential to embody users in another reality, where they feel present and have agency and first-person perspective heightening the sense that the experience is really happening. Today, assessment of presence is usually done by using post-test questionnaires, which can be considered as basic tools in the measurement of presence [b-Laarni2015]. These include Immersive Experience Questionnaire (IEQ) [b-Jennet2008], Igroup Presence Questionnaire (IPQ) [b-Schubert2001] and Presence Questionnaire (PQ) [b-Witmer1998] among others. All of the above questionnaires measure different aspects of presence such as spatial presence, realism, involvement, and distraction. Presence has also been measured with psychophysical methods, behavioral measures, performance measures, and physiological measures, to name a few, but comparison of the results remains challenging due to their different types and the diversity of the XR applications used [b-Laarni2015].</w:t>
      </w:r>
    </w:p>
    <w:p w14:paraId="39969A16" w14:textId="77777777" w:rsidR="008E01F9" w:rsidRDefault="008E01F9" w:rsidP="008E01F9">
      <w:pPr>
        <w:tabs>
          <w:tab w:val="left" w:pos="794"/>
          <w:tab w:val="left" w:pos="1191"/>
          <w:tab w:val="left" w:pos="1588"/>
          <w:tab w:val="left" w:pos="1985"/>
        </w:tabs>
        <w:jc w:val="both"/>
      </w:pPr>
      <w:r>
        <w:t>Co-presence refers to the “</w:t>
      </w:r>
      <w:r>
        <w:rPr>
          <w:i/>
        </w:rPr>
        <w:t>experience of being with others</w:t>
      </w:r>
      <w:r>
        <w:t xml:space="preserve">” as a physical mode and social sense [b-Zhao2003, b-Steed2015]. The topic is less studied than presence and it may be best understood via a situation where co-presence is absent or reduced such as instant messaging or a phone call. In these situations, keeping attention is not as easy as with real interaction and misunderstandings easily occur. [b-Steed2015] see that novel lines of investigation are needed to understand the sensation of being there with others compared to the more studied spatial experience of being there (communication versus spatial use of collaborative XR). </w:t>
      </w:r>
    </w:p>
    <w:p w14:paraId="61A21821" w14:textId="77777777" w:rsidR="008E01F9" w:rsidRDefault="008E01F9" w:rsidP="008E01F9">
      <w:pPr>
        <w:tabs>
          <w:tab w:val="left" w:pos="794"/>
          <w:tab w:val="left" w:pos="1191"/>
          <w:tab w:val="left" w:pos="1588"/>
          <w:tab w:val="left" w:pos="1985"/>
        </w:tabs>
        <w:jc w:val="both"/>
      </w:pPr>
      <w:r>
        <w:t>Social presence builds on the experience of co-presence and adds the dimension of affective and intellectual connection with others.  It has been defined as: “</w:t>
      </w:r>
      <w:r>
        <w:rPr>
          <w:i/>
        </w:rPr>
        <w:t>a psychological state in which the individual perceives himself or herself as existing within an interpersonal environment</w:t>
      </w:r>
      <w:r>
        <w:t>” [b-Blascovich2002]. Social presence in virtual environments is typically measured and compared to face-to-face meetings through questionnaires [b-Greenwald2017, b-Li2019, b-Toet2020].</w:t>
      </w:r>
    </w:p>
    <w:p w14:paraId="22849789" w14:textId="77777777" w:rsidR="008E01F9" w:rsidRDefault="008E01F9" w:rsidP="008E01F9">
      <w:pPr>
        <w:pStyle w:val="Heading2"/>
        <w:jc w:val="both"/>
      </w:pPr>
      <w:bookmarkStart w:id="56" w:name="_knjkwpd6f1y2" w:colFirst="0" w:colLast="0"/>
      <w:bookmarkEnd w:id="56"/>
      <w:r>
        <w:t>9.4</w:t>
      </w:r>
      <w:r>
        <w:tab/>
        <w:t>Plausibility</w:t>
      </w:r>
    </w:p>
    <w:p w14:paraId="53B62BAD" w14:textId="77777777" w:rsidR="008E01F9" w:rsidRDefault="008E01F9" w:rsidP="008E01F9">
      <w:pPr>
        <w:tabs>
          <w:tab w:val="left" w:pos="794"/>
          <w:tab w:val="left" w:pos="1191"/>
          <w:tab w:val="left" w:pos="1588"/>
          <w:tab w:val="left" w:pos="1985"/>
        </w:tabs>
        <w:jc w:val="both"/>
      </w:pPr>
      <w:r>
        <w:t xml:space="preserve">Plausibility can be considered as a component of presence, and it may be thought to refer to the illusion that the perceived events in the virtual environment are really happening [b-Bergstrom2017]. [b-Slater2009] defined plausibility as the extent of an immersive system producing realistic responses </w:t>
      </w:r>
      <w:r>
        <w:lastRenderedPageBreak/>
        <w:t>with regard to the user, as well as the overall credibility of the virtual scenario taking place. The simulation has to match expectations where these are relevant, e.g., if the system simulates a real-world event, that system has to conform to what is expected to happen in reality. Measuring plausibility is a less researched area than that of presence, and no consensus about the methodology exists. Attempts are made to estimate relative plausibility of a system by comparing it to another system and iteratively adjusting technical properties to achieve the same level of realism in both presentations [b-Slater2010, b-Bergström2017].</w:t>
      </w:r>
    </w:p>
    <w:p w14:paraId="0EB65B93" w14:textId="77777777" w:rsidR="008E01F9" w:rsidRDefault="008E01F9" w:rsidP="008E01F9">
      <w:pPr>
        <w:tabs>
          <w:tab w:val="left" w:pos="794"/>
          <w:tab w:val="left" w:pos="1191"/>
          <w:tab w:val="left" w:pos="1588"/>
          <w:tab w:val="left" w:pos="1985"/>
        </w:tabs>
        <w:spacing w:before="240" w:after="240"/>
        <w:jc w:val="both"/>
      </w:pPr>
      <w:r>
        <w:t>Perceived realism, plausibility and coherence are the central outcomes of the sensory, perceptual, and cognitive processing layers in the human brain that determine the quality of a mediated experience [b-Latoschik2021, b-Parola2016, b-Weber2021].</w:t>
      </w:r>
    </w:p>
    <w:p w14:paraId="04E3D412" w14:textId="77777777" w:rsidR="008E01F9" w:rsidRDefault="008E01F9" w:rsidP="008E01F9">
      <w:pPr>
        <w:tabs>
          <w:tab w:val="left" w:pos="794"/>
          <w:tab w:val="left" w:pos="1191"/>
          <w:tab w:val="left" w:pos="1588"/>
          <w:tab w:val="left" w:pos="1985"/>
        </w:tabs>
        <w:spacing w:before="240" w:after="240"/>
        <w:jc w:val="both"/>
      </w:pPr>
      <w:r>
        <w:t xml:space="preserve">At the sensory level, the perceptual or </w:t>
      </w:r>
      <w:r>
        <w:rPr>
          <w:i/>
        </w:rPr>
        <w:t>sensory</w:t>
      </w:r>
      <w:r>
        <w:t xml:space="preserve"> </w:t>
      </w:r>
      <w:r>
        <w:rPr>
          <w:i/>
        </w:rPr>
        <w:t>fidelity</w:t>
      </w:r>
      <w:r>
        <w:t xml:space="preserve"> of the experience is the relevant quality factor for telepresence. Sensory fidelity determines the extent to which users fail to perceive or acknowledge the fact that (part of) their sensory input is mediated. Users should preferably experience the feeling that their sensory input originates directly from the represented environment (the illusion of non-mediation [b-Lombard1997, b-Lombard2000]).</w:t>
      </w:r>
    </w:p>
    <w:p w14:paraId="334B7CD3" w14:textId="77777777" w:rsidR="008E01F9" w:rsidRDefault="008E01F9" w:rsidP="008E01F9">
      <w:pPr>
        <w:tabs>
          <w:tab w:val="left" w:pos="794"/>
          <w:tab w:val="left" w:pos="1191"/>
          <w:tab w:val="left" w:pos="1588"/>
          <w:tab w:val="left" w:pos="1985"/>
        </w:tabs>
        <w:spacing w:before="240" w:after="240"/>
        <w:jc w:val="both"/>
      </w:pPr>
      <w:r>
        <w:t xml:space="preserve">At the affective or emotional level, the </w:t>
      </w:r>
      <w:r>
        <w:rPr>
          <w:i/>
        </w:rPr>
        <w:t>internal</w:t>
      </w:r>
      <w:r>
        <w:t xml:space="preserve"> </w:t>
      </w:r>
      <w:r>
        <w:rPr>
          <w:i/>
        </w:rPr>
        <w:t>plausibility</w:t>
      </w:r>
      <w:r>
        <w:t xml:space="preserve"> (sensory congruity or internal consistency; [b-Cahill2018]) of a mediated experience is an essential factor contributing to the sense of telepresence [b-Wirth2007]. Internal plausibility determines the extent to which users have the feeling that their multisensory input is coherent [b-Skarbez2021] and agrees (is congruent and consistent) with their mental model (expectations or memories) of the represented environment [b-Cahill2018, b-Hofer2020, b-Wirth2007].</w:t>
      </w:r>
    </w:p>
    <w:p w14:paraId="72006CA9" w14:textId="77777777" w:rsidR="008E01F9" w:rsidRDefault="008E01F9" w:rsidP="008E01F9">
      <w:pPr>
        <w:tabs>
          <w:tab w:val="left" w:pos="794"/>
          <w:tab w:val="left" w:pos="1191"/>
          <w:tab w:val="left" w:pos="1588"/>
          <w:tab w:val="left" w:pos="1985"/>
        </w:tabs>
        <w:spacing w:before="240" w:after="240"/>
        <w:jc w:val="both"/>
      </w:pPr>
      <w:r>
        <w:t xml:space="preserve">At the cognitive level, the relevant quality factor for telepresence is the </w:t>
      </w:r>
      <w:r>
        <w:rPr>
          <w:i/>
        </w:rPr>
        <w:t>external plausibility</w:t>
      </w:r>
      <w:r>
        <w:t xml:space="preserve"> or environmental and thematic congruity [b-Cahill2018] of the experience.  External plausibility determines the perceived fidelity [b-Alexander2005], realness [b-Khenak2020, b-Latoschik2021, b-Lindau2012] or illusion that the represented environment is authentic [b-Gilbert2016] and a place that can actually be visited [Gonçalves2020, b-Slater2009].</w:t>
      </w:r>
    </w:p>
    <w:p w14:paraId="15559093" w14:textId="77777777" w:rsidR="008E01F9" w:rsidRDefault="008E01F9" w:rsidP="008E01F9">
      <w:pPr>
        <w:tabs>
          <w:tab w:val="left" w:pos="794"/>
          <w:tab w:val="left" w:pos="1191"/>
          <w:tab w:val="left" w:pos="1588"/>
          <w:tab w:val="left" w:pos="1985"/>
        </w:tabs>
        <w:jc w:val="both"/>
      </w:pPr>
      <w:r>
        <w:t>Suspension of disbelief refers to the avoidance of critical thinking in explaining an experience for the sake of enjoyment.</w:t>
      </w:r>
    </w:p>
    <w:p w14:paraId="0E981093" w14:textId="77777777" w:rsidR="008E01F9" w:rsidRDefault="008E01F9" w:rsidP="008E01F9">
      <w:pPr>
        <w:pStyle w:val="Heading2"/>
        <w:jc w:val="both"/>
      </w:pPr>
      <w:bookmarkStart w:id="57" w:name="_u6gp6eev33vw" w:colFirst="0" w:colLast="0"/>
      <w:bookmarkEnd w:id="57"/>
      <w:r>
        <w:t>9.5</w:t>
      </w:r>
      <w:r>
        <w:tab/>
        <w:t>Ethics of XR use</w:t>
      </w:r>
    </w:p>
    <w:p w14:paraId="7AC0A194" w14:textId="77777777" w:rsidR="008E01F9" w:rsidRDefault="008E01F9" w:rsidP="008E01F9">
      <w:pPr>
        <w:tabs>
          <w:tab w:val="left" w:pos="794"/>
          <w:tab w:val="left" w:pos="1191"/>
          <w:tab w:val="left" w:pos="1588"/>
          <w:tab w:val="left" w:pos="1985"/>
        </w:tabs>
        <w:jc w:val="both"/>
      </w:pPr>
      <w:r>
        <w:t>XR telemeetings enable individuals to interact with virtual characters representing other real humans in a myriad of possible experiences. In this setting, the reciprocity rule of human interaction, “treat others as you would have them treat you”, may become less clear and open a channel for immoral behavior. Considering potential harm of immoderate use, minimizing content-induced risk, and controlling the level of realism may become ways to ensure the quality and safety of an XR telemeeting service for all populations. For a review, see [b-Slater2020].</w:t>
      </w:r>
    </w:p>
    <w:p w14:paraId="4B03A439" w14:textId="77777777" w:rsidR="008E01F9" w:rsidRDefault="008E01F9" w:rsidP="008E01F9">
      <w:pPr>
        <w:pStyle w:val="Heading2"/>
        <w:jc w:val="both"/>
      </w:pPr>
      <w:bookmarkStart w:id="58" w:name="_jz0yuaweagaa" w:colFirst="0" w:colLast="0"/>
      <w:bookmarkEnd w:id="58"/>
      <w:r>
        <w:t>9.6</w:t>
      </w:r>
      <w:r>
        <w:tab/>
        <w:t>Carving out mental space</w:t>
      </w:r>
    </w:p>
    <w:p w14:paraId="65C0097A" w14:textId="77777777" w:rsidR="008E01F9" w:rsidRDefault="008E01F9" w:rsidP="008E01F9">
      <w:pPr>
        <w:tabs>
          <w:tab w:val="left" w:pos="794"/>
          <w:tab w:val="left" w:pos="1191"/>
          <w:tab w:val="left" w:pos="1588"/>
          <w:tab w:val="left" w:pos="1985"/>
        </w:tabs>
        <w:jc w:val="both"/>
      </w:pPr>
      <w:r>
        <w:t xml:space="preserve">XR conferences do away with physical dislocation, which makes it harder for participants to “be” at a virtual conference [b-ACM2020]. Part of the QoE might arise from the service being able to encourage real-time participation and casual interactions among the participants. </w:t>
      </w:r>
    </w:p>
    <w:p w14:paraId="1338874E" w14:textId="77777777" w:rsidR="008E01F9" w:rsidRDefault="008E01F9" w:rsidP="008E01F9">
      <w:pPr>
        <w:tabs>
          <w:tab w:val="left" w:pos="794"/>
          <w:tab w:val="left" w:pos="1191"/>
          <w:tab w:val="left" w:pos="1588"/>
          <w:tab w:val="left" w:pos="1985"/>
        </w:tabs>
        <w:jc w:val="both"/>
      </w:pPr>
      <w:r>
        <w:t>Regarding surrounding people: social acceptability of being “physically present, but socially absent” [b-ACM2020].</w:t>
      </w:r>
    </w:p>
    <w:p w14:paraId="7AAB8A15" w14:textId="77777777" w:rsidR="008E01F9" w:rsidRDefault="008E01F9" w:rsidP="008E01F9">
      <w:pPr>
        <w:pStyle w:val="Heading2"/>
        <w:jc w:val="both"/>
      </w:pPr>
      <w:bookmarkStart w:id="59" w:name="_f374jlrt8mq8" w:colFirst="0" w:colLast="0"/>
      <w:bookmarkEnd w:id="59"/>
      <w:r>
        <w:lastRenderedPageBreak/>
        <w:t>9.7</w:t>
      </w:r>
      <w:r>
        <w:tab/>
        <w:t>Fatigue and cognitive load</w:t>
      </w:r>
    </w:p>
    <w:p w14:paraId="21DD4429" w14:textId="77777777" w:rsidR="008E01F9" w:rsidRDefault="008E01F9" w:rsidP="008E01F9">
      <w:pPr>
        <w:tabs>
          <w:tab w:val="left" w:pos="794"/>
          <w:tab w:val="left" w:pos="1191"/>
          <w:tab w:val="left" w:pos="1588"/>
          <w:tab w:val="left" w:pos="1985"/>
        </w:tabs>
        <w:spacing w:before="240" w:after="240"/>
        <w:jc w:val="both"/>
      </w:pPr>
      <w:r>
        <w:t>In our digital age, human social interaction is often mediated. Technologies like videoconferencing software (e.g., Zoom, Microsoft Teams, Skype, etc.) are becoming increasingly popular as they afford a new form of virtual togetherness by facilitating shared and synchronous social activities, thereby substituting real-life interactions [b-Hacker2020, b-Shah2020]. To provide the affective experience of in-personal social interactions these tools should reliably and intuitively transmit the social and ambient affective cues that people typically need to build trust, empathy, and confidence in real-life (face-to-face) social settings [b-Nadler2020]. Communication through systems that distort or fail to transmit these cues will result in a lack of social presence (i.e., the feeling of being in the presence of, and having an affective and intellectual connection with, other persons [b-Biocca2003], and may lead to physical and mental exhaustion [b-Hacker2020], a phenomenon that is also known as Zoom-fatigue [b-Nadler2020].</w:t>
      </w:r>
    </w:p>
    <w:p w14:paraId="408CAE8A" w14:textId="77777777" w:rsidR="008E01F9" w:rsidRDefault="008E01F9" w:rsidP="008E01F9">
      <w:pPr>
        <w:pStyle w:val="Heading2"/>
        <w:jc w:val="both"/>
      </w:pPr>
      <w:bookmarkStart w:id="60" w:name="_owdcehmul88v" w:colFirst="0" w:colLast="0"/>
      <w:bookmarkEnd w:id="60"/>
      <w:r>
        <w:t>9.8</w:t>
      </w:r>
      <w:r>
        <w:tab/>
        <w:t>Ability to reach goals</w:t>
      </w:r>
    </w:p>
    <w:p w14:paraId="7010AF35" w14:textId="77777777" w:rsidR="008E01F9" w:rsidRPr="00574690" w:rsidRDefault="008E01F9" w:rsidP="008E01F9">
      <w:pPr>
        <w:tabs>
          <w:tab w:val="left" w:pos="794"/>
          <w:tab w:val="left" w:pos="1191"/>
          <w:tab w:val="left" w:pos="1588"/>
          <w:tab w:val="left" w:pos="1985"/>
        </w:tabs>
        <w:jc w:val="both"/>
      </w:pPr>
      <w:r>
        <w:t>The system should provide means to achieve the targets set for the telemeeting in an effective, efficient, and satisfying manner [b-</w:t>
      </w:r>
      <w:r>
        <w:rPr>
          <w:color w:val="202124"/>
        </w:rPr>
        <w:t>ISO 9241-11</w:t>
      </w:r>
      <w:r>
        <w:t>]. It is still for further study to understand which goals that are easier to reach in an XR meeting than in an ordinary video conference.</w:t>
      </w:r>
    </w:p>
    <w:p w14:paraId="4B1E849B" w14:textId="77777777" w:rsidR="008E01F9" w:rsidRDefault="008E01F9" w:rsidP="008E01F9">
      <w:pPr>
        <w:pStyle w:val="Heading1"/>
      </w:pPr>
      <w:bookmarkStart w:id="61" w:name="_r24krbcxdpzg" w:colFirst="0" w:colLast="0"/>
      <w:bookmarkEnd w:id="61"/>
      <w:r>
        <w:t>10</w:t>
      </w:r>
      <w:r>
        <w:tab/>
        <w:t xml:space="preserve">Test methods targeting XR telemeeting QoE </w:t>
      </w:r>
    </w:p>
    <w:p w14:paraId="6CD20DFD" w14:textId="77777777" w:rsidR="008E01F9" w:rsidRDefault="008E01F9" w:rsidP="001212C4">
      <w:pPr>
        <w:jc w:val="both"/>
      </w:pPr>
      <w:r>
        <w:t>Any test method aiming at evaluating QoE factors in XR telemeetings should control confounding human, context, and system influencing factors, possibly by isolating each factor or designing the test accordingly so all factors can be considered as non-aliased. In particular, system influencing factors, such as rendering technology, and bandwidth allocation, are more likely to be considered as independent variables, whereas human and context influencing factors should be controlled and balanced as to ensure a wide applicability of the obtained results.</w:t>
      </w:r>
    </w:p>
    <w:p w14:paraId="516FA163" w14:textId="77777777" w:rsidR="008E01F9" w:rsidRDefault="008E01F9" w:rsidP="001212C4">
      <w:pPr>
        <w:jc w:val="both"/>
      </w:pPr>
      <w:r>
        <w:t>The test should aim at revealing the effects of the selected independent variables on the dependent variable(s) associated with QoE constituents, as described in Section 8. In particular, two main objectives can be envisioned for a test evaluating the QoE of XR telemeetings:</w:t>
      </w:r>
    </w:p>
    <w:p w14:paraId="428F442F" w14:textId="77777777" w:rsidR="008E01F9" w:rsidRDefault="008E01F9" w:rsidP="008E01F9">
      <w:pPr>
        <w:numPr>
          <w:ilvl w:val="1"/>
          <w:numId w:val="21"/>
        </w:numPr>
      </w:pPr>
      <w:r>
        <w:t>Systematically control an independent variable and observe the effects on QoE.</w:t>
      </w:r>
    </w:p>
    <w:p w14:paraId="0D378429" w14:textId="77777777" w:rsidR="008E01F9" w:rsidRDefault="008E01F9" w:rsidP="008E01F9">
      <w:pPr>
        <w:numPr>
          <w:ilvl w:val="1"/>
          <w:numId w:val="21"/>
        </w:numPr>
        <w:spacing w:before="0"/>
      </w:pPr>
      <w:r>
        <w:t>Testing complete black box systems without exploring individual variables.</w:t>
      </w:r>
    </w:p>
    <w:p w14:paraId="25D5DE81" w14:textId="6C622C87" w:rsidR="008E01F9" w:rsidRDefault="008E01F9" w:rsidP="001212C4">
      <w:pPr>
        <w:jc w:val="both"/>
      </w:pPr>
      <w:r>
        <w:t xml:space="preserve">The test methodology should define a suitable task for the participants, that will allow for the examiner to observe the effects of the independent variables on the dependent variable(s) associated with QoE constituents. In this regard, tasks that mainly focus on audio synchronisation and that have a limited visual and interaction component might not be appropriate to study independent and dependent variables connected to the visual and interactive properties of the XR tele meeting system. As such, the tasks should be carefully selected, making sure that they are suitable for assessing the independent and dependent variables under test. Recommendation ITU-T P.1301 provides a summary of sample tasks for QoE assessment in telemeetings. In the </w:t>
      </w:r>
      <w:r w:rsidR="00566118">
        <w:t>Recommendation</w:t>
      </w:r>
      <w:r>
        <w:t>, tasks are classified according to whether they use audio and video (audiovisual) or audio only. However, these tasks have not yet been validated for XR.</w:t>
      </w:r>
    </w:p>
    <w:p w14:paraId="18C5CAE4" w14:textId="77777777" w:rsidR="008E01F9" w:rsidRDefault="008E01F9" w:rsidP="001212C4">
      <w:pPr>
        <w:jc w:val="both"/>
      </w:pPr>
      <w:r>
        <w:t>Each test should be subject to an ethics review, following the guidelines of the institution where such tests will be performed.</w:t>
      </w:r>
    </w:p>
    <w:p w14:paraId="77054000" w14:textId="77777777" w:rsidR="008E01F9" w:rsidRDefault="008E01F9" w:rsidP="008E01F9">
      <w:pPr>
        <w:pStyle w:val="Heading2"/>
        <w:jc w:val="both"/>
      </w:pPr>
      <w:bookmarkStart w:id="62" w:name="_494sxqlsq7c7" w:colFirst="0" w:colLast="0"/>
      <w:bookmarkEnd w:id="62"/>
      <w:r>
        <w:t>10.1</w:t>
      </w:r>
      <w:r>
        <w:tab/>
        <w:t>Test paradigms</w:t>
      </w:r>
    </w:p>
    <w:p w14:paraId="1F754287" w14:textId="0D5322A5" w:rsidR="008E01F9" w:rsidRDefault="008E01F9" w:rsidP="008E01F9">
      <w:pPr>
        <w:pStyle w:val="Heading3"/>
        <w:ind w:left="0" w:firstLine="0"/>
        <w:jc w:val="both"/>
      </w:pPr>
      <w:bookmarkStart w:id="63" w:name="_3v8ctjbgmuan" w:colFirst="0" w:colLast="0"/>
      <w:bookmarkEnd w:id="63"/>
      <w:r>
        <w:t>10.1.1</w:t>
      </w:r>
      <w:r w:rsidR="00566118">
        <w:tab/>
      </w:r>
      <w:r>
        <w:t>Conversation and behavior analysis</w:t>
      </w:r>
    </w:p>
    <w:p w14:paraId="7085F8B3" w14:textId="77777777" w:rsidR="008E01F9" w:rsidRDefault="008E01F9" w:rsidP="008E01F9">
      <w:pPr>
        <w:jc w:val="both"/>
      </w:pPr>
      <w:r>
        <w:t>The following items need to be taken into account:</w:t>
      </w:r>
    </w:p>
    <w:p w14:paraId="5EA2EC0D" w14:textId="77777777" w:rsidR="008E01F9" w:rsidRDefault="008E01F9" w:rsidP="008E01F9">
      <w:pPr>
        <w:numPr>
          <w:ilvl w:val="0"/>
          <w:numId w:val="22"/>
        </w:numPr>
        <w:jc w:val="both"/>
      </w:pPr>
      <w:r>
        <w:lastRenderedPageBreak/>
        <w:t>Conversation analysis, to examine for example turn taking, and effects of delay [ITU-T P.1305, b-Berndtsson2018]</w:t>
      </w:r>
    </w:p>
    <w:p w14:paraId="2B46A6D6" w14:textId="77777777" w:rsidR="008E01F9" w:rsidRDefault="008E01F9" w:rsidP="008E01F9">
      <w:pPr>
        <w:numPr>
          <w:ilvl w:val="0"/>
          <w:numId w:val="22"/>
        </w:numPr>
        <w:jc w:val="both"/>
      </w:pPr>
      <w:r>
        <w:t>How well collaborators understand the intention of the others [b-Steed2015]. Being able to tell what the other person intends to do based on the subtle gestures and eye gaze alongside their speech [b-Bailenson2021]</w:t>
      </w:r>
    </w:p>
    <w:p w14:paraId="507B19BC" w14:textId="77777777" w:rsidR="008E01F9" w:rsidRDefault="008E01F9" w:rsidP="008E01F9">
      <w:pPr>
        <w:numPr>
          <w:ilvl w:val="0"/>
          <w:numId w:val="22"/>
        </w:numPr>
        <w:jc w:val="both"/>
      </w:pPr>
      <w:r>
        <w:t>Remaining misunderstandings and personality bias arising from collaborative situations. [b-Steed2015]. Should see an improvement over traditional telemeetings</w:t>
      </w:r>
    </w:p>
    <w:p w14:paraId="1D9731C4" w14:textId="77777777" w:rsidR="008E01F9" w:rsidRDefault="008E01F9" w:rsidP="008E01F9">
      <w:pPr>
        <w:numPr>
          <w:ilvl w:val="0"/>
          <w:numId w:val="22"/>
        </w:numPr>
        <w:jc w:val="both"/>
      </w:pPr>
      <w:r>
        <w:t>"Waiting room" paradigm and gaze behavior [b-Bailenson2021]</w:t>
      </w:r>
    </w:p>
    <w:p w14:paraId="4C5CF854" w14:textId="77777777" w:rsidR="008E01F9" w:rsidRDefault="008E01F9" w:rsidP="008E01F9">
      <w:pPr>
        <w:numPr>
          <w:ilvl w:val="0"/>
          <w:numId w:val="22"/>
        </w:numPr>
        <w:jc w:val="both"/>
      </w:pPr>
      <w:r>
        <w:t>Taxonomy (cues, tasks, metrics) [b-Skowronek2022]</w:t>
      </w:r>
    </w:p>
    <w:p w14:paraId="25AF9D56" w14:textId="4964C11F" w:rsidR="008E01F9" w:rsidRDefault="008E01F9" w:rsidP="008E01F9">
      <w:pPr>
        <w:pStyle w:val="Heading3"/>
        <w:jc w:val="both"/>
      </w:pPr>
      <w:bookmarkStart w:id="64" w:name="_25bqzk6ct86z" w:colFirst="0" w:colLast="0"/>
      <w:bookmarkEnd w:id="64"/>
      <w:r>
        <w:t>10.1.2</w:t>
      </w:r>
      <w:r w:rsidR="00566118">
        <w:tab/>
      </w:r>
      <w:r>
        <w:t>Post-experience questionnaires</w:t>
      </w:r>
    </w:p>
    <w:p w14:paraId="5D33B885" w14:textId="77777777" w:rsidR="008E01F9" w:rsidRDefault="008E01F9" w:rsidP="008E01F9">
      <w:r>
        <w:t xml:space="preserve">QoE constituents are typically measured through dedicated post-experience questionnaires. More information about Constituents of QoE in XR telemeetings can be found in section 9. </w:t>
      </w:r>
    </w:p>
    <w:p w14:paraId="243A9CB6" w14:textId="77777777" w:rsidR="008E01F9" w:rsidRDefault="008E01F9" w:rsidP="008E01F9">
      <w:r>
        <w:t>Some examples of measurements used for assessing QoE constituents are:</w:t>
      </w:r>
    </w:p>
    <w:p w14:paraId="779AB626" w14:textId="77777777" w:rsidR="008E01F9" w:rsidRDefault="008E01F9" w:rsidP="008E01F9">
      <w:pPr>
        <w:numPr>
          <w:ilvl w:val="0"/>
          <w:numId w:val="17"/>
        </w:numPr>
        <w:spacing w:before="0" w:line="276" w:lineRule="auto"/>
        <w:jc w:val="both"/>
      </w:pPr>
      <w:r>
        <w:t xml:space="preserve">Simulator sickness: SSQ </w:t>
      </w:r>
      <w:r>
        <w:rPr>
          <w:highlight w:val="white"/>
        </w:rPr>
        <w:t>[b-Kennedy1993], VRSQ [b-Kim2018], VSR [b-Perez2018]</w:t>
      </w:r>
    </w:p>
    <w:p w14:paraId="054ACD50" w14:textId="77777777" w:rsidR="008E01F9" w:rsidRDefault="008E01F9" w:rsidP="008E01F9">
      <w:pPr>
        <w:numPr>
          <w:ilvl w:val="0"/>
          <w:numId w:val="17"/>
        </w:numPr>
        <w:spacing w:before="0" w:line="276" w:lineRule="auto"/>
        <w:jc w:val="both"/>
      </w:pPr>
      <w:r>
        <w:t xml:space="preserve">Immersion [b-Georgiou2017]  </w:t>
      </w:r>
    </w:p>
    <w:p w14:paraId="21B33322" w14:textId="77777777" w:rsidR="008E01F9" w:rsidRDefault="008E01F9" w:rsidP="008E01F9">
      <w:pPr>
        <w:numPr>
          <w:ilvl w:val="0"/>
          <w:numId w:val="17"/>
        </w:numPr>
        <w:spacing w:before="0" w:line="276" w:lineRule="auto"/>
        <w:jc w:val="both"/>
      </w:pPr>
      <w:r>
        <w:t>Presence [b-Benyon2006, b-Schubert2001, b-Slater1994,</w:t>
      </w:r>
      <w:r>
        <w:rPr>
          <w:b/>
        </w:rPr>
        <w:t xml:space="preserve"> </w:t>
      </w:r>
      <w:r>
        <w:t>b-Vorderer2004, b-Witmer2005],  co-presence and social presence [b-Bailenson2003, b-Basdogan2000, b-Harms2004, b-Lessiter2001, b-Li2019, b-Makransky2017]</w:t>
      </w:r>
    </w:p>
    <w:p w14:paraId="72BD5440" w14:textId="77777777" w:rsidR="008E01F9" w:rsidRDefault="008E01F9" w:rsidP="008E01F9">
      <w:pPr>
        <w:numPr>
          <w:ilvl w:val="0"/>
          <w:numId w:val="17"/>
        </w:numPr>
        <w:spacing w:before="0" w:line="276" w:lineRule="auto"/>
        <w:jc w:val="both"/>
      </w:pPr>
      <w:r>
        <w:t>Plausibility [b-Lindau2012]</w:t>
      </w:r>
    </w:p>
    <w:p w14:paraId="6455FE3A" w14:textId="77777777" w:rsidR="008E01F9" w:rsidRDefault="008E01F9" w:rsidP="008E01F9">
      <w:pPr>
        <w:numPr>
          <w:ilvl w:val="0"/>
          <w:numId w:val="17"/>
        </w:numPr>
        <w:spacing w:before="0" w:line="276" w:lineRule="auto"/>
        <w:jc w:val="both"/>
      </w:pPr>
      <w:r>
        <w:t>Fatigue and Cognitive load: NASA-TLX [b-Cao2009, b-Hart1988]</w:t>
      </w:r>
    </w:p>
    <w:p w14:paraId="5206F553" w14:textId="77777777" w:rsidR="008E01F9" w:rsidRDefault="008E01F9" w:rsidP="008E01F9">
      <w:pPr>
        <w:numPr>
          <w:ilvl w:val="0"/>
          <w:numId w:val="17"/>
        </w:numPr>
        <w:spacing w:before="0" w:line="276" w:lineRule="auto"/>
        <w:jc w:val="both"/>
      </w:pPr>
      <w:r>
        <w:t>Engagement [b-O'Brien2010]</w:t>
      </w:r>
    </w:p>
    <w:p w14:paraId="6FFE4D76" w14:textId="77777777" w:rsidR="008E01F9" w:rsidRDefault="008E01F9" w:rsidP="008E01F9">
      <w:pPr>
        <w:numPr>
          <w:ilvl w:val="0"/>
          <w:numId w:val="17"/>
        </w:numPr>
        <w:spacing w:before="0" w:after="240" w:line="276" w:lineRule="auto"/>
        <w:jc w:val="both"/>
      </w:pPr>
      <w:r>
        <w:t>Emotional involvement (valence, arousal) [b-Toet2019]</w:t>
      </w:r>
    </w:p>
    <w:p w14:paraId="09EE9FAE" w14:textId="77777777" w:rsidR="008E01F9" w:rsidRDefault="008E01F9" w:rsidP="008E01F9">
      <w:pPr>
        <w:jc w:val="both"/>
      </w:pPr>
      <w:r>
        <w:t>Additional assessment tools are free form questionnaires and (semi-structured) interviews.</w:t>
      </w:r>
    </w:p>
    <w:p w14:paraId="22709AC6" w14:textId="77777777" w:rsidR="008E01F9" w:rsidRDefault="008E01F9" w:rsidP="008E01F9">
      <w:pPr>
        <w:pStyle w:val="Heading3"/>
        <w:jc w:val="both"/>
      </w:pPr>
      <w:bookmarkStart w:id="65" w:name="_pgrxg67gcu2q" w:colFirst="0" w:colLast="0"/>
      <w:bookmarkEnd w:id="65"/>
      <w:r>
        <w:t>10.1.3</w:t>
      </w:r>
      <w:r>
        <w:tab/>
        <w:t>Physiological measurements</w:t>
      </w:r>
    </w:p>
    <w:p w14:paraId="54EE591F" w14:textId="77777777" w:rsidR="008E01F9" w:rsidRPr="00394F72" w:rsidRDefault="008E01F9" w:rsidP="00394F72">
      <w:pPr>
        <w:jc w:val="both"/>
      </w:pPr>
      <w:r w:rsidRPr="00566118">
        <w:t>Psychophysical measurements reveal participants' quality perception while physiological measurements relate to covert processes that may induce emotional arousal. Prominent measurement options that have been used for physiological-based QoE assessment include the following.</w:t>
      </w:r>
    </w:p>
    <w:p w14:paraId="56DDE722" w14:textId="77777777" w:rsidR="008E01F9" w:rsidRDefault="008E01F9" w:rsidP="001212C4">
      <w:pPr>
        <w:numPr>
          <w:ilvl w:val="0"/>
          <w:numId w:val="20"/>
        </w:numPr>
        <w:jc w:val="both"/>
      </w:pPr>
      <w:r>
        <w:t>Pupillometry: Deals with measuring the pupil of the eye such as pupil size and reactivity. Specifically, in psychology, the recordings of the diameter of the eye in reaction to visual stimuli are explored to determine a participant’s interest in the stimuli. The work reported in [b-Beatty1982] indicates that the pupil diameter can be correlated to processing load, memory, emotion, and arousal. The pilot study reported in [b-Hu2021] on the effect of standing and seated viewing of 360</w:t>
      </w:r>
      <w:r>
        <w:rPr>
          <w:vertAlign w:val="superscript"/>
        </w:rPr>
        <w:t>o</w:t>
      </w:r>
      <w:r>
        <w:t xml:space="preserve"> videos on subjective quality assessment recorded slightly higher pupil dilation for standing viewing. This suggests a slightly more pleasant immersive experience in standing viewing compared to seated viewing.</w:t>
      </w:r>
    </w:p>
    <w:p w14:paraId="19F8DA45" w14:textId="77777777" w:rsidR="008E01F9" w:rsidRDefault="008E01F9" w:rsidP="001212C4">
      <w:pPr>
        <w:numPr>
          <w:ilvl w:val="0"/>
          <w:numId w:val="20"/>
        </w:numPr>
        <w:jc w:val="both"/>
      </w:pPr>
      <w:r>
        <w:t xml:space="preserve">Galvanic skin response (GSR): The GSR measures the resistance on the surface of the human skin, which can be translated to the emotional arousal of a person elicited by visual stimuli. GSR signals consist of a tonic component and a phasic component. The tonic component relates to slow changes in the GSR signal which can be attributed to changes, e.g., the level of stress, and other general changes in autonomic arousal. The phasic component relates to rapid changes or peaks in the GSR signal on top of the tonic level. GSR peak analysis is often used to relate changes in emotional arousal to specific stimuli or unexpected events.  In [b-Engelke2017], it was conjectured that, e.g., immersive environments and interactive systems </w:t>
      </w:r>
      <w:r>
        <w:lastRenderedPageBreak/>
        <w:t>that have an impact on arousal, would benefit more from GSR measurements than conventional viewing environments.</w:t>
      </w:r>
    </w:p>
    <w:p w14:paraId="7ADA5783" w14:textId="77777777" w:rsidR="008E01F9" w:rsidRDefault="008E01F9" w:rsidP="001212C4">
      <w:pPr>
        <w:numPr>
          <w:ilvl w:val="0"/>
          <w:numId w:val="20"/>
        </w:numPr>
        <w:jc w:val="both"/>
      </w:pPr>
      <w:r>
        <w:t>Electroencephalography (EEG): The EEG measures the changes of electrical potentials on the scalp induced by the electrical activity on the surface layer of the brain. Because the EEG has excellent time resolution, it can be used to pinpoint event-related cognitive and emotional processing. The work in [b-Kroupi2014] studied the impact of QoE on brain oscillations where the EEG signal was decomposed into six frequency bands. The results indicate that perceived high/low quality induces positive/negative emotional processes. In [b-Engelke2017], it was reported that brainwaves in the 4-8 Hz band can be used to reveal decreased attention and increased drowsiness while brainwaves in the 8-13 Hz band can be related to decreased alertness and increased relaxation.</w:t>
      </w:r>
    </w:p>
    <w:p w14:paraId="255C439D" w14:textId="77777777" w:rsidR="008E01F9" w:rsidRDefault="008E01F9" w:rsidP="001212C4">
      <w:pPr>
        <w:numPr>
          <w:ilvl w:val="0"/>
          <w:numId w:val="20"/>
        </w:numPr>
        <w:jc w:val="both"/>
      </w:pPr>
      <w:r>
        <w:t>Electrocardiography (ECG): The ECG measures the heart’s electrical activity as voltage over time using electrodes placed on the skin. The work reported in [b-Keighrey2020] observed a slightly higher average heart rate for participants in VR environments compared to non-VR environments. In [b-Egan2016], a physiology-based QoE comparison of interactive AR, VR, and tablet-based applications was provided. The analysis of the heart rate conducted in this work revealed no statistically significant results among the considered environments.</w:t>
      </w:r>
    </w:p>
    <w:p w14:paraId="18AEBCE8" w14:textId="77777777" w:rsidR="008E01F9" w:rsidRDefault="008E01F9">
      <w:pPr>
        <w:spacing w:before="0"/>
        <w:rPr>
          <w:b/>
          <w:sz w:val="28"/>
        </w:rPr>
      </w:pPr>
      <w:r>
        <w:br w:type="page"/>
      </w:r>
    </w:p>
    <w:p w14:paraId="2B34D0D9" w14:textId="2E39A0A5" w:rsidR="003352F5" w:rsidRPr="00EC2A42" w:rsidRDefault="004A106E" w:rsidP="00CC31F6">
      <w:pPr>
        <w:pStyle w:val="AppendixNotitle"/>
      </w:pPr>
      <w:r w:rsidRPr="00EC2A42">
        <w:lastRenderedPageBreak/>
        <w:t>A</w:t>
      </w:r>
      <w:r w:rsidR="00701334" w:rsidRPr="00EC2A42">
        <w:t>ppendix</w:t>
      </w:r>
      <w:r w:rsidRPr="00EC2A42">
        <w:t xml:space="preserve"> I</w:t>
      </w:r>
      <w:r w:rsidR="00701334" w:rsidRPr="00EC2A42">
        <w:br/>
      </w:r>
      <w:r w:rsidR="003352F5" w:rsidRPr="00EC2A42">
        <w:br/>
      </w:r>
      <w:r w:rsidR="008E01F9">
        <w:t>Related work in other standardization bodies and industry</w:t>
      </w:r>
    </w:p>
    <w:p w14:paraId="243CD5F2" w14:textId="77777777" w:rsidR="004A106E" w:rsidRPr="00EC2A42" w:rsidRDefault="004A106E" w:rsidP="003352F5">
      <w:pPr>
        <w:jc w:val="center"/>
      </w:pPr>
      <w:r w:rsidRPr="00EC2A42">
        <w:t xml:space="preserve">(This </w:t>
      </w:r>
      <w:r w:rsidR="00701334" w:rsidRPr="00EC2A42">
        <w:t>a</w:t>
      </w:r>
      <w:r w:rsidRPr="00EC2A42">
        <w:t>ppendix does not form an integral part of this Recommendation</w:t>
      </w:r>
      <w:r w:rsidR="005D2541" w:rsidRPr="00EC2A42">
        <w:t>.</w:t>
      </w:r>
      <w:r w:rsidRPr="00EC2A42">
        <w:t>)</w:t>
      </w:r>
      <w:r w:rsidRPr="00EC2A42">
        <w:br/>
      </w:r>
    </w:p>
    <w:p w14:paraId="544A1B5B" w14:textId="77777777" w:rsidR="008E01F9" w:rsidRDefault="008E01F9" w:rsidP="008E01F9">
      <w:pPr>
        <w:pStyle w:val="Heading2"/>
        <w:jc w:val="both"/>
      </w:pPr>
      <w:r>
        <w:t>I.1</w:t>
      </w:r>
      <w:r>
        <w:tab/>
        <w:t>3rd Generation Partnership Project (3GPP)</w:t>
      </w:r>
    </w:p>
    <w:p w14:paraId="3A085BC8" w14:textId="77777777" w:rsidR="008E01F9" w:rsidRDefault="008E01F9" w:rsidP="008E01F9">
      <w:pPr>
        <w:jc w:val="both"/>
      </w:pPr>
      <w:r>
        <w:t>Frameworks for XR have been analysed by 3GPP [b-TR 26.928]. After defining key terms and outlining the QoE/QoS issues of XR-based services, the delivery of XR in the 5G system is discussed. In addition to the conventional service categories, conversational, interactive, streaming, and download, split compute/rendering is identified as a new delivery category. A survey of 3D, XR visual and audio formats is provided.</w:t>
      </w:r>
    </w:p>
    <w:p w14:paraId="6DB5ECCF" w14:textId="77777777" w:rsidR="008E01F9" w:rsidRDefault="008E01F9" w:rsidP="008E01F9">
      <w:pPr>
        <w:jc w:val="both"/>
      </w:pPr>
      <w:r>
        <w:t>Use cases and device types have been classified, and processing and media centric architectures are introduced. This includes viewport independent and dependent streaming, as well as different distributed computing architecture for XR. Core use cases of XR include those unique to AR and MR in addition to those of VR discussed in [b-TR 26.918], ranging from offline sharing of 3D objects, real-time sharing, multimedia streaming, online gaming, mission critical applications, and multi-party call/conferences.</w:t>
      </w:r>
    </w:p>
    <w:p w14:paraId="774AA347" w14:textId="5C846306" w:rsidR="008E01F9" w:rsidRDefault="008E01F9" w:rsidP="008E01F9">
      <w:pPr>
        <w:jc w:val="both"/>
      </w:pPr>
      <w:r>
        <w:t>In [b-TR 26.998] the findings in [b-</w:t>
      </w:r>
      <w:r>
        <w:rPr>
          <w:highlight w:val="white"/>
        </w:rPr>
        <w:t xml:space="preserve">TR 26.928] have been further analysed with specific focus on </w:t>
      </w:r>
      <w:r>
        <w:t xml:space="preserve">Augmented Reality (AR) experiences and AR glasses. </w:t>
      </w:r>
    </w:p>
    <w:p w14:paraId="5DD7D13E" w14:textId="7B8B43C2" w:rsidR="001212C4" w:rsidRPr="00D6379F" w:rsidRDefault="001212C4" w:rsidP="008E01F9">
      <w:pPr>
        <w:jc w:val="both"/>
      </w:pPr>
      <w:r w:rsidRPr="001212C4">
        <w:t xml:space="preserve">3GPP SA4 </w:t>
      </w:r>
      <w:r>
        <w:t xml:space="preserve">has a number of </w:t>
      </w:r>
      <w:r w:rsidRPr="001212C4">
        <w:t xml:space="preserve">work </w:t>
      </w:r>
      <w:r>
        <w:t xml:space="preserve">items </w:t>
      </w:r>
      <w:r w:rsidRPr="001212C4">
        <w:t>on immersive services</w:t>
      </w:r>
      <w:r>
        <w:t xml:space="preserve">, for example </w:t>
      </w:r>
      <w:r w:rsidR="00223158">
        <w:t>“</w:t>
      </w:r>
      <w:r w:rsidRPr="001212C4">
        <w:t>Immersive Voice and Audio Services (IVAS)</w:t>
      </w:r>
      <w:r w:rsidR="00223158">
        <w:t>” and “</w:t>
      </w:r>
      <w:r w:rsidR="00223158" w:rsidRPr="00223158">
        <w:t>Immersive Real-time Communication for WebRTC (iRTCW)</w:t>
      </w:r>
      <w:r w:rsidR="00223158">
        <w:t>”</w:t>
      </w:r>
      <w:r>
        <w:t>.</w:t>
      </w:r>
    </w:p>
    <w:p w14:paraId="0566D228" w14:textId="77777777" w:rsidR="008E01F9" w:rsidRDefault="008E01F9" w:rsidP="008E01F9">
      <w:pPr>
        <w:pStyle w:val="Heading2"/>
        <w:jc w:val="both"/>
      </w:pPr>
      <w:bookmarkStart w:id="66" w:name="_dlmz34iayjrr" w:colFirst="0" w:colLast="0"/>
      <w:bookmarkEnd w:id="66"/>
      <w:r>
        <w:t>I.2</w:t>
      </w:r>
      <w:r>
        <w:tab/>
        <w:t>Virtual Reality Industry Forum</w:t>
      </w:r>
      <w:r>
        <w:rPr>
          <w:i/>
        </w:rPr>
        <w:t xml:space="preserve"> </w:t>
      </w:r>
      <w:r>
        <w:t>(VRIF)</w:t>
      </w:r>
    </w:p>
    <w:p w14:paraId="549909A5" w14:textId="77777777" w:rsidR="008E01F9" w:rsidRDefault="008E01F9" w:rsidP="008E01F9">
      <w:pPr>
        <w:jc w:val="both"/>
      </w:pPr>
      <w:r>
        <w:t>VRIF will rely on, and liaise with, standards development organizations for the development of standards in support of VR services and devices. The guidelines work is divided in four parallel tracks: VR360, Volumetric, Social VR and 5G Cloud. The latest version of the guidelines can be found at</w:t>
      </w:r>
      <w:hyperlink r:id="rId19">
        <w:r>
          <w:t xml:space="preserve"> </w:t>
        </w:r>
      </w:hyperlink>
      <w:hyperlink r:id="rId20">
        <w:r>
          <w:rPr>
            <w:color w:val="1155CC"/>
            <w:u w:val="single"/>
          </w:rPr>
          <w:t>https://www.vr-if.org/guidelines/</w:t>
        </w:r>
      </w:hyperlink>
    </w:p>
    <w:p w14:paraId="0E13D2DD" w14:textId="77777777" w:rsidR="008E01F9" w:rsidRDefault="008E01F9" w:rsidP="008E01F9">
      <w:pPr>
        <w:pStyle w:val="Heading2"/>
        <w:jc w:val="both"/>
      </w:pPr>
      <w:bookmarkStart w:id="67" w:name="_gvuf5lf9vu8s" w:colFirst="0" w:colLast="0"/>
      <w:bookmarkEnd w:id="67"/>
      <w:r>
        <w:t>I.3</w:t>
      </w:r>
      <w:r>
        <w:tab/>
        <w:t>Moving Picture Experts Group (MPEG)</w:t>
      </w:r>
    </w:p>
    <w:p w14:paraId="298D2C8C" w14:textId="77777777" w:rsidR="008E01F9" w:rsidRDefault="008E01F9" w:rsidP="008E01F9">
      <w:pPr>
        <w:jc w:val="both"/>
      </w:pPr>
      <w:r>
        <w:t>MPEG is a working group of authorities that was formed by ISO and IEC to set standards for audio and video compression and transmission.</w:t>
      </w:r>
    </w:p>
    <w:p w14:paraId="27F2BC8B" w14:textId="77777777" w:rsidR="008E01F9" w:rsidRDefault="008E01F9" w:rsidP="008E01F9">
      <w:pPr>
        <w:pStyle w:val="Heading3"/>
        <w:jc w:val="both"/>
      </w:pPr>
      <w:bookmarkStart w:id="68" w:name="_wivgbgarfwxz" w:colFirst="0" w:colLast="0"/>
      <w:bookmarkEnd w:id="68"/>
      <w:r>
        <w:t xml:space="preserve">I.3.1 </w:t>
      </w:r>
      <w:r>
        <w:tab/>
        <w:t>MPEG-I: Coded Representation of Immersive Media, ISO/IEC 23090</w:t>
      </w:r>
    </w:p>
    <w:p w14:paraId="2637F77D" w14:textId="3951B068" w:rsidR="008E01F9" w:rsidRDefault="008E01F9" w:rsidP="008E01F9">
      <w:pPr>
        <w:jc w:val="both"/>
      </w:pPr>
      <w:r>
        <w:t xml:space="preserve">MPEG-I currently comprises </w:t>
      </w:r>
      <w:r w:rsidR="00223158">
        <w:t xml:space="preserve">a number of </w:t>
      </w:r>
      <w:r>
        <w:t>parts including the recently finalized versatile video coding (VVC), omnidirectional media format (OMAF)</w:t>
      </w:r>
      <w:r w:rsidR="00223158">
        <w:t xml:space="preserve"> for coding of 360° video</w:t>
      </w:r>
      <w:r>
        <w:t>, point cloud compression (PCC), and network-based media processing (NBMP). In the immersive audio coding project, a VR/AR evaluation platform is used to render the visual scene to a head mounted display or AR glasses. The evaluation process is controlled through a hand-held controller and an AB evaluation panel is rendered to the user through the head mounted display.</w:t>
      </w:r>
    </w:p>
    <w:p w14:paraId="4C1E4BD4" w14:textId="77777777" w:rsidR="008E01F9" w:rsidRDefault="008E01F9" w:rsidP="008E01F9">
      <w:pPr>
        <w:pStyle w:val="Heading3"/>
        <w:jc w:val="both"/>
      </w:pPr>
      <w:bookmarkStart w:id="69" w:name="_utrv14jfkpch" w:colFirst="0" w:colLast="0"/>
      <w:bookmarkEnd w:id="69"/>
      <w:r>
        <w:t xml:space="preserve">I.3.2 </w:t>
      </w:r>
      <w:r>
        <w:tab/>
        <w:t xml:space="preserve">ISO/IEC JTC 1/SC 29/AG 5 MPEG Visual Quality Assessment </w:t>
      </w:r>
    </w:p>
    <w:p w14:paraId="414FE08D" w14:textId="77777777" w:rsidR="008E01F9" w:rsidRDefault="008E01F9" w:rsidP="008E01F9">
      <w:pPr>
        <w:jc w:val="both"/>
      </w:pPr>
      <w:r>
        <w:t xml:space="preserve">AG5 is an advisory group devoted to support needs for quality assessment testing in close coordination with the relevant MPEG Working Groups, dealing with visual quality. The activities range from assisting in evaluating visual quality of new technologies, to be considered for new standardization activities, to support in definition for Call for Proposals (CfPs) for new standardization work items, to design subjective quality methodologies and objective quality metrics for assessment in Call for Evidence (CfE) and CfPs, to the evaluation of new standards compared to </w:t>
      </w:r>
      <w:r>
        <w:lastRenderedPageBreak/>
        <w:t>existing solutions. An Ad-hoc Group on Quality of Immersive Visual Media has recently been created, and an Overview of Quality Metrics and Methodologies for Immersive Visual Media (AG 05/N00013) is currently under study in the group.</w:t>
      </w:r>
    </w:p>
    <w:p w14:paraId="30666793" w14:textId="77777777" w:rsidR="008E01F9" w:rsidRDefault="008E01F9" w:rsidP="008E01F9">
      <w:pPr>
        <w:pStyle w:val="Heading2"/>
        <w:jc w:val="both"/>
      </w:pPr>
      <w:bookmarkStart w:id="70" w:name="_g211mou0xai1" w:colFirst="0" w:colLast="0"/>
      <w:bookmarkEnd w:id="70"/>
      <w:r>
        <w:t>I.4</w:t>
      </w:r>
      <w:r>
        <w:tab/>
        <w:t>Khronos Group</w:t>
      </w:r>
    </w:p>
    <w:p w14:paraId="63A050E3" w14:textId="77777777" w:rsidR="008E01F9" w:rsidRDefault="008E01F9" w:rsidP="008E01F9">
      <w:pPr>
        <w:jc w:val="both"/>
      </w:pPr>
      <w:r>
        <w:t xml:space="preserve">Maintains an API called OpenXR which aims to make it easier for software developers and device manufacturers to connect in a platform-agnostic way [b-OpenXR1]. </w:t>
      </w:r>
    </w:p>
    <w:p w14:paraId="184BF02E" w14:textId="77777777" w:rsidR="008E01F9" w:rsidRDefault="008E01F9" w:rsidP="008E01F9">
      <w:pPr>
        <w:pStyle w:val="Heading2"/>
      </w:pPr>
      <w:bookmarkStart w:id="71" w:name="_vrx1prfxxpfl" w:colFirst="0" w:colLast="0"/>
      <w:bookmarkEnd w:id="71"/>
      <w:r>
        <w:t>I.5</w:t>
      </w:r>
      <w:r>
        <w:tab/>
        <w:t>Video Quality Experts Group (VQEG)</w:t>
      </w:r>
    </w:p>
    <w:p w14:paraId="3449D4C7" w14:textId="77777777" w:rsidR="008E01F9" w:rsidRDefault="008E01F9" w:rsidP="008E01F9">
      <w:pPr>
        <w:jc w:val="both"/>
      </w:pPr>
      <w:r>
        <w:t xml:space="preserve">The mission of the VQEG Immersive Media Group (IMG) is quality assessment of immersive media, including virtual reality, augmented reality, stereoscopic 3DTV and multiview. </w:t>
      </w:r>
    </w:p>
    <w:p w14:paraId="0F749563" w14:textId="77777777" w:rsidR="008E01F9" w:rsidRDefault="008E01F9" w:rsidP="008E01F9">
      <w:pPr>
        <w:spacing w:before="240" w:after="240"/>
        <w:jc w:val="both"/>
      </w:pPr>
      <w:r>
        <w:t>The VQEG Psycho-Physiological Quality Assessment (PsyPhyQA) WG is directed towards the development of new psycho-physiological methodologies for subjective assessment and objective measurement of interactive communications services [b-Bosse2019].</w:t>
      </w:r>
    </w:p>
    <w:p w14:paraId="0693A832" w14:textId="77777777" w:rsidR="008E01F9" w:rsidRDefault="008E01F9" w:rsidP="008E01F9">
      <w:pPr>
        <w:jc w:val="both"/>
      </w:pPr>
      <w:r>
        <w:t>VQEG collaborates with ITU-T SG12 and has contributed to corresponding standards, as for example [ITU-T G.1035] “</w:t>
      </w:r>
      <w:r>
        <w:rPr>
          <w:color w:val="444444"/>
        </w:rPr>
        <w:t>Influencing factors on quality of experience (QoE) for virtual reality (VR) services</w:t>
      </w:r>
      <w:r>
        <w:t>” and [ITU-T P.919] “</w:t>
      </w:r>
      <w:r>
        <w:rPr>
          <w:color w:val="444444"/>
          <w:highlight w:val="white"/>
        </w:rPr>
        <w:t>Subjective test methodologies for 360º video on head-mounted displays”</w:t>
      </w:r>
      <w:r>
        <w:t>. The 5G KPI has recently submitted GSTR-5GQoE “QoE requirements for real-time multimedia services over 5G networks”, which includes an XR use case. There is also a collaboration regarding assessment of XR meetings with the IMG group.</w:t>
      </w:r>
    </w:p>
    <w:p w14:paraId="69A8469A" w14:textId="77777777" w:rsidR="008E01F9" w:rsidRDefault="008E01F9" w:rsidP="008E01F9">
      <w:pPr>
        <w:pStyle w:val="Heading2"/>
        <w:jc w:val="both"/>
      </w:pPr>
      <w:bookmarkStart w:id="72" w:name="_awuni0rvm5do" w:colFirst="0" w:colLast="0"/>
      <w:bookmarkEnd w:id="72"/>
      <w:r>
        <w:t>I.6</w:t>
      </w:r>
      <w:r>
        <w:tab/>
        <w:t>European Network on Quality of Experience in Multimedia Systems and Services (Qualinet)</w:t>
      </w:r>
    </w:p>
    <w:p w14:paraId="77A963E0" w14:textId="77777777" w:rsidR="008E01F9" w:rsidRDefault="008E01F9" w:rsidP="008E01F9">
      <w:pPr>
        <w:spacing w:before="0" w:after="120" w:line="276" w:lineRule="auto"/>
        <w:jc w:val="both"/>
        <w:rPr>
          <w:highlight w:val="white"/>
        </w:rPr>
      </w:pPr>
      <w:r>
        <w:rPr>
          <w:highlight w:val="white"/>
        </w:rPr>
        <w:t>The mission of Qualinet is to create a network for multidisciplinary QoE research in Europe. Task Forces are used for collaboration around targeted research questions. One of the Task Forces is “Immersive Media Experiences (IMEx)”.</w:t>
      </w:r>
    </w:p>
    <w:p w14:paraId="386971BA" w14:textId="77777777" w:rsidR="008E01F9" w:rsidRDefault="008E01F9" w:rsidP="008E01F9">
      <w:pPr>
        <w:spacing w:before="0" w:after="200" w:line="276" w:lineRule="auto"/>
        <w:jc w:val="both"/>
        <w:rPr>
          <w:color w:val="1155CC"/>
          <w:u w:val="single"/>
        </w:rPr>
      </w:pPr>
      <w:r>
        <w:t>Qualinet also authored a white paper on the definition of immersive media experience [b-Perkis2020].</w:t>
      </w:r>
    </w:p>
    <w:p w14:paraId="403CAF08" w14:textId="77777777" w:rsidR="008E01F9" w:rsidRDefault="008E01F9" w:rsidP="008E01F9">
      <w:pPr>
        <w:pStyle w:val="Heading2"/>
        <w:spacing w:before="0" w:after="200" w:line="276" w:lineRule="auto"/>
        <w:jc w:val="both"/>
      </w:pPr>
      <w:bookmarkStart w:id="73" w:name="_o048lmqo2wh7" w:colFirst="0" w:colLast="0"/>
      <w:bookmarkEnd w:id="73"/>
      <w:r>
        <w:t>I.7</w:t>
      </w:r>
      <w:r>
        <w:tab/>
        <w:t>World Wide Web Consortium (W3C)</w:t>
      </w:r>
    </w:p>
    <w:p w14:paraId="7313A42A" w14:textId="77777777" w:rsidR="008E01F9" w:rsidRDefault="008E01F9" w:rsidP="008E01F9">
      <w:pPr>
        <w:jc w:val="both"/>
      </w:pPr>
      <w:r>
        <w:t>W3C develops inclusive XR solutions to help create new standards for inclusive XR on the web. W3C identifies accessibility gaps and architecture issues in existing web XR technologies.</w:t>
      </w:r>
    </w:p>
    <w:p w14:paraId="538DCC6D" w14:textId="0DE96013" w:rsidR="008E01F9" w:rsidRDefault="008E01F9" w:rsidP="008E01F9">
      <w:pPr>
        <w:pStyle w:val="Heading2"/>
        <w:jc w:val="both"/>
      </w:pPr>
      <w:bookmarkStart w:id="74" w:name="_soydc263iqnf" w:colFirst="0" w:colLast="0"/>
      <w:bookmarkEnd w:id="74"/>
      <w:r>
        <w:t>I.8</w:t>
      </w:r>
      <w:r w:rsidR="00566118">
        <w:tab/>
      </w:r>
      <w:r>
        <w:t>ITU-T SG16/Q8 Immersive Live Experiences</w:t>
      </w:r>
    </w:p>
    <w:p w14:paraId="01E86478" w14:textId="77777777" w:rsidR="008E01F9" w:rsidRDefault="008E01F9" w:rsidP="008E01F9">
      <w:r>
        <w:t>Current work items:</w:t>
      </w:r>
    </w:p>
    <w:p w14:paraId="4B62EE2A" w14:textId="77777777" w:rsidR="008E01F9" w:rsidRDefault="008E01F9" w:rsidP="008E01F9">
      <w:pPr>
        <w:numPr>
          <w:ilvl w:val="0"/>
          <w:numId w:val="24"/>
        </w:numPr>
      </w:pPr>
      <w:r>
        <w:t>Draft Recommendation Requirements of Interactive Immersive Services: H.IIS-Reqts</w:t>
      </w:r>
    </w:p>
    <w:p w14:paraId="2D579F4C" w14:textId="77777777" w:rsidR="008E01F9" w:rsidRDefault="008E01F9" w:rsidP="008E01F9">
      <w:pPr>
        <w:numPr>
          <w:ilvl w:val="0"/>
          <w:numId w:val="24"/>
        </w:numPr>
        <w:spacing w:before="0"/>
      </w:pPr>
      <w:r>
        <w:t>Update service scenarios of immersive live experience in [ITU-T H.430.3]</w:t>
      </w:r>
    </w:p>
    <w:p w14:paraId="4CE878D5" w14:textId="21C9C2FD" w:rsidR="004A106E" w:rsidRPr="00EC2A42" w:rsidRDefault="004A106E" w:rsidP="004A106E"/>
    <w:p w14:paraId="132D6FCD" w14:textId="77777777" w:rsidR="00CC31F6" w:rsidRDefault="00CC31F6" w:rsidP="00CC31F6"/>
    <w:p w14:paraId="21C8F1F8" w14:textId="34F76D6B" w:rsidR="00CC31F6" w:rsidRPr="00CC31F6" w:rsidRDefault="00CC31F6" w:rsidP="00CC31F6">
      <w:r w:rsidRPr="00CC31F6">
        <w:br w:type="page"/>
      </w:r>
    </w:p>
    <w:p w14:paraId="0D706E01" w14:textId="180C0FDB" w:rsidR="004A106E" w:rsidRPr="00EC2A42" w:rsidRDefault="004A106E" w:rsidP="00CC31F6">
      <w:pPr>
        <w:pStyle w:val="AppendixNotitle"/>
      </w:pPr>
      <w:r w:rsidRPr="00EC2A42">
        <w:lastRenderedPageBreak/>
        <w:t>Bibliography</w:t>
      </w:r>
    </w:p>
    <w:p w14:paraId="4492C880" w14:textId="7210ADB6" w:rsidR="008E01F9" w:rsidRDefault="008E01F9" w:rsidP="00765F22">
      <w:pPr>
        <w:jc w:val="both"/>
        <w:rPr>
          <w:b/>
        </w:rPr>
      </w:pPr>
      <w:r>
        <w:rPr>
          <w:b/>
        </w:rPr>
        <w:t>[b-TR26.918]</w:t>
      </w:r>
      <w:r w:rsidR="00765F22">
        <w:rPr>
          <w:b/>
        </w:rPr>
        <w:t xml:space="preserve"> </w:t>
      </w:r>
      <w:r>
        <w:t>3GPP (2022). TR 26.918 Virtual Reality (VR) media services over 3GPP (Release 17)</w:t>
      </w:r>
    </w:p>
    <w:p w14:paraId="4E22AAB8" w14:textId="34FF0F1E" w:rsidR="008E01F9" w:rsidRDefault="008E01F9" w:rsidP="00765F22">
      <w:pPr>
        <w:jc w:val="both"/>
      </w:pPr>
      <w:r>
        <w:rPr>
          <w:b/>
        </w:rPr>
        <w:t>[b-TR26.928]</w:t>
      </w:r>
      <w:r w:rsidR="00765F22">
        <w:rPr>
          <w:b/>
        </w:rPr>
        <w:t xml:space="preserve"> </w:t>
      </w:r>
      <w:r>
        <w:t>3GPP (2022). TR 26.928 Extended Reality (XR) in 5G (Release 17)</w:t>
      </w:r>
    </w:p>
    <w:p w14:paraId="22FC34FB" w14:textId="7FE0DEEC" w:rsidR="008E01F9" w:rsidRDefault="008E01F9" w:rsidP="00765F22">
      <w:pPr>
        <w:jc w:val="both"/>
      </w:pPr>
      <w:r>
        <w:rPr>
          <w:b/>
        </w:rPr>
        <w:t>[b-TR 26.998]</w:t>
      </w:r>
      <w:r w:rsidR="00765F22">
        <w:t xml:space="preserve"> </w:t>
      </w:r>
      <w:r>
        <w:t>3GPP (2022). TR 26.998 Support of 5G Glass-type Augmented Reality / Mixed Reality (AR/MR) devices (Release 17)</w:t>
      </w:r>
    </w:p>
    <w:p w14:paraId="40893662" w14:textId="5757BD36" w:rsidR="008E01F9" w:rsidRDefault="008E01F9" w:rsidP="00765F22">
      <w:pPr>
        <w:jc w:val="both"/>
      </w:pPr>
      <w:r>
        <w:rPr>
          <w:b/>
        </w:rPr>
        <w:t>[b-ACM2020]</w:t>
      </w:r>
      <w:r w:rsidR="00765F22">
        <w:rPr>
          <w:b/>
        </w:rPr>
        <w:t xml:space="preserve"> </w:t>
      </w:r>
      <w:r>
        <w:t xml:space="preserve">ACM presidential task force (2020). Virtual conferences: A guide to best practices, Version 1.1, 1-30. </w:t>
      </w:r>
      <w:hyperlink r:id="rId21" w:history="1">
        <w:r w:rsidRPr="00AD3980">
          <w:rPr>
            <w:rStyle w:val="Hyperlink"/>
          </w:rPr>
          <w:t>https://people.clarkson.edu/~jmatthew/acm/VirtualConferences_GuideToBestPractices_CURRENT.pdf</w:t>
        </w:r>
      </w:hyperlink>
      <w:r>
        <w:t xml:space="preserve"> (Accessed: 18.5.2020).</w:t>
      </w:r>
    </w:p>
    <w:p w14:paraId="6AF82617" w14:textId="2FAB18B0" w:rsidR="008E01F9" w:rsidRDefault="008E01F9" w:rsidP="00765F22">
      <w:pPr>
        <w:pBdr>
          <w:top w:val="nil"/>
          <w:left w:val="nil"/>
          <w:bottom w:val="nil"/>
          <w:right w:val="nil"/>
          <w:between w:val="nil"/>
        </w:pBdr>
        <w:jc w:val="both"/>
        <w:rPr>
          <w:b/>
        </w:rPr>
      </w:pPr>
      <w:r>
        <w:rPr>
          <w:b/>
        </w:rPr>
        <w:t>[b-Agrawal2021</w:t>
      </w:r>
      <w:r w:rsidR="00765F22">
        <w:t xml:space="preserve">] </w:t>
      </w:r>
      <w:r>
        <w:t>Agrawal, S., Bech, S., Bærentsen, K., De Moor, K., &amp; Forchhammer, S. (2021). Method for Subjective Assessment of Immersion in Audiovisual Experiences. Journal of the Audio Engineering Society, 69 (9), 656-671. doi: 10.17743/jaes.2021.0013.</w:t>
      </w:r>
    </w:p>
    <w:p w14:paraId="4CDA2E0D" w14:textId="77777777" w:rsidR="008E01F9" w:rsidRDefault="008E01F9" w:rsidP="00765F22">
      <w:pPr>
        <w:jc w:val="both"/>
      </w:pPr>
      <w:r>
        <w:rPr>
          <w:b/>
        </w:rPr>
        <w:t>[b-Ahn2021]</w:t>
      </w:r>
      <w:r>
        <w:t xml:space="preserve"> Ahn S.J., Levy L., Eden A., Stevenson Won A., MacIntyre B., &amp; Johnsen K. (2021). IEEEVR2020: Exploring the First Steps Toward Standalone Virtual Conferences. Frontiers in Virtual Reality, 2:648575. doi: 10.3389/frvir.2021.648575.</w:t>
      </w:r>
    </w:p>
    <w:p w14:paraId="69257F90" w14:textId="77777777" w:rsidR="008E01F9" w:rsidRDefault="008E01F9" w:rsidP="00765F22">
      <w:pPr>
        <w:pBdr>
          <w:top w:val="nil"/>
          <w:left w:val="nil"/>
          <w:bottom w:val="nil"/>
          <w:right w:val="nil"/>
          <w:between w:val="nil"/>
        </w:pBdr>
        <w:jc w:val="both"/>
      </w:pPr>
      <w:r>
        <w:rPr>
          <w:b/>
        </w:rPr>
        <w:t>[b-Alexander2005]</w:t>
      </w:r>
      <w:r>
        <w:t xml:space="preserve"> Alexander, A.L., Brunyé, T., Sidman, J., &amp; Weil, S.A. (2005). From gaming to training: a review of studies on fidelity, immersion, presence, and buy-in and their effects on transfer in PC-based simulations and games. In, The Interservice/Industry Training, Simulation, and Education Conference (I/ITSEC'05), pp. 1-14:DARWARS Training Impact Group.</w:t>
      </w:r>
    </w:p>
    <w:p w14:paraId="5E9BA528" w14:textId="77777777" w:rsidR="008E01F9" w:rsidRDefault="008E01F9" w:rsidP="00765F22">
      <w:pPr>
        <w:pBdr>
          <w:top w:val="nil"/>
          <w:left w:val="nil"/>
          <w:bottom w:val="nil"/>
          <w:right w:val="nil"/>
          <w:between w:val="nil"/>
        </w:pBdr>
        <w:jc w:val="both"/>
      </w:pPr>
      <w:r w:rsidRPr="00B57845">
        <w:rPr>
          <w:b/>
          <w:lang w:val="sv-SE"/>
        </w:rPr>
        <w:t>[b-Alsina2010]</w:t>
      </w:r>
      <w:r w:rsidRPr="00B57845">
        <w:rPr>
          <w:lang w:val="sv-SE"/>
        </w:rPr>
        <w:t xml:space="preserve"> Alsina-Jurnet, I., &amp; Gutiérrez-Maldonado, J. (2010). </w:t>
      </w:r>
      <w:r>
        <w:t xml:space="preserve">Influence of personality and individual abilities on the sense of presence experienced in anxiety triggering virtual environments. </w:t>
      </w:r>
      <w:r>
        <w:rPr>
          <w:i/>
        </w:rPr>
        <w:t xml:space="preserve">International Journal of Human-Computer Studies, 68 </w:t>
      </w:r>
      <w:r>
        <w:t>(10), 788-801. doi: 10.1016/j.ijhcs.2010.07.001.</w:t>
      </w:r>
    </w:p>
    <w:p w14:paraId="141BD450" w14:textId="77777777" w:rsidR="008E01F9" w:rsidRDefault="008E01F9" w:rsidP="00765F22">
      <w:pPr>
        <w:pBdr>
          <w:top w:val="nil"/>
          <w:left w:val="nil"/>
          <w:bottom w:val="nil"/>
          <w:right w:val="nil"/>
          <w:between w:val="nil"/>
        </w:pBdr>
        <w:jc w:val="both"/>
      </w:pPr>
      <w:r>
        <w:rPr>
          <w:b/>
        </w:rPr>
        <w:t>[b-Bailenson2003]</w:t>
      </w:r>
      <w:r>
        <w:t xml:space="preserve"> Bailenson, J.N., Blascovich, J., Beall, A.C., &amp; Loomis, J.M. (2003). Interpersonal distance in immersive virtual environments. </w:t>
      </w:r>
      <w:r>
        <w:rPr>
          <w:i/>
        </w:rPr>
        <w:t xml:space="preserve">Personality and Social Psychology Bulletin, 29 </w:t>
      </w:r>
      <w:r>
        <w:t>(7), 819-833. doi: 10.1177/0146167203029007002.</w:t>
      </w:r>
    </w:p>
    <w:p w14:paraId="0AACC04E" w14:textId="77777777" w:rsidR="008E01F9" w:rsidRDefault="008E01F9" w:rsidP="00765F22">
      <w:pPr>
        <w:pBdr>
          <w:top w:val="nil"/>
          <w:left w:val="nil"/>
          <w:bottom w:val="nil"/>
          <w:right w:val="nil"/>
          <w:between w:val="nil"/>
        </w:pBdr>
        <w:jc w:val="both"/>
      </w:pPr>
      <w:r>
        <w:rPr>
          <w:b/>
        </w:rPr>
        <w:t xml:space="preserve">[b-Bailenson2021] </w:t>
      </w:r>
      <w:r>
        <w:t xml:space="preserve">Bailenson, J.N. (2021). Nonverbal Overload: A Theoretical Argument for the Causes of Zoom Fatigue. </w:t>
      </w:r>
      <w:r>
        <w:rPr>
          <w:i/>
        </w:rPr>
        <w:t>Technology, Mind, and Behaviour, 2</w:t>
      </w:r>
      <w:r>
        <w:t xml:space="preserve"> (1), doi: 10.1037/tmb0000030.</w:t>
      </w:r>
    </w:p>
    <w:p w14:paraId="205A2F81" w14:textId="77777777" w:rsidR="008E01F9" w:rsidRDefault="008E01F9" w:rsidP="00765F22">
      <w:pPr>
        <w:pBdr>
          <w:top w:val="nil"/>
          <w:left w:val="nil"/>
          <w:bottom w:val="nil"/>
          <w:right w:val="nil"/>
          <w:between w:val="nil"/>
        </w:pBdr>
        <w:jc w:val="both"/>
      </w:pPr>
      <w:r>
        <w:rPr>
          <w:b/>
        </w:rPr>
        <w:t>[b-Basdogan2000]</w:t>
      </w:r>
      <w:r>
        <w:t xml:space="preserve"> Basdogan, C., Ho, C.-H., Srinivasan, M.A., &amp; Slater, M. (2000). An experimental study on the role of touch in shared virtual environments. </w:t>
      </w:r>
      <w:r>
        <w:rPr>
          <w:i/>
        </w:rPr>
        <w:t xml:space="preserve">ACM Transactions on Computer-Human Interaction, 7 </w:t>
      </w:r>
      <w:r>
        <w:t>(4), 443-460. doi: 10.1145/365058.365082.</w:t>
      </w:r>
    </w:p>
    <w:p w14:paraId="3EDD200F" w14:textId="4D1767A8" w:rsidR="008E01F9" w:rsidRDefault="008E01F9" w:rsidP="00765F22">
      <w:pPr>
        <w:pBdr>
          <w:top w:val="nil"/>
          <w:left w:val="nil"/>
          <w:bottom w:val="nil"/>
          <w:right w:val="nil"/>
          <w:between w:val="nil"/>
        </w:pBdr>
        <w:jc w:val="both"/>
      </w:pPr>
      <w:r>
        <w:rPr>
          <w:b/>
        </w:rPr>
        <w:t>[b-Becker2021]</w:t>
      </w:r>
      <w:r>
        <w:t xml:space="preserve"> Becker, S., Schrills, T., and Franke, T. (2021). "Social Presence Despite Isolation - Insights into the Relation Between Psychological Distance and Sensory Synchronization in Computer-Mediated Communication", in: </w:t>
      </w:r>
      <w:r>
        <w:rPr>
          <w:i/>
        </w:rPr>
        <w:t>Proceedings of the 21st Congress of the International Ergonomics Association (IEA 2021)</w:t>
      </w:r>
      <w:r>
        <w:t>, eds. N.L. Black, W.P. Neumann &amp; I. Noy. Springer International Publishing, 145-153.</w:t>
      </w:r>
    </w:p>
    <w:p w14:paraId="4423C221" w14:textId="77777777" w:rsidR="008E01F9" w:rsidRDefault="008E01F9" w:rsidP="00765F22">
      <w:pPr>
        <w:pBdr>
          <w:top w:val="nil"/>
          <w:left w:val="nil"/>
          <w:bottom w:val="nil"/>
          <w:right w:val="nil"/>
          <w:between w:val="nil"/>
        </w:pBdr>
        <w:jc w:val="both"/>
      </w:pPr>
      <w:r>
        <w:rPr>
          <w:b/>
        </w:rPr>
        <w:t>[b-Benyon2006]</w:t>
      </w:r>
      <w:r>
        <w:t xml:space="preserve"> Benyon, D., Smyth, M., O'Neill, S., McCall, R., &amp; Carroll, F. (2006). The Place Probe: Exploring a Sense of Place in Real and Virtual Environments. </w:t>
      </w:r>
      <w:r>
        <w:rPr>
          <w:i/>
        </w:rPr>
        <w:t xml:space="preserve">Presence: Tele-operators and Virtual environments, 15 </w:t>
      </w:r>
      <w:r>
        <w:t>(6), 668-687.</w:t>
      </w:r>
    </w:p>
    <w:p w14:paraId="2ADB4E4C" w14:textId="77777777" w:rsidR="008E01F9" w:rsidRDefault="008E01F9" w:rsidP="00765F22">
      <w:pPr>
        <w:jc w:val="both"/>
      </w:pPr>
      <w:r w:rsidRPr="00390D60">
        <w:rPr>
          <w:b/>
          <w:lang w:val="sv-SE"/>
        </w:rPr>
        <w:t>[b-Bergström2017]</w:t>
      </w:r>
      <w:r w:rsidRPr="00390D60">
        <w:rPr>
          <w:b/>
          <w:lang w:val="sv-SE"/>
        </w:rPr>
        <w:tab/>
      </w:r>
      <w:r w:rsidRPr="00390D60">
        <w:rPr>
          <w:lang w:val="sv-SE"/>
        </w:rPr>
        <w:t xml:space="preserve">Bergström, I., Azevedo, S., Papiotis, P., Saldanha, N., &amp; Slater, M. (2017). </w:t>
      </w:r>
      <w:r>
        <w:t xml:space="preserve">The Plausibility of a String Quartet Performance in Virtual Reality. IEEE Transactions on Visualization and Computer Graphics, 23(4), 1332–1339. </w:t>
      </w:r>
      <w:hyperlink r:id="rId22">
        <w:r>
          <w:rPr>
            <w:color w:val="1155CC"/>
            <w:u w:val="single"/>
          </w:rPr>
          <w:t>https://doi.org/10.1109/TVCG.2017.2657138</w:t>
        </w:r>
      </w:hyperlink>
    </w:p>
    <w:p w14:paraId="3A577913" w14:textId="77777777" w:rsidR="008E01F9" w:rsidRDefault="008E01F9" w:rsidP="00765F22">
      <w:pPr>
        <w:jc w:val="both"/>
      </w:pPr>
      <w:r w:rsidRPr="00DF1CA1">
        <w:rPr>
          <w:b/>
          <w:lang w:val="de-DE"/>
        </w:rPr>
        <w:t>[b-Berndtsson2018]</w:t>
      </w:r>
      <w:r w:rsidRPr="00DF1CA1">
        <w:rPr>
          <w:b/>
          <w:lang w:val="de-DE"/>
        </w:rPr>
        <w:tab/>
      </w:r>
      <w:r w:rsidRPr="00DF1CA1">
        <w:rPr>
          <w:lang w:val="de-DE"/>
        </w:rPr>
        <w:t xml:space="preserve">Berndtsson, G., Schmitt, M., Hughes, P., Skowronek, J., Schoenenberg, K., &amp; Raake, A. (2018). </w:t>
      </w:r>
      <w:r>
        <w:t xml:space="preserve">Methods for Human-Centered Evaluation of MediaSync in Real-Time </w:t>
      </w:r>
      <w:r>
        <w:lastRenderedPageBreak/>
        <w:t xml:space="preserve">Communication. In M. Montagud, P. Cesar, F. Boronat, &amp; J. Jansen (Eds.), MediaSync: Handbook on Multimedia Synchronization (pp. 229–270). Cham: Springer International Publishing. </w:t>
      </w:r>
      <w:hyperlink r:id="rId23">
        <w:r>
          <w:rPr>
            <w:color w:val="1155CC"/>
            <w:u w:val="single"/>
          </w:rPr>
          <w:t>https://doi.org/10.1007/978-3-319-65840-7_9</w:t>
        </w:r>
      </w:hyperlink>
    </w:p>
    <w:p w14:paraId="48CCA1F9" w14:textId="77777777" w:rsidR="008E01F9" w:rsidRDefault="008E01F9" w:rsidP="00765F22">
      <w:pPr>
        <w:jc w:val="both"/>
      </w:pPr>
      <w:r>
        <w:rPr>
          <w:b/>
        </w:rPr>
        <w:t>[b-Biocca2003]</w:t>
      </w:r>
      <w:r>
        <w:t xml:space="preserve"> Biocca, F., Harms, C., &amp; Burgoon, J.K. (2003). Toward a more robust theory and measure of social presence: Review and suggested criteria. Presence: Teleoperators and Virtual Environments, 12 (5), pp. 456-480. doi: 10.1162/105474603322761270.</w:t>
      </w:r>
    </w:p>
    <w:p w14:paraId="6D6E9FA7" w14:textId="77777777" w:rsidR="008E01F9" w:rsidRDefault="008E01F9" w:rsidP="00765F22">
      <w:pPr>
        <w:jc w:val="both"/>
      </w:pPr>
      <w:r>
        <w:rPr>
          <w:b/>
        </w:rPr>
        <w:t xml:space="preserve">[b-Blascovich2002] </w:t>
      </w:r>
      <w:r>
        <w:t>Blascovich, J. (2002). Social influence within immersive virtual environments. In The social life of avatars (pp. 127-145). Springer, London.</w:t>
      </w:r>
    </w:p>
    <w:p w14:paraId="47EFAD79" w14:textId="77777777" w:rsidR="008E01F9" w:rsidRDefault="008E01F9" w:rsidP="00765F22">
      <w:pPr>
        <w:jc w:val="both"/>
      </w:pPr>
      <w:r w:rsidRPr="00394F72">
        <w:rPr>
          <w:b/>
          <w:bCs/>
        </w:rPr>
        <w:t>[b-</w:t>
      </w:r>
      <w:r w:rsidRPr="004E44E5">
        <w:rPr>
          <w:b/>
          <w:bCs/>
        </w:rPr>
        <w:t>Bosse2019</w:t>
      </w:r>
      <w:r w:rsidRPr="00394F72">
        <w:rPr>
          <w:b/>
          <w:bCs/>
        </w:rPr>
        <w:t>]</w:t>
      </w:r>
      <w:r>
        <w:t xml:space="preserve"> Bosse, S., Brunnström K., Arndt S, Martini MG, Ramzan N, Engelke U (2019) A common framework for the evaluation of psychophysiological visual quality assessment. Quality and User Experience 4 (1):1-10. doi:10.1007/s41233-019-0025-5</w:t>
      </w:r>
    </w:p>
    <w:p w14:paraId="50DED2B3" w14:textId="77777777" w:rsidR="008E01F9" w:rsidRDefault="008E01F9" w:rsidP="00765F22">
      <w:pPr>
        <w:spacing w:before="240" w:after="240"/>
        <w:jc w:val="both"/>
      </w:pPr>
      <w:r>
        <w:rPr>
          <w:b/>
        </w:rPr>
        <w:t>[b-Bozgeyikli2016]</w:t>
      </w:r>
      <w:r>
        <w:tab/>
        <w:t>Bozgeyikli, E., Raij, A., Katkoori, S., &amp; Dubey, R. (2016). Point &amp; Teleport Locomotion Technique for Virtual Reality. In Proceedings of the ACM Annual Symposium on Computer-Human Interaction in Play, Austin, TX, USA, pp. 205–216.</w:t>
      </w:r>
    </w:p>
    <w:p w14:paraId="0F45EB68" w14:textId="77777777" w:rsidR="008E01F9" w:rsidRPr="00394F72" w:rsidRDefault="008E01F9" w:rsidP="00765F22">
      <w:pPr>
        <w:spacing w:before="240" w:after="240"/>
        <w:jc w:val="both"/>
        <w:rPr>
          <w:lang w:val="fr-FR"/>
        </w:rPr>
      </w:pPr>
      <w:r w:rsidRPr="00B57845">
        <w:rPr>
          <w:b/>
          <w:lang w:val="sv-SE"/>
        </w:rPr>
        <w:t>[b-Brunnström2013]</w:t>
      </w:r>
      <w:r w:rsidRPr="00B57845">
        <w:rPr>
          <w:lang w:val="sv-SE"/>
        </w:rPr>
        <w:tab/>
        <w:t xml:space="preserve">Brunnström, K., Beker, S. A., de Moor, K., Dooms, A., Egger, S., et al. </w:t>
      </w:r>
      <w:r>
        <w:t xml:space="preserve">(2013). Qualinet White Paper on Definitions of Quality of Experience. </w:t>
      </w:r>
      <w:hyperlink r:id="rId24">
        <w:r w:rsidRPr="00394F72">
          <w:rPr>
            <w:color w:val="1155CC"/>
            <w:u w:val="single"/>
            <w:lang w:val="fr-FR"/>
          </w:rPr>
          <w:t>https://hal.archives-ouvertes.fr/hal-00977812</w:t>
        </w:r>
      </w:hyperlink>
    </w:p>
    <w:p w14:paraId="0864A81C" w14:textId="77777777" w:rsidR="008E01F9" w:rsidRDefault="008E01F9" w:rsidP="00765F22">
      <w:pPr>
        <w:spacing w:line="276" w:lineRule="auto"/>
        <w:jc w:val="both"/>
      </w:pPr>
      <w:r w:rsidRPr="00B57845">
        <w:rPr>
          <w:b/>
          <w:lang w:val="sv-SE"/>
        </w:rPr>
        <w:t>[b-Brunnström2020]</w:t>
      </w:r>
      <w:r w:rsidRPr="00B57845">
        <w:rPr>
          <w:lang w:val="sv-SE"/>
        </w:rPr>
        <w:t xml:space="preserve"> Brunnström, K. et al. </w:t>
      </w:r>
      <w:r>
        <w:t xml:space="preserve">(2020). Latency impact on Quality of Experience in a virtual reality simulator for remote control of machines. </w:t>
      </w:r>
      <w:r>
        <w:rPr>
          <w:i/>
        </w:rPr>
        <w:t>Signal Processing: Image Communication 89</w:t>
      </w:r>
      <w:r>
        <w:t xml:space="preserve"> (2020), Elsevier, </w:t>
      </w:r>
      <w:hyperlink r:id="rId25">
        <w:r>
          <w:rPr>
            <w:color w:val="1155CC"/>
            <w:u w:val="single"/>
          </w:rPr>
          <w:t>https://doi.org/10.1016/j.image.2020.116005</w:t>
        </w:r>
      </w:hyperlink>
    </w:p>
    <w:p w14:paraId="1891FDE9" w14:textId="77777777" w:rsidR="008E01F9" w:rsidRPr="00225505" w:rsidRDefault="008E01F9" w:rsidP="00765F22">
      <w:pPr>
        <w:spacing w:line="276" w:lineRule="auto"/>
        <w:jc w:val="both"/>
      </w:pPr>
      <w:r>
        <w:rPr>
          <w:b/>
        </w:rPr>
        <w:t>[b-Beatty1982]</w:t>
      </w:r>
      <w:r>
        <w:t xml:space="preserve"> Beatty, J. (1982). Task-evoked pupillary responses, processing load, and the structure of processing resources. Psychol. Bull, 91, pp. 276-229.</w:t>
      </w:r>
    </w:p>
    <w:p w14:paraId="33C68EEA" w14:textId="77777777" w:rsidR="008E01F9" w:rsidRPr="00225505" w:rsidRDefault="008E01F9" w:rsidP="00765F22">
      <w:pPr>
        <w:jc w:val="both"/>
      </w:pPr>
      <w:r w:rsidRPr="00225505">
        <w:rPr>
          <w:b/>
        </w:rPr>
        <w:t>[b-Cahill2018]</w:t>
      </w:r>
      <w:r w:rsidRPr="00225505">
        <w:t xml:space="preserve"> Cahill, T.J. (2018). Dimensions  of congruity in immersive virtual environments:  A framework for the schematic processing of multimodal sensory cues In, </w:t>
      </w:r>
      <w:r w:rsidRPr="00225505">
        <w:rPr>
          <w:i/>
        </w:rPr>
        <w:t>18th Conference of the International Society for Presence Research</w:t>
      </w:r>
      <w:r w:rsidRPr="00225505">
        <w:t xml:space="preserve">:International Society for Presence Research. Available from </w:t>
      </w:r>
      <w:hyperlink r:id="rId26">
        <w:r w:rsidRPr="00225505">
          <w:rPr>
            <w:color w:val="1155CC"/>
            <w:u w:val="single"/>
          </w:rPr>
          <w:t>http://matthewlombard.com/ISPR/Proceedings/2018/P2018-Cahill.pdf</w:t>
        </w:r>
      </w:hyperlink>
    </w:p>
    <w:p w14:paraId="6365747B" w14:textId="77777777" w:rsidR="008E01F9" w:rsidRDefault="008E01F9" w:rsidP="00765F22">
      <w:pPr>
        <w:pBdr>
          <w:top w:val="nil"/>
          <w:left w:val="nil"/>
          <w:bottom w:val="nil"/>
          <w:right w:val="nil"/>
          <w:between w:val="nil"/>
        </w:pBdr>
        <w:jc w:val="both"/>
      </w:pPr>
      <w:r>
        <w:rPr>
          <w:b/>
        </w:rPr>
        <w:t>[b-Cao2009]</w:t>
      </w:r>
      <w:r>
        <w:t xml:space="preserve"> Cao, </w:t>
      </w:r>
      <w:r>
        <w:rPr>
          <w:sz w:val="22"/>
          <w:szCs w:val="22"/>
        </w:rPr>
        <w:t>A</w:t>
      </w:r>
      <w:r>
        <w:t xml:space="preserve">., Chintamani, K.K., Pandya, A.K., &amp; Ellis, R.D. (2009). NASA TLX: Software for assessing subjective mental workload. </w:t>
      </w:r>
      <w:r>
        <w:rPr>
          <w:i/>
        </w:rPr>
        <w:t xml:space="preserve">Behavior Research Methods, 41 </w:t>
      </w:r>
      <w:r>
        <w:t>(1), 113-117. doi: 10.3758/BRM.41.1.113.</w:t>
      </w:r>
    </w:p>
    <w:p w14:paraId="46328BD8" w14:textId="77777777" w:rsidR="008E01F9" w:rsidRDefault="008E01F9" w:rsidP="00765F22">
      <w:pPr>
        <w:jc w:val="both"/>
      </w:pPr>
      <w:r>
        <w:rPr>
          <w:b/>
        </w:rPr>
        <w:t xml:space="preserve">[b-Caserman2019] </w:t>
      </w:r>
      <w:r>
        <w:t xml:space="preserve">Caserman, P., Garcia-Agundez, A., Konrad, R., Göbel, S., &amp; Steinmetz, R. (2019). Real-time body tracking in virtual reality using a Vive tracker. </w:t>
      </w:r>
      <w:r>
        <w:rPr>
          <w:i/>
        </w:rPr>
        <w:t>Virtual Reality</w:t>
      </w:r>
      <w:r>
        <w:t xml:space="preserve"> (2019) 23:155–168. </w:t>
      </w:r>
      <w:hyperlink r:id="rId27">
        <w:r>
          <w:rPr>
            <w:color w:val="1155CC"/>
            <w:u w:val="single"/>
          </w:rPr>
          <w:t>https://doi.org/10.1007/s10055-018-0374-z</w:t>
        </w:r>
      </w:hyperlink>
      <w:r>
        <w:t xml:space="preserve"> </w:t>
      </w:r>
    </w:p>
    <w:p w14:paraId="1C2BAC4C" w14:textId="77777777" w:rsidR="008E01F9" w:rsidRPr="00DF1CA1" w:rsidRDefault="008E01F9" w:rsidP="00765F22">
      <w:pPr>
        <w:jc w:val="both"/>
        <w:rPr>
          <w:lang w:val="de-DE"/>
        </w:rPr>
      </w:pPr>
      <w:r w:rsidRPr="00394F72">
        <w:rPr>
          <w:b/>
        </w:rPr>
        <w:t>[b-Cortés2020]</w:t>
      </w:r>
      <w:r w:rsidRPr="00394F72">
        <w:t xml:space="preserve"> Cortés, C., Pérez, P., Gutiérrez, J., &amp; García, N. (2020, May). </w:t>
      </w:r>
      <w:r>
        <w:t>Influence of Video Delay on Quality, Presence, and Sickness in Viewport Adaptive Immersive Streaming. In</w:t>
      </w:r>
      <w:r>
        <w:rPr>
          <w:i/>
        </w:rPr>
        <w:t xml:space="preserve"> 2020 Twelfth International Conference on Quality of Multimedia Experience (QoMEX)</w:t>
      </w:r>
      <w:r>
        <w:t xml:space="preserve"> (pp. 1-4). </w:t>
      </w:r>
      <w:r w:rsidRPr="00DF1CA1">
        <w:rPr>
          <w:lang w:val="de-DE"/>
        </w:rPr>
        <w:t xml:space="preserve">IEEE. </w:t>
      </w:r>
      <w:hyperlink r:id="rId28">
        <w:r w:rsidRPr="00DF1CA1">
          <w:rPr>
            <w:color w:val="1155CC"/>
            <w:u w:val="single"/>
            <w:lang w:val="de-DE"/>
          </w:rPr>
          <w:t>https://doi.org/10.1109/QoMEX48832.2020.9123114</w:t>
        </w:r>
      </w:hyperlink>
      <w:r w:rsidRPr="00DF1CA1">
        <w:rPr>
          <w:lang w:val="de-DE"/>
        </w:rPr>
        <w:t xml:space="preserve"> </w:t>
      </w:r>
    </w:p>
    <w:p w14:paraId="527D9662" w14:textId="77777777" w:rsidR="008E01F9" w:rsidRPr="00B57845" w:rsidRDefault="008E01F9" w:rsidP="00765F22">
      <w:pPr>
        <w:pBdr>
          <w:top w:val="nil"/>
          <w:left w:val="nil"/>
          <w:bottom w:val="nil"/>
          <w:right w:val="nil"/>
          <w:between w:val="nil"/>
        </w:pBdr>
        <w:jc w:val="both"/>
        <w:rPr>
          <w:lang w:val="sv-SE"/>
        </w:rPr>
      </w:pPr>
      <w:r w:rsidRPr="00DF1CA1">
        <w:rPr>
          <w:b/>
          <w:lang w:val="de-DE"/>
        </w:rPr>
        <w:t>[b-Diel2021]</w:t>
      </w:r>
      <w:r w:rsidRPr="00DF1CA1">
        <w:rPr>
          <w:lang w:val="de-DE"/>
        </w:rPr>
        <w:t xml:space="preserve"> Diel, A., Weigelt, S., and Macdorman, K.F. (2021). </w:t>
      </w:r>
      <w:r>
        <w:t xml:space="preserve">A Meta-analysis of the Uncanny Valley's Independent and Dependent Variables. </w:t>
      </w:r>
      <w:r w:rsidRPr="00B57845">
        <w:rPr>
          <w:i/>
          <w:lang w:val="sv-SE"/>
        </w:rPr>
        <w:t>J. Hum.-Robot Interact.</w:t>
      </w:r>
      <w:r w:rsidRPr="00B57845">
        <w:rPr>
          <w:lang w:val="sv-SE"/>
        </w:rPr>
        <w:t xml:space="preserve"> 11(1)</w:t>
      </w:r>
      <w:r w:rsidRPr="00B57845">
        <w:rPr>
          <w:b/>
          <w:lang w:val="sv-SE"/>
        </w:rPr>
        <w:t>,</w:t>
      </w:r>
      <w:r w:rsidRPr="00B57845">
        <w:rPr>
          <w:lang w:val="sv-SE"/>
        </w:rPr>
        <w:t xml:space="preserve"> Article 1. doi: 10.1145/3470742.</w:t>
      </w:r>
    </w:p>
    <w:p w14:paraId="36FEFEF9" w14:textId="77777777" w:rsidR="008E01F9" w:rsidRDefault="008E01F9" w:rsidP="00765F22">
      <w:pPr>
        <w:jc w:val="both"/>
      </w:pPr>
      <w:r w:rsidRPr="00B57845">
        <w:rPr>
          <w:b/>
          <w:lang w:val="sv-SE"/>
        </w:rPr>
        <w:t>[b-Dima2020]</w:t>
      </w:r>
      <w:r>
        <w:rPr>
          <w:b/>
          <w:lang w:val="sv-SE"/>
        </w:rPr>
        <w:t xml:space="preserve"> </w:t>
      </w:r>
      <w:r w:rsidRPr="00B57845">
        <w:rPr>
          <w:lang w:val="sv-SE"/>
        </w:rPr>
        <w:t xml:space="preserve">Dima, E., Brunnström, K., Sjöström, M., Andersson, M., Edlund, J., &amp; Johanson, M. (2020). </w:t>
      </w:r>
      <w:r>
        <w:t xml:space="preserve">Joint effects of depth-aiding augmentations and viewing positions on the quality of experience in augmented telepresence. Quality and User Experience, 1–17. </w:t>
      </w:r>
      <w:hyperlink r:id="rId29">
        <w:r>
          <w:rPr>
            <w:color w:val="1155CC"/>
            <w:u w:val="single"/>
          </w:rPr>
          <w:t>https://doi.org/10.1007/s41233-020-0031-7</w:t>
        </w:r>
      </w:hyperlink>
    </w:p>
    <w:p w14:paraId="6F887A55" w14:textId="77777777" w:rsidR="008E01F9" w:rsidRDefault="008E01F9" w:rsidP="00765F22">
      <w:pPr>
        <w:spacing w:before="0"/>
        <w:jc w:val="both"/>
        <w:rPr>
          <w:b/>
        </w:rPr>
      </w:pPr>
    </w:p>
    <w:p w14:paraId="61CA13F3" w14:textId="77777777" w:rsidR="008E01F9" w:rsidRDefault="008E01F9" w:rsidP="00765F22">
      <w:pPr>
        <w:spacing w:before="0"/>
        <w:jc w:val="both"/>
        <w:rPr>
          <w:b/>
        </w:rPr>
      </w:pPr>
      <w:r>
        <w:rPr>
          <w:b/>
        </w:rPr>
        <w:lastRenderedPageBreak/>
        <w:t xml:space="preserve">[b-Döring2022] </w:t>
      </w:r>
      <w:r>
        <w:t xml:space="preserve">Döring, N., De Moor, K., Fiedler, M., Schoenenberg, K., and Raake, A. (2022) Videoconference Fatigue: A Conceptual Analysis”. </w:t>
      </w:r>
      <w:r>
        <w:rPr>
          <w:i/>
        </w:rPr>
        <w:t>International Journal of Environmental Research and Public Health</w:t>
      </w:r>
      <w:r>
        <w:t xml:space="preserve"> 19.4 (2022). URL: </w:t>
      </w:r>
      <w:hyperlink r:id="rId30">
        <w:r>
          <w:rPr>
            <w:color w:val="1155CC"/>
            <w:u w:val="single"/>
          </w:rPr>
          <w:t>https://www.mdpi.com/1660-4601/19/4/2061</w:t>
        </w:r>
      </w:hyperlink>
      <w:r>
        <w:t xml:space="preserve"> </w:t>
      </w:r>
    </w:p>
    <w:p w14:paraId="206C41E6" w14:textId="77777777" w:rsidR="008E01F9" w:rsidRDefault="008E01F9" w:rsidP="00765F22">
      <w:pPr>
        <w:jc w:val="both"/>
      </w:pPr>
      <w:r w:rsidRPr="00B57845">
        <w:rPr>
          <w:b/>
          <w:lang w:val="sv-SE"/>
        </w:rPr>
        <w:t>[b-Duzmanska2018]</w:t>
      </w:r>
      <w:r w:rsidRPr="00B57845">
        <w:rPr>
          <w:b/>
          <w:lang w:val="sv-SE"/>
        </w:rPr>
        <w:tab/>
      </w:r>
      <w:r w:rsidRPr="00B57845">
        <w:rPr>
          <w:lang w:val="sv-SE"/>
        </w:rPr>
        <w:t xml:space="preserve">Duzmanska, N., Strojny, P., &amp; Strojny, A. (2018). </w:t>
      </w:r>
      <w:r>
        <w:t xml:space="preserve">Can simulator sickness be avoided? A review on temporal aspects of simulator sickness. Frontiers in Psychology, 9, 1–14. </w:t>
      </w:r>
      <w:hyperlink r:id="rId31">
        <w:r>
          <w:rPr>
            <w:color w:val="1155CC"/>
            <w:u w:val="single"/>
          </w:rPr>
          <w:t>https://doi.org/10.3389/fpsyg.2018.02132</w:t>
        </w:r>
      </w:hyperlink>
    </w:p>
    <w:p w14:paraId="7428C841" w14:textId="77777777" w:rsidR="008E01F9" w:rsidRDefault="008E01F9" w:rsidP="00765F22">
      <w:pPr>
        <w:jc w:val="both"/>
      </w:pPr>
      <w:r>
        <w:rPr>
          <w:b/>
        </w:rPr>
        <w:t>[b-Egan2016]</w:t>
      </w:r>
      <w:r>
        <w:t xml:space="preserve"> Egan, D., Brennan, S., Barrett, J., Qiao, Y., Timmerer, C., &amp; Murray, N. (2016) An evaluation of Heart Rate and Electrodermal Activity as an Objective QoE Evaluation method for Immersive Virtual Reality Environments. In Proceedings of the 8</w:t>
      </w:r>
      <w:r>
        <w:rPr>
          <w:vertAlign w:val="superscript"/>
        </w:rPr>
        <w:t>th</w:t>
      </w:r>
      <w:r>
        <w:t xml:space="preserve"> International Conference on Quality of Multimedia Experience (QoMEX), Lisbon, Portugal, June 2016, pp. 1-6, doi: 10.1109/QoMEX.2016.7498964</w:t>
      </w:r>
    </w:p>
    <w:p w14:paraId="5B974C30" w14:textId="77777777" w:rsidR="008E01F9" w:rsidRDefault="008E01F9" w:rsidP="00765F22">
      <w:pPr>
        <w:spacing w:before="240" w:after="240"/>
        <w:jc w:val="both"/>
      </w:pPr>
      <w:r>
        <w:rPr>
          <w:b/>
        </w:rPr>
        <w:t>[b-Elwardy2021]</w:t>
      </w:r>
      <w:r>
        <w:t xml:space="preserve"> Elwardy, M., Zepernick, H.-J., &amp; Hu, Y. (2021). On Head Movements in Repeated 360</w:t>
      </w:r>
      <w:r>
        <w:rPr>
          <w:vertAlign w:val="superscript"/>
        </w:rPr>
        <w:t>o</w:t>
      </w:r>
      <w:r>
        <w:t xml:space="preserve"> Video Quality Assessment for Standing and Seated Viewing on Head-Mounted Displays. In Proceedings of the IEEE Virtual Reality – Workshop on SeatedVR and Embodiment, Lisbon, Portugal.</w:t>
      </w:r>
    </w:p>
    <w:p w14:paraId="5652C0E7" w14:textId="77777777" w:rsidR="008E01F9" w:rsidRDefault="008E01F9" w:rsidP="00765F22">
      <w:pPr>
        <w:spacing w:before="240" w:after="240"/>
        <w:jc w:val="both"/>
      </w:pPr>
      <w:r w:rsidRPr="00B57845">
        <w:rPr>
          <w:b/>
          <w:lang w:val="sv-SE"/>
        </w:rPr>
        <w:t>[b-Engelke2017]</w:t>
      </w:r>
      <w:r w:rsidRPr="00B57845">
        <w:rPr>
          <w:lang w:val="sv-SE"/>
        </w:rPr>
        <w:t xml:space="preserve"> Engelke, U., Darcy, D. P., Mulliken, G. H., Bosse, S., Martini, M. G., Arndt, S., Antons, J.-N., Chan, K. Y., Ramzan, Brunnström, K. (2017). </w:t>
      </w:r>
      <w:r>
        <w:t>Psychophysiology-Based QoE Assessment: A Survey. IEEE Journal of Selected Topics in Signal Processing, 11(1), 6-20.</w:t>
      </w:r>
    </w:p>
    <w:p w14:paraId="3FBF343C" w14:textId="77777777" w:rsidR="008E01F9" w:rsidRDefault="008E01F9" w:rsidP="00765F22">
      <w:pPr>
        <w:pBdr>
          <w:top w:val="nil"/>
          <w:left w:val="nil"/>
          <w:bottom w:val="nil"/>
          <w:right w:val="nil"/>
          <w:between w:val="nil"/>
        </w:pBdr>
        <w:spacing w:before="240" w:after="240"/>
        <w:jc w:val="both"/>
      </w:pPr>
      <w:r w:rsidRPr="00B57845">
        <w:rPr>
          <w:b/>
          <w:lang w:val="sv-SE"/>
        </w:rPr>
        <w:t>[b-Ennis2012]</w:t>
      </w:r>
      <w:r w:rsidRPr="00B57845">
        <w:rPr>
          <w:lang w:val="sv-SE"/>
        </w:rPr>
        <w:t xml:space="preserve"> Ennis, C., &amp; O'Sullivan, C. (2012). </w:t>
      </w:r>
      <w:r>
        <w:t xml:space="preserve">Perceptually plausible formations for virtual conversers. </w:t>
      </w:r>
      <w:r>
        <w:rPr>
          <w:i/>
        </w:rPr>
        <w:t xml:space="preserve">Computer Animation and Virtual Worlds, 23 </w:t>
      </w:r>
      <w:r>
        <w:t>(3-4), 321-329. doi: 10.1002/cav.1453.</w:t>
      </w:r>
    </w:p>
    <w:p w14:paraId="2543C53B" w14:textId="77777777" w:rsidR="008E01F9" w:rsidRDefault="008E01F9" w:rsidP="00765F22">
      <w:pPr>
        <w:spacing w:before="0"/>
        <w:jc w:val="both"/>
      </w:pPr>
      <w:r>
        <w:rPr>
          <w:b/>
        </w:rPr>
        <w:t xml:space="preserve">[b-Essaili2022] </w:t>
      </w:r>
      <w:r>
        <w:t xml:space="preserve">Essaili, A., Thorson, S., Jude, A., Ewert, J., Tyudina, N., &amp; Caltenco, H. </w:t>
      </w:r>
      <w:r>
        <w:rPr>
          <w:b/>
        </w:rPr>
        <w:t xml:space="preserve"> </w:t>
      </w:r>
      <w:r>
        <w:t xml:space="preserve"> (2022) Holographic communication in 5G networks (2022). URL: </w:t>
      </w:r>
      <w:hyperlink r:id="rId32">
        <w:r>
          <w:rPr>
            <w:color w:val="1155CC"/>
            <w:u w:val="single"/>
          </w:rPr>
          <w:t>https://www.ericsson.com/en/reports-and-papers/ericsson-technology-review/articles/holographic-communication-in-5g-networks</w:t>
        </w:r>
      </w:hyperlink>
    </w:p>
    <w:p w14:paraId="33F21D56" w14:textId="77777777" w:rsidR="008E01F9" w:rsidRDefault="008E01F9" w:rsidP="00765F22">
      <w:pPr>
        <w:pBdr>
          <w:top w:val="nil"/>
          <w:left w:val="nil"/>
          <w:bottom w:val="nil"/>
          <w:right w:val="nil"/>
          <w:between w:val="nil"/>
        </w:pBdr>
        <w:spacing w:before="240" w:after="240"/>
        <w:jc w:val="both"/>
      </w:pPr>
      <w:r w:rsidRPr="00B57845">
        <w:rPr>
          <w:b/>
          <w:lang w:val="sv-SE"/>
        </w:rPr>
        <w:t>[b-Fermoselle2020]</w:t>
      </w:r>
      <w:r w:rsidRPr="00B57845">
        <w:rPr>
          <w:lang w:val="sv-SE"/>
        </w:rPr>
        <w:t xml:space="preserve"> Fermoselle, L., Gunkel, S., Haar, F.t.t., Dijkstra-Soudarissanane, S., Toet, A., Niamut, O., et al. </w:t>
      </w:r>
      <w:r>
        <w:t xml:space="preserve">(2020). "Let’s Get in Touch! Adding Haptics to Social VR", in: </w:t>
      </w:r>
      <w:r>
        <w:rPr>
          <w:i/>
        </w:rPr>
        <w:t>ACM International Conference on Interactive Media Experiences</w:t>
      </w:r>
      <w:r>
        <w:t>. Association for Computing Machinery, 174–179. doi: 10.1145/3391614.3399396.</w:t>
      </w:r>
    </w:p>
    <w:p w14:paraId="6A5C28DB" w14:textId="77777777" w:rsidR="008E01F9" w:rsidRDefault="008E01F9" w:rsidP="00765F22">
      <w:pPr>
        <w:spacing w:before="240" w:after="240"/>
        <w:jc w:val="both"/>
      </w:pPr>
      <w:r w:rsidRPr="00F960B6">
        <w:rPr>
          <w:b/>
          <w:lang w:val="sv-SE"/>
        </w:rPr>
        <w:t>[b-Fiedler2019]</w:t>
      </w:r>
      <w:r w:rsidRPr="00F960B6">
        <w:rPr>
          <w:lang w:val="sv-SE"/>
        </w:rPr>
        <w:t xml:space="preserve"> Fiedler, M., Zepernick, H.-J., &amp; Kelkkanen, V. (2019). </w:t>
      </w:r>
      <w:r>
        <w:t>Network-induced temporal disturbances in virtual reality applications. In Proceedings of the 11th International Conference on Quality of Multimedia Experience (QoMEX), Berlin, Germany, June 2019.</w:t>
      </w:r>
    </w:p>
    <w:p w14:paraId="6C9857BC" w14:textId="77777777" w:rsidR="008E01F9" w:rsidRDefault="008E01F9" w:rsidP="00765F22">
      <w:pPr>
        <w:pBdr>
          <w:top w:val="nil"/>
          <w:left w:val="nil"/>
          <w:bottom w:val="nil"/>
          <w:right w:val="nil"/>
          <w:between w:val="nil"/>
        </w:pBdr>
        <w:spacing w:before="240" w:after="240"/>
        <w:jc w:val="both"/>
      </w:pPr>
      <w:r w:rsidRPr="00B57845">
        <w:rPr>
          <w:b/>
          <w:lang w:val="sv-SE"/>
        </w:rPr>
        <w:t>[b-Gavrilovska2017]</w:t>
      </w:r>
      <w:r w:rsidRPr="00B57845">
        <w:rPr>
          <w:lang w:val="sv-SE"/>
        </w:rPr>
        <w:t xml:space="preserve"> Gavrilovska, L., Rakovic, V., and Dixit, S. (2017). </w:t>
      </w:r>
      <w:r>
        <w:t xml:space="preserve">"General Concepts Behind Human Bond Communication," in </w:t>
      </w:r>
      <w:r>
        <w:rPr>
          <w:i/>
        </w:rPr>
        <w:t>Human Bond Communication: The Holy Grail of Holistic Communication and Immersive Experience</w:t>
      </w:r>
      <w:r>
        <w:t>. Wiley).</w:t>
      </w:r>
    </w:p>
    <w:p w14:paraId="2B6AC301" w14:textId="77777777" w:rsidR="008E01F9" w:rsidRDefault="008E01F9" w:rsidP="00765F22">
      <w:pPr>
        <w:pBdr>
          <w:top w:val="nil"/>
          <w:left w:val="nil"/>
          <w:bottom w:val="nil"/>
          <w:right w:val="nil"/>
          <w:between w:val="nil"/>
        </w:pBdr>
        <w:spacing w:before="240" w:after="240"/>
        <w:jc w:val="both"/>
      </w:pPr>
      <w:r>
        <w:rPr>
          <w:b/>
        </w:rPr>
        <w:t>[b-Georgiou2017]</w:t>
      </w:r>
      <w:r>
        <w:t xml:space="preserve"> Georgiou, Y., &amp; Kyza, E.A. (2017). The development and validation of the ARI questionnaire: An instrument for measuring immersion in location-based augmented reality settings. </w:t>
      </w:r>
      <w:r>
        <w:rPr>
          <w:i/>
        </w:rPr>
        <w:t>International Journal of Human-Computer Studies, 98</w:t>
      </w:r>
      <w:r>
        <w:t>, 24-37. doi: 10.1016/j.ijhcs.2016.09.014.</w:t>
      </w:r>
    </w:p>
    <w:p w14:paraId="39C7D302" w14:textId="77777777" w:rsidR="008E01F9" w:rsidRDefault="008E01F9" w:rsidP="00765F22">
      <w:pPr>
        <w:spacing w:before="0"/>
        <w:jc w:val="both"/>
      </w:pPr>
      <w:r>
        <w:rPr>
          <w:b/>
        </w:rPr>
        <w:t>[b-Gilbert2016]</w:t>
      </w:r>
      <w:r>
        <w:t xml:space="preserve"> Gilbert, S.B. (2016). Perceived realism of virtual environments depends on authenticity. </w:t>
      </w:r>
      <w:r>
        <w:rPr>
          <w:i/>
        </w:rPr>
        <w:t xml:space="preserve">Presence: Teleoperators and Virtual Environments, 24 </w:t>
      </w:r>
      <w:r>
        <w:t>(4), pp. 322–324. doi: 10.1162/PRES_a_00276.</w:t>
      </w:r>
    </w:p>
    <w:p w14:paraId="41F6BECE" w14:textId="77777777" w:rsidR="008E01F9" w:rsidRDefault="008E01F9" w:rsidP="00765F22">
      <w:pPr>
        <w:spacing w:before="0"/>
        <w:jc w:val="both"/>
      </w:pPr>
    </w:p>
    <w:p w14:paraId="3202BED3" w14:textId="77777777" w:rsidR="008E01F9" w:rsidRDefault="008E01F9" w:rsidP="00765F22">
      <w:pPr>
        <w:spacing w:before="0"/>
        <w:jc w:val="both"/>
      </w:pPr>
      <w:r>
        <w:rPr>
          <w:b/>
        </w:rPr>
        <w:t xml:space="preserve">[b-Gonçalves2020] </w:t>
      </w:r>
      <w:r>
        <w:t xml:space="preserve">Gonçalves, G., Melo, M., Vasconcelos-Raposo, J., &amp; Bessa, M. (2020). Impact of different sensory stimuli on presence in credible virtual environments. </w:t>
      </w:r>
      <w:r>
        <w:rPr>
          <w:i/>
        </w:rPr>
        <w:t xml:space="preserve">IEEE Transactions on Visualization and Computer Graphics, 26 </w:t>
      </w:r>
      <w:r>
        <w:t>(11), pp. 3231-3240. doi: 10.1109/TVCG.2019.2926978.</w:t>
      </w:r>
    </w:p>
    <w:p w14:paraId="2E5F8443" w14:textId="77777777" w:rsidR="008E01F9" w:rsidRDefault="008E01F9" w:rsidP="00765F22">
      <w:pPr>
        <w:spacing w:before="0"/>
        <w:jc w:val="both"/>
      </w:pPr>
      <w:r>
        <w:rPr>
          <w:b/>
        </w:rPr>
        <w:lastRenderedPageBreak/>
        <w:t>[b-Gonzalez-Franco2018]</w:t>
      </w:r>
      <w:r>
        <w:t xml:space="preserve"> Gonzalez-Franco, M., &amp; Peck, T. C. (2018). Avatar embodiment. towards a standardized questionnaire. </w:t>
      </w:r>
      <w:r>
        <w:rPr>
          <w:i/>
        </w:rPr>
        <w:t>Frontiers in Robotics and AI</w:t>
      </w:r>
      <w:r>
        <w:t>, 5, 74. Doi: 10.3389/frobt.2018.00074</w:t>
      </w:r>
    </w:p>
    <w:p w14:paraId="2161CF7D" w14:textId="77777777" w:rsidR="008E01F9" w:rsidRDefault="008E01F9" w:rsidP="00765F22">
      <w:pPr>
        <w:spacing w:before="0"/>
        <w:jc w:val="both"/>
      </w:pPr>
    </w:p>
    <w:p w14:paraId="4061BD63" w14:textId="77777777" w:rsidR="008E01F9" w:rsidRDefault="008E01F9" w:rsidP="00765F22">
      <w:pPr>
        <w:spacing w:before="0"/>
        <w:jc w:val="both"/>
      </w:pPr>
      <w:r>
        <w:rPr>
          <w:b/>
        </w:rPr>
        <w:t xml:space="preserve">[b-Gonzalez-Sosa2020] </w:t>
      </w:r>
      <w:r>
        <w:t xml:space="preserve">Gonzalez-Sosa, E., Perez, P., Tolosana, R., Kachach, R., &amp; Villegas, A. (2020). Enhanced self-perception in mixed reality: Egocentric arm segmentation and database with automatic labeling. </w:t>
      </w:r>
      <w:r>
        <w:rPr>
          <w:i/>
        </w:rPr>
        <w:t>IEEE Access</w:t>
      </w:r>
      <w:r>
        <w:t>, 8, 146887-146900, doi: 10.1109/ACCESS.2020.3013016</w:t>
      </w:r>
    </w:p>
    <w:p w14:paraId="00AB43AE" w14:textId="77777777" w:rsidR="008E01F9" w:rsidRDefault="008E01F9" w:rsidP="00765F22">
      <w:pPr>
        <w:spacing w:before="240" w:after="240"/>
        <w:jc w:val="both"/>
      </w:pPr>
      <w:r>
        <w:rPr>
          <w:b/>
        </w:rPr>
        <w:t>[b-Greenwald2017]</w:t>
      </w:r>
      <w:r>
        <w:t xml:space="preserve"> Greenwald, S. W., Wang, Z., Funk, M., &amp; Maes, P. (2017, June). Investigating social presence and communication with embodied avatars in room-scale virtual reality. In International Conference on Immersive Learning (pp. 75-90). Springer, Cham.</w:t>
      </w:r>
    </w:p>
    <w:p w14:paraId="45500CFA" w14:textId="77777777" w:rsidR="008E01F9" w:rsidRDefault="008E01F9" w:rsidP="00765F22">
      <w:pPr>
        <w:spacing w:before="240" w:after="240"/>
        <w:jc w:val="both"/>
      </w:pPr>
      <w:r>
        <w:rPr>
          <w:b/>
        </w:rPr>
        <w:t>[b-Gunkel2018]</w:t>
      </w:r>
      <w:r>
        <w:t xml:space="preserve"> Gunkel, S., Stokking, H., Prins, M., Niamut, O., Siahaan, E., &amp; Cesar, P. (2018, June). Experiencing virtual reality together: Social VR use case study. In </w:t>
      </w:r>
      <w:r>
        <w:rPr>
          <w:i/>
        </w:rPr>
        <w:t>Proceedings of the 2018 ACM International Conference on Interactive Experiences for TV and Online Video</w:t>
      </w:r>
      <w:r>
        <w:t xml:space="preserve"> (pp. 233-238), doi: 10.1145/3210825.3213566 </w:t>
      </w:r>
    </w:p>
    <w:p w14:paraId="2B0EB774" w14:textId="77777777" w:rsidR="008E01F9" w:rsidRPr="00B57845" w:rsidRDefault="008E01F9" w:rsidP="00765F22">
      <w:pPr>
        <w:spacing w:before="0"/>
        <w:jc w:val="both"/>
        <w:rPr>
          <w:lang w:val="sv-SE"/>
        </w:rPr>
      </w:pPr>
      <w:r w:rsidRPr="00B57845">
        <w:rPr>
          <w:b/>
          <w:lang w:val="sv-SE"/>
        </w:rPr>
        <w:t>[b-Hacker2020]</w:t>
      </w:r>
      <w:r w:rsidRPr="00B57845">
        <w:rPr>
          <w:lang w:val="sv-SE"/>
        </w:rPr>
        <w:t xml:space="preserve"> Hacker, J., vom Brocke, J., Handali, J., Otto, M., &amp; Schneider, J. (2020). </w:t>
      </w:r>
      <w:r>
        <w:t xml:space="preserve">Virtually in this together – how web-conferencing systems enabled a new virtual togetherness during the COVID-19 crisis. </w:t>
      </w:r>
      <w:r w:rsidRPr="00B57845">
        <w:rPr>
          <w:i/>
          <w:lang w:val="sv-SE"/>
        </w:rPr>
        <w:t xml:space="preserve">European Journal of Information Systems, 29 </w:t>
      </w:r>
      <w:r w:rsidRPr="00B57845">
        <w:rPr>
          <w:lang w:val="sv-SE"/>
        </w:rPr>
        <w:t>(5), pp. 563-584. doi: 10.1080/0960085X.2020.1814680.</w:t>
      </w:r>
    </w:p>
    <w:p w14:paraId="6EA099E8" w14:textId="77777777" w:rsidR="008E01F9" w:rsidRPr="00B57845" w:rsidRDefault="008E01F9" w:rsidP="00765F22">
      <w:pPr>
        <w:spacing w:before="0"/>
        <w:jc w:val="both"/>
        <w:rPr>
          <w:lang w:val="sv-SE"/>
        </w:rPr>
      </w:pPr>
    </w:p>
    <w:p w14:paraId="223D3F09" w14:textId="77777777" w:rsidR="008E01F9" w:rsidRDefault="008E01F9" w:rsidP="00765F22">
      <w:pPr>
        <w:pBdr>
          <w:top w:val="nil"/>
          <w:left w:val="nil"/>
          <w:bottom w:val="nil"/>
          <w:right w:val="nil"/>
          <w:between w:val="nil"/>
        </w:pBdr>
        <w:spacing w:before="0"/>
        <w:jc w:val="both"/>
      </w:pPr>
      <w:r w:rsidRPr="00B57845">
        <w:rPr>
          <w:b/>
          <w:lang w:val="sv-SE"/>
        </w:rPr>
        <w:t xml:space="preserve">[b-Hägni2007] </w:t>
      </w:r>
      <w:r w:rsidRPr="00B57845">
        <w:rPr>
          <w:lang w:val="sv-SE"/>
        </w:rPr>
        <w:t xml:space="preserve">Hägni, K., Eng, K., Hepp-Reymond, M.-C., Holper, L., Keisker, B., Siekierka, E., &amp; Kiper, D.C. (2007). </w:t>
      </w:r>
      <w:r>
        <w:t xml:space="preserve">The effect of task and ownership on time estimation in virtual environments. In: </w:t>
      </w:r>
      <w:r>
        <w:rPr>
          <w:i/>
        </w:rPr>
        <w:t>Presence 2007: 10th Annual International Workshop on Presence</w:t>
      </w:r>
      <w:r>
        <w:t xml:space="preserve"> (pp. 145-150):The International Society for Presence Research (ISPR).</w:t>
      </w:r>
    </w:p>
    <w:p w14:paraId="22A80986" w14:textId="77777777" w:rsidR="008E01F9" w:rsidRDefault="008E01F9" w:rsidP="00765F22">
      <w:pPr>
        <w:pBdr>
          <w:top w:val="nil"/>
          <w:left w:val="nil"/>
          <w:bottom w:val="nil"/>
          <w:right w:val="nil"/>
          <w:between w:val="nil"/>
        </w:pBdr>
        <w:spacing w:before="0"/>
        <w:jc w:val="both"/>
      </w:pPr>
    </w:p>
    <w:p w14:paraId="23821793" w14:textId="77777777" w:rsidR="008E01F9" w:rsidRDefault="008E01F9" w:rsidP="00765F22">
      <w:pPr>
        <w:pBdr>
          <w:top w:val="nil"/>
          <w:left w:val="nil"/>
          <w:bottom w:val="nil"/>
          <w:right w:val="nil"/>
          <w:between w:val="nil"/>
        </w:pBdr>
        <w:spacing w:before="0"/>
        <w:jc w:val="both"/>
      </w:pPr>
      <w:r>
        <w:rPr>
          <w:b/>
        </w:rPr>
        <w:t>[b-Haritaipan2018]</w:t>
      </w:r>
      <w:r>
        <w:t xml:space="preserve"> Haritaipan, L., Hayashi, M., and Mougenot, C. (2018). Design of a Massage-Inspired Haptic Device for Interpersonal Connection in Long-Distance Communication. </w:t>
      </w:r>
      <w:r>
        <w:rPr>
          <w:i/>
        </w:rPr>
        <w:t>Advances in Human-Computer Interaction</w:t>
      </w:r>
      <w:r>
        <w:t xml:space="preserve"> 2018. doi: 10.1155/2018/5853474.</w:t>
      </w:r>
    </w:p>
    <w:p w14:paraId="50CF173A" w14:textId="77777777" w:rsidR="008E01F9" w:rsidRDefault="008E01F9" w:rsidP="00765F22">
      <w:pPr>
        <w:pBdr>
          <w:top w:val="nil"/>
          <w:left w:val="nil"/>
          <w:bottom w:val="nil"/>
          <w:right w:val="nil"/>
          <w:between w:val="nil"/>
        </w:pBdr>
        <w:spacing w:before="0"/>
        <w:jc w:val="both"/>
      </w:pPr>
    </w:p>
    <w:p w14:paraId="33BAE815" w14:textId="77777777" w:rsidR="008E01F9" w:rsidRDefault="008E01F9" w:rsidP="00765F22">
      <w:pPr>
        <w:pBdr>
          <w:top w:val="nil"/>
          <w:left w:val="nil"/>
          <w:bottom w:val="nil"/>
          <w:right w:val="nil"/>
          <w:between w:val="nil"/>
        </w:pBdr>
        <w:spacing w:before="0"/>
        <w:jc w:val="both"/>
      </w:pPr>
      <w:r>
        <w:rPr>
          <w:b/>
        </w:rPr>
        <w:t>[b-Harms2004]</w:t>
      </w:r>
      <w:r>
        <w:t xml:space="preserve"> Harms, C., &amp; Biocca, F. (2004). Internal consistency and reliability of the Networked Minds measure of social presence. In: M. Alcaniz, &amp; B. Rey (Eds.), </w:t>
      </w:r>
      <w:r>
        <w:rPr>
          <w:i/>
        </w:rPr>
        <w:t xml:space="preserve">Seventh </w:t>
      </w:r>
      <w:r>
        <w:t>Annual</w:t>
      </w:r>
      <w:r>
        <w:rPr>
          <w:i/>
        </w:rPr>
        <w:t xml:space="preserve"> International Workshop: Presence  2004</w:t>
      </w:r>
      <w:r>
        <w:t xml:space="preserve"> (pp. 246-251). Valencia, Spain:Universidad Politecnica de Valencia. </w:t>
      </w:r>
    </w:p>
    <w:p w14:paraId="24664991" w14:textId="77777777" w:rsidR="008E01F9" w:rsidRDefault="008E01F9" w:rsidP="00765F22">
      <w:pPr>
        <w:pBdr>
          <w:top w:val="nil"/>
          <w:left w:val="nil"/>
          <w:bottom w:val="nil"/>
          <w:right w:val="nil"/>
          <w:between w:val="nil"/>
        </w:pBdr>
        <w:spacing w:before="0"/>
        <w:jc w:val="both"/>
      </w:pPr>
    </w:p>
    <w:p w14:paraId="032114A6" w14:textId="77777777" w:rsidR="008E01F9" w:rsidRDefault="008E01F9" w:rsidP="00765F22">
      <w:pPr>
        <w:pBdr>
          <w:top w:val="nil"/>
          <w:left w:val="nil"/>
          <w:bottom w:val="nil"/>
          <w:right w:val="nil"/>
          <w:between w:val="nil"/>
        </w:pBdr>
        <w:spacing w:before="0"/>
        <w:jc w:val="both"/>
      </w:pPr>
      <w:r>
        <w:rPr>
          <w:b/>
        </w:rPr>
        <w:t>[b-Hart1988]</w:t>
      </w:r>
      <w:r>
        <w:t xml:space="preserve"> Hart, S.G., &amp; Staveland, L.E. (1988). Development of NASA-TLX (Task Load Index): Results of empirical and theoretical research. In: P.A. Hancock, &amp; N. Meshkati (Eds.), </w:t>
      </w:r>
      <w:r>
        <w:rPr>
          <w:i/>
        </w:rPr>
        <w:t>Human mental workload</w:t>
      </w:r>
      <w:r>
        <w:t xml:space="preserve"> (pp. 139-183):Elsevier.</w:t>
      </w:r>
    </w:p>
    <w:p w14:paraId="2721D708" w14:textId="77777777" w:rsidR="008E01F9" w:rsidRDefault="008E01F9" w:rsidP="00765F22">
      <w:pPr>
        <w:pBdr>
          <w:top w:val="nil"/>
          <w:left w:val="nil"/>
          <w:bottom w:val="nil"/>
          <w:right w:val="nil"/>
          <w:between w:val="nil"/>
        </w:pBdr>
        <w:spacing w:before="0"/>
        <w:jc w:val="both"/>
      </w:pPr>
    </w:p>
    <w:p w14:paraId="5843269F" w14:textId="77777777" w:rsidR="008E01F9" w:rsidRDefault="008E01F9" w:rsidP="00765F22">
      <w:pPr>
        <w:pBdr>
          <w:top w:val="nil"/>
          <w:left w:val="nil"/>
          <w:bottom w:val="nil"/>
          <w:right w:val="nil"/>
          <w:between w:val="nil"/>
        </w:pBdr>
        <w:spacing w:before="0"/>
        <w:jc w:val="both"/>
      </w:pPr>
      <w:r>
        <w:rPr>
          <w:b/>
        </w:rPr>
        <w:t xml:space="preserve">[b-Hershey1999] </w:t>
      </w:r>
      <w:r>
        <w:t xml:space="preserve">Hershey, J., Movellan, J. (1999). Audio Vision: Using Audio-Visual Synchrony to Locate Sounds. Advances in Neural Information Processing Systems, 1999, </w:t>
      </w:r>
      <w:hyperlink r:id="rId33">
        <w:r>
          <w:rPr>
            <w:color w:val="1155CC"/>
            <w:u w:val="single"/>
          </w:rPr>
          <w:t>https://proceedings.neurips.cc/paper/1999/file/b618c3210e934362ac261db280128c22-Paper.pdf</w:t>
        </w:r>
      </w:hyperlink>
      <w:r>
        <w:t xml:space="preserve"> </w:t>
      </w:r>
    </w:p>
    <w:p w14:paraId="232D9501" w14:textId="77777777" w:rsidR="008E01F9" w:rsidRPr="00DF1CA1" w:rsidRDefault="008E01F9" w:rsidP="00765F22">
      <w:pPr>
        <w:pBdr>
          <w:top w:val="nil"/>
          <w:left w:val="nil"/>
          <w:bottom w:val="nil"/>
          <w:right w:val="nil"/>
          <w:between w:val="nil"/>
        </w:pBdr>
        <w:spacing w:before="0"/>
        <w:jc w:val="both"/>
        <w:rPr>
          <w:lang w:val="de-DE"/>
        </w:rPr>
      </w:pPr>
      <w:r w:rsidRPr="00DF1CA1">
        <w:rPr>
          <w:b/>
          <w:lang w:val="de-DE"/>
        </w:rPr>
        <w:t>[b-Hofer2012]</w:t>
      </w:r>
      <w:r w:rsidRPr="00DF1CA1">
        <w:rPr>
          <w:lang w:val="de-DE"/>
        </w:rPr>
        <w:t xml:space="preserve"> Hofer, M., Wirth, W., Kuehne, R., Schramm, H., &amp; Sacau, A. (2012). </w:t>
      </w:r>
      <w:r>
        <w:t xml:space="preserve">Structural equation modeling of spatial presence: the influence of cognitive processes and traits. </w:t>
      </w:r>
      <w:r w:rsidRPr="00DF1CA1">
        <w:rPr>
          <w:i/>
          <w:lang w:val="de-DE"/>
        </w:rPr>
        <w:t xml:space="preserve">Media Psychology, 15 </w:t>
      </w:r>
      <w:r w:rsidRPr="00DF1CA1">
        <w:rPr>
          <w:lang w:val="de-DE"/>
        </w:rPr>
        <w:t>(4), 373-395. doi: 10.1080/15213269.2012.723118.</w:t>
      </w:r>
    </w:p>
    <w:p w14:paraId="26BA08C7" w14:textId="77777777" w:rsidR="008E01F9" w:rsidRPr="00DF1CA1" w:rsidRDefault="008E01F9" w:rsidP="00765F22">
      <w:pPr>
        <w:spacing w:before="0"/>
        <w:jc w:val="both"/>
        <w:rPr>
          <w:lang w:val="de-DE"/>
        </w:rPr>
      </w:pPr>
    </w:p>
    <w:p w14:paraId="49EF83B9" w14:textId="77777777" w:rsidR="008E01F9" w:rsidRDefault="008E01F9" w:rsidP="00765F22">
      <w:pPr>
        <w:spacing w:before="0"/>
        <w:jc w:val="both"/>
      </w:pPr>
      <w:r w:rsidRPr="00DF1CA1">
        <w:rPr>
          <w:b/>
          <w:lang w:val="de-DE"/>
        </w:rPr>
        <w:t>[b-Hofer2020]</w:t>
      </w:r>
      <w:r w:rsidRPr="00DF1CA1">
        <w:rPr>
          <w:lang w:val="de-DE"/>
        </w:rPr>
        <w:t xml:space="preserve"> Hofer, M., Hartmann, T., Eden, A., Ratan, R., &amp; Hahn, L. (2020). </w:t>
      </w:r>
      <w:r>
        <w:t xml:space="preserve">The role of plausibility in the experience of spatial presence in virtual environments. </w:t>
      </w:r>
      <w:r>
        <w:rPr>
          <w:i/>
        </w:rPr>
        <w:t xml:space="preserve">Frontiers in Virtual Reality, 1 </w:t>
      </w:r>
      <w:r>
        <w:t>(Article 2), doi: 10.1080/15213269.2012.723118.</w:t>
      </w:r>
    </w:p>
    <w:p w14:paraId="049D2A5A" w14:textId="77777777" w:rsidR="008E01F9" w:rsidRDefault="008E01F9" w:rsidP="00765F22">
      <w:pPr>
        <w:spacing w:before="0"/>
        <w:jc w:val="both"/>
      </w:pPr>
    </w:p>
    <w:p w14:paraId="1C6E5F84" w14:textId="77777777" w:rsidR="008E01F9" w:rsidRDefault="008E01F9" w:rsidP="00765F22">
      <w:pPr>
        <w:spacing w:before="0"/>
        <w:jc w:val="both"/>
      </w:pPr>
      <w:r>
        <w:rPr>
          <w:b/>
        </w:rPr>
        <w:t>[b-Hu2021]</w:t>
      </w:r>
      <w:r>
        <w:t xml:space="preserve"> Hu, Y., Elwardy, M., Zepernick, H.-J. (2021). On the effect of standing and seated viewing of 360</w:t>
      </w:r>
      <w:r>
        <w:rPr>
          <w:vertAlign w:val="superscript"/>
        </w:rPr>
        <w:t>o</w:t>
      </w:r>
      <w:r>
        <w:t xml:space="preserve"> videos on subjective quality assessment: A pilot study. Computers, 10(80), pp. 1-28.</w:t>
      </w:r>
    </w:p>
    <w:p w14:paraId="515313DC" w14:textId="77777777" w:rsidR="008E01F9" w:rsidRDefault="008E01F9" w:rsidP="00765F22">
      <w:pPr>
        <w:spacing w:before="0"/>
        <w:jc w:val="both"/>
      </w:pPr>
    </w:p>
    <w:p w14:paraId="7B2DAEA4" w14:textId="77777777" w:rsidR="008E01F9" w:rsidRDefault="008E01F9" w:rsidP="00765F22">
      <w:pPr>
        <w:pBdr>
          <w:top w:val="nil"/>
          <w:left w:val="nil"/>
          <w:bottom w:val="nil"/>
          <w:right w:val="nil"/>
          <w:between w:val="nil"/>
        </w:pBdr>
        <w:spacing w:before="0"/>
        <w:jc w:val="both"/>
      </w:pPr>
      <w:r>
        <w:rPr>
          <w:b/>
        </w:rPr>
        <w:lastRenderedPageBreak/>
        <w:t xml:space="preserve">[b-Huisman2017] </w:t>
      </w:r>
      <w:r>
        <w:t xml:space="preserve">Huisman, G. (2017). Social touch technology: A survey of haptic technology for social touch. </w:t>
      </w:r>
      <w:r>
        <w:rPr>
          <w:i/>
        </w:rPr>
        <w:t>IEEE Transactions on Haptics</w:t>
      </w:r>
      <w:r>
        <w:t xml:space="preserve"> 10(3)</w:t>
      </w:r>
      <w:r>
        <w:rPr>
          <w:b/>
        </w:rPr>
        <w:t>,</w:t>
      </w:r>
      <w:r>
        <w:t xml:space="preserve"> 391-408. doi: 10.1109/TOH.2017.2650221.</w:t>
      </w:r>
    </w:p>
    <w:p w14:paraId="2291D3F9" w14:textId="77777777" w:rsidR="008E01F9" w:rsidRDefault="008E01F9" w:rsidP="00765F22">
      <w:pPr>
        <w:spacing w:before="240" w:after="240"/>
        <w:jc w:val="both"/>
      </w:pPr>
      <w:r w:rsidRPr="00F960B6">
        <w:rPr>
          <w:b/>
          <w:lang w:val="sv-SE"/>
        </w:rPr>
        <w:t xml:space="preserve">[b-Iskander2018] </w:t>
      </w:r>
      <w:r w:rsidRPr="00F960B6">
        <w:rPr>
          <w:lang w:val="sv-SE"/>
        </w:rPr>
        <w:t xml:space="preserve">Iskander, J., Hossny, M., &amp; Nahavandi, S. (2018). </w:t>
      </w:r>
      <w:r>
        <w:t>A review on ocular biomechanic models for assessing visual fatigue in virtual reality. IEEE Access, 6, pp. 19345-19361.  https://doi.org/</w:t>
      </w:r>
      <w:r>
        <w:rPr>
          <w:color w:val="1155CC"/>
          <w:u w:val="single"/>
        </w:rPr>
        <w:t>10.1109/ACCESS.2018.2815663</w:t>
      </w:r>
      <w:r>
        <w:t xml:space="preserve"> </w:t>
      </w:r>
    </w:p>
    <w:p w14:paraId="4F7DBDD0" w14:textId="77777777" w:rsidR="008E01F9" w:rsidRDefault="008E01F9" w:rsidP="00765F22">
      <w:pPr>
        <w:jc w:val="both"/>
      </w:pPr>
      <w:r>
        <w:rPr>
          <w:b/>
        </w:rPr>
        <w:t>[b-ISO 9241-11]</w:t>
      </w:r>
      <w:r>
        <w:t xml:space="preserve"> Ergonomics of human-system interaction — Part 11: Usability: Definitions and concepts (2018) International Organization for Standardization.</w:t>
      </w:r>
    </w:p>
    <w:p w14:paraId="25E7C3E8" w14:textId="77777777" w:rsidR="008E01F9" w:rsidRDefault="008E01F9" w:rsidP="00765F22">
      <w:pPr>
        <w:jc w:val="both"/>
      </w:pPr>
      <w:r>
        <w:rPr>
          <w:b/>
        </w:rPr>
        <w:t>[b-ITU-R BT.1359-1]</w:t>
      </w:r>
      <w:r>
        <w:t xml:space="preserve"> Recommendation ITU-R BT.1359-1(1998). </w:t>
      </w:r>
      <w:r w:rsidRPr="00394F72">
        <w:rPr>
          <w:i/>
          <w:iCs/>
        </w:rPr>
        <w:t>Relative timing of sound and vision for broadcasting</w:t>
      </w:r>
      <w:r>
        <w:t>. The ITU-T Radiocommunication Assembly..</w:t>
      </w:r>
    </w:p>
    <w:p w14:paraId="475371F9" w14:textId="77777777" w:rsidR="008E01F9" w:rsidRDefault="008E01F9" w:rsidP="00765F22">
      <w:pPr>
        <w:jc w:val="both"/>
      </w:pPr>
      <w:r>
        <w:rPr>
          <w:b/>
        </w:rPr>
        <w:t xml:space="preserve">[b-ITU-T PSTR-CROWDS2018] </w:t>
      </w:r>
      <w:r>
        <w:t xml:space="preserve">Technical report PSTR-CROWDS </w:t>
      </w:r>
      <w:r w:rsidRPr="00394F72">
        <w:rPr>
          <w:i/>
          <w:iCs/>
        </w:rPr>
        <w:t>Subjective evaluation of media quality using a crowdsourcing approach</w:t>
      </w:r>
      <w:r>
        <w:t>.</w:t>
      </w:r>
    </w:p>
    <w:p w14:paraId="67483D5D" w14:textId="77777777" w:rsidR="008E01F9" w:rsidRDefault="008E01F9" w:rsidP="00765F22">
      <w:pPr>
        <w:jc w:val="both"/>
        <w:rPr>
          <w:color w:val="1155CC"/>
          <w:u w:val="single"/>
        </w:rPr>
      </w:pPr>
      <w:r>
        <w:rPr>
          <w:b/>
        </w:rPr>
        <w:t xml:space="preserve">[b-Jennet2008] </w:t>
      </w:r>
      <w:r>
        <w:t xml:space="preserve">Jennett, C., Cox, A. L., Cairns, P., Dhoparee, S., Epps, A., Tijs, T., &amp; Walton, A. (2008). Measuring and defining the experience of immersion in games. International Journal of Human Computer Studies, 66(9), 641–661. </w:t>
      </w:r>
      <w:hyperlink r:id="rId34">
        <w:r>
          <w:rPr>
            <w:color w:val="1155CC"/>
            <w:u w:val="single"/>
          </w:rPr>
          <w:t>https://doi.org/10.1016/j.ijhcs.2008.04.004</w:t>
        </w:r>
      </w:hyperlink>
    </w:p>
    <w:p w14:paraId="596705CE" w14:textId="77777777" w:rsidR="008E01F9" w:rsidRDefault="008E01F9" w:rsidP="00765F22">
      <w:pPr>
        <w:pBdr>
          <w:top w:val="nil"/>
          <w:left w:val="nil"/>
          <w:bottom w:val="nil"/>
          <w:right w:val="nil"/>
          <w:between w:val="nil"/>
        </w:pBdr>
        <w:jc w:val="both"/>
      </w:pPr>
      <w:r>
        <w:rPr>
          <w:b/>
        </w:rPr>
        <w:t>[b-Jewitt2020]</w:t>
      </w:r>
      <w:r>
        <w:t xml:space="preserve"> Jewitt, C., Price, S., Mackley, K.L., Yiannoutsou, N., and Atkinson, D. (2020). Interdisciplinary</w:t>
      </w:r>
      <w:r>
        <w:rPr>
          <w:i/>
        </w:rPr>
        <w:t xml:space="preserve"> insights for digital touch communication. </w:t>
      </w:r>
      <w:r>
        <w:t>Cham, Switzerland: Springer Open.</w:t>
      </w:r>
    </w:p>
    <w:p w14:paraId="605694B0" w14:textId="77777777" w:rsidR="008E01F9" w:rsidRDefault="008E01F9" w:rsidP="00765F22">
      <w:pPr>
        <w:jc w:val="both"/>
      </w:pPr>
      <w:r>
        <w:rPr>
          <w:b/>
        </w:rPr>
        <w:t xml:space="preserve">[b-Jo2017a] </w:t>
      </w:r>
      <w:r>
        <w:t>Jo, D., Kim, K., &amp; Kim, G. J. (2017). Effects of Avatar and Background Types on Users’ Co-presence and Trust for Mixed Reality-Based Teleconference Systems. In 30th Conference on Computer Animation and Social Agents (pp. 27–36). Seoul, South Korea.</w:t>
      </w:r>
    </w:p>
    <w:p w14:paraId="74931081" w14:textId="77777777" w:rsidR="008E01F9" w:rsidRDefault="008E01F9" w:rsidP="00765F22">
      <w:pPr>
        <w:jc w:val="both"/>
      </w:pPr>
      <w:r w:rsidRPr="008E01F9">
        <w:rPr>
          <w:b/>
          <w:lang w:val="de-DE"/>
        </w:rPr>
        <w:t xml:space="preserve">[b-Jo2017b] </w:t>
      </w:r>
      <w:r w:rsidRPr="008E01F9">
        <w:rPr>
          <w:lang w:val="de-DE"/>
        </w:rPr>
        <w:t xml:space="preserve">Jo, D., Kim, K., Welch, G. F., Jeon, W., Kim, Y., Kim, K. H., &amp; Kim, G. J. (2017). </w:t>
      </w:r>
      <w:r>
        <w:t xml:space="preserve">The impact of avatar-owner visual similarity on body ownership in immersive virtual reality. In Proceedings of the ACM Symposium on Virtual Reality Software and Technology (pp. 1–2). New York, NY, USA. </w:t>
      </w:r>
      <w:hyperlink r:id="rId35">
        <w:r>
          <w:rPr>
            <w:color w:val="1155CC"/>
            <w:u w:val="single"/>
          </w:rPr>
          <w:t>https://doi.org/10.1145/3139131.3141214</w:t>
        </w:r>
      </w:hyperlink>
    </w:p>
    <w:p w14:paraId="48ED2CA2" w14:textId="77777777" w:rsidR="008E01F9" w:rsidRDefault="008E01F9" w:rsidP="00765F22">
      <w:pPr>
        <w:spacing w:before="0"/>
        <w:ind w:left="1440" w:hanging="720"/>
        <w:jc w:val="both"/>
      </w:pPr>
    </w:p>
    <w:p w14:paraId="4DD621C9" w14:textId="77777777" w:rsidR="008E01F9" w:rsidRDefault="008E01F9" w:rsidP="00765F22">
      <w:pPr>
        <w:spacing w:before="0"/>
        <w:jc w:val="both"/>
      </w:pPr>
      <w:r>
        <w:rPr>
          <w:b/>
        </w:rPr>
        <w:t>[b-Jurnet2010]</w:t>
      </w:r>
      <w:r>
        <w:t xml:space="preserve"> Alsina-Jurnet, I., and Gutiérrez-Maldonado, J. (2010). Influence of personality and individual abilities on the sense of presence experienced in anxiety triggering virtual environments. </w:t>
      </w:r>
      <w:r>
        <w:rPr>
          <w:i/>
        </w:rPr>
        <w:t>International Journal of Human-Computer Studies</w:t>
      </w:r>
      <w:r>
        <w:t xml:space="preserve"> 68(10)</w:t>
      </w:r>
      <w:r>
        <w:rPr>
          <w:b/>
        </w:rPr>
        <w:t>,</w:t>
      </w:r>
      <w:r>
        <w:t xml:space="preserve"> 788-801. doi:  sense of presence", in: </w:t>
      </w:r>
      <w:r>
        <w:rPr>
          <w:i/>
        </w:rPr>
        <w:t>Presence 2005: The 8th International Workshop on Presence</w:t>
      </w:r>
      <w:r>
        <w:t>: University College London, 133-142.</w:t>
      </w:r>
      <w:hyperlink r:id="rId36">
        <w:r>
          <w:t>https://doi.org/</w:t>
        </w:r>
      </w:hyperlink>
      <w:r>
        <w:t>10.1016/j.ijhcs.2010.07.001.</w:t>
      </w:r>
    </w:p>
    <w:p w14:paraId="2ADAFB2E" w14:textId="77777777" w:rsidR="008E01F9" w:rsidRDefault="008E01F9" w:rsidP="00765F22">
      <w:pPr>
        <w:spacing w:before="240" w:after="240"/>
        <w:jc w:val="both"/>
      </w:pPr>
      <w:r w:rsidRPr="00127CF8">
        <w:rPr>
          <w:b/>
        </w:rPr>
        <w:t>[b-Jurnet2005]</w:t>
      </w:r>
      <w:r w:rsidRPr="00127CF8">
        <w:t xml:space="preserve"> Jurnet, I.A., Beciu, C.C., and Maldonado, J.G. (2005).</w:t>
      </w:r>
      <w:r>
        <w:t xml:space="preserve"> Individual differences in the sense of presence. Paper presented at the Eighth Annual International Workshop on Presence, London, UK.</w:t>
      </w:r>
    </w:p>
    <w:p w14:paraId="2DE2E16A" w14:textId="77777777" w:rsidR="008E01F9" w:rsidRDefault="008E01F9" w:rsidP="00765F22">
      <w:pPr>
        <w:spacing w:before="240" w:after="240"/>
        <w:jc w:val="both"/>
      </w:pPr>
      <w:r w:rsidRPr="00F02E1C">
        <w:rPr>
          <w:b/>
          <w:lang w:val="sv-SE"/>
        </w:rPr>
        <w:t xml:space="preserve">[b-Kammerl2012] </w:t>
      </w:r>
      <w:r w:rsidRPr="00F02E1C">
        <w:rPr>
          <w:lang w:val="sv-SE"/>
        </w:rPr>
        <w:t xml:space="preserve">Kammerl, J., Blodow, N., Rusu, R. B., Gedikli, S., Beetz, M., &amp; Steinbach, E. (2012, May). </w:t>
      </w:r>
      <w:r>
        <w:t xml:space="preserve">Real-time compression of point cloud streams. In </w:t>
      </w:r>
      <w:r>
        <w:rPr>
          <w:i/>
        </w:rPr>
        <w:t>2012 IEEE International Conference on Robotics and Automation</w:t>
      </w:r>
      <w:r>
        <w:t xml:space="preserve"> (pp. 778-785). IEEE. doi: 10.1109/ICRA.2012.6224647</w:t>
      </w:r>
    </w:p>
    <w:p w14:paraId="73EE60D8" w14:textId="77777777" w:rsidR="008E01F9" w:rsidRDefault="008E01F9" w:rsidP="00765F22">
      <w:pPr>
        <w:jc w:val="both"/>
      </w:pPr>
      <w:r>
        <w:rPr>
          <w:b/>
        </w:rPr>
        <w:t>[b-Keighrey2020]</w:t>
      </w:r>
      <w:r>
        <w:t xml:space="preserve"> Keighrey, C., Flynn, R., Murray, S. &amp; Murray, N. A Physiology-Based QoE Comparison of Interactive Augmented Reality, Virtual Reality and Tablet-Based Applications. IEEE Transactions on Multimedia, vol. 23, pp. 333-341, March 2020, doi: 10.1109/TMM.2020.2982046.</w:t>
      </w:r>
    </w:p>
    <w:p w14:paraId="1B06274C" w14:textId="77777777" w:rsidR="008E01F9" w:rsidRPr="008E01F9" w:rsidRDefault="008E01F9" w:rsidP="00765F22">
      <w:pPr>
        <w:jc w:val="both"/>
        <w:rPr>
          <w:lang w:val="en-US"/>
        </w:rPr>
      </w:pPr>
      <w:r w:rsidRPr="00F960B6">
        <w:rPr>
          <w:b/>
          <w:lang w:val="sv-SE"/>
        </w:rPr>
        <w:t xml:space="preserve">[b-Kelkkanen2020] </w:t>
      </w:r>
      <w:r w:rsidRPr="00F960B6">
        <w:rPr>
          <w:lang w:val="sv-SE"/>
        </w:rPr>
        <w:t xml:space="preserve">Kelkkanen, V., Fiedler, M., &amp; Lindero, D. (2020). </w:t>
      </w:r>
      <w:r>
        <w:t xml:space="preserve">Bitrate Requirements of Non-Panoramic VR Remote Rendering. In </w:t>
      </w:r>
      <w:hyperlink r:id="rId37">
        <w:r>
          <w:t xml:space="preserve">Proceedings of the 28th ACM International Conference on Multimedia (pp. </w:t>
        </w:r>
      </w:hyperlink>
      <w:r>
        <w:t xml:space="preserve">3624–3631), Seattle, WA, USA. </w:t>
      </w:r>
      <w:hyperlink r:id="rId38">
        <w:r w:rsidRPr="008E01F9">
          <w:rPr>
            <w:lang w:val="en-US"/>
          </w:rPr>
          <w:t>https://doi.org/10.1145/3394171.3413681</w:t>
        </w:r>
      </w:hyperlink>
    </w:p>
    <w:p w14:paraId="561E4694" w14:textId="77777777" w:rsidR="008E01F9" w:rsidRDefault="008E01F9" w:rsidP="00765F22">
      <w:pPr>
        <w:jc w:val="both"/>
      </w:pPr>
      <w:r w:rsidRPr="008E01F9">
        <w:rPr>
          <w:b/>
          <w:lang w:val="en-US"/>
        </w:rPr>
        <w:t>[b-Kelkkanen2021a]</w:t>
      </w:r>
      <w:r w:rsidRPr="008E01F9">
        <w:rPr>
          <w:b/>
          <w:lang w:val="en-US"/>
        </w:rPr>
        <w:tab/>
      </w:r>
      <w:r w:rsidRPr="008E01F9">
        <w:rPr>
          <w:lang w:val="en-US"/>
        </w:rPr>
        <w:t xml:space="preserve">Kelkkanen, V., Fiedler, M., &amp; Lindero, D. (2021). </w:t>
      </w:r>
      <w:r>
        <w:t>Remapping of Hidden Area Mesh Pixels for Codec Speed-up in Remote VR. In Proceedings of the 13th International Conference on Quality of Multimedia Experience (QoMEX), Montreal, Canada, June 2021.</w:t>
      </w:r>
    </w:p>
    <w:p w14:paraId="62868FE7" w14:textId="77777777" w:rsidR="008E01F9" w:rsidRPr="00DF1CA1" w:rsidRDefault="008E01F9" w:rsidP="00765F22">
      <w:pPr>
        <w:jc w:val="both"/>
        <w:rPr>
          <w:b/>
          <w:lang w:val="de-DE"/>
        </w:rPr>
      </w:pPr>
      <w:r w:rsidRPr="00B57845">
        <w:rPr>
          <w:b/>
          <w:lang w:val="sv-SE"/>
        </w:rPr>
        <w:lastRenderedPageBreak/>
        <w:t>[b-Kelkkanen2021b]</w:t>
      </w:r>
      <w:r w:rsidRPr="00B57845">
        <w:rPr>
          <w:b/>
          <w:lang w:val="sv-SE"/>
        </w:rPr>
        <w:tab/>
      </w:r>
      <w:r w:rsidRPr="00B57845">
        <w:rPr>
          <w:lang w:val="sv-SE"/>
        </w:rPr>
        <w:t xml:space="preserve">Kelkkanen, V., Fiedler, M., &amp; Lindero, D. (2021). </w:t>
      </w:r>
      <w:r>
        <w:t xml:space="preserve">Synchronous Remote Rendering for VR. The International Journal of Computer Games Technology, Vol. 2021, article id 6676644. </w:t>
      </w:r>
      <w:r w:rsidRPr="00DF1CA1">
        <w:rPr>
          <w:lang w:val="de-DE"/>
        </w:rPr>
        <w:t xml:space="preserve">Hindawi. </w:t>
      </w:r>
      <w:hyperlink r:id="rId39">
        <w:r w:rsidRPr="00DF1CA1">
          <w:rPr>
            <w:color w:val="1155CC"/>
            <w:u w:val="single"/>
            <w:lang w:val="de-DE"/>
          </w:rPr>
          <w:t>https://doi.org/10.1155/2021/6676644</w:t>
        </w:r>
      </w:hyperlink>
    </w:p>
    <w:p w14:paraId="5F4B7F96" w14:textId="77777777" w:rsidR="008E01F9" w:rsidRDefault="008E01F9" w:rsidP="00765F22">
      <w:pPr>
        <w:jc w:val="both"/>
      </w:pPr>
      <w:r w:rsidRPr="00DF1CA1">
        <w:rPr>
          <w:b/>
          <w:lang w:val="de-DE"/>
        </w:rPr>
        <w:t xml:space="preserve">[b-Kennedy1993] </w:t>
      </w:r>
      <w:r w:rsidRPr="00DF1CA1">
        <w:rPr>
          <w:lang w:val="de-DE"/>
        </w:rPr>
        <w:t xml:space="preserve">Robert S. Kennedy, Norman E. Lane, Kevin S. Berbaum, &amp; Michael G. Lilienthal. </w:t>
      </w:r>
      <w:r>
        <w:t xml:space="preserve">(1993). Simulator sickness questionnaire: An enhanced method for quantifying simulator sickness. The International Journal of Aviation Psychology, 3(3), 203–220. </w:t>
      </w:r>
      <w:hyperlink r:id="rId40">
        <w:r>
          <w:rPr>
            <w:color w:val="1155CC"/>
            <w:u w:val="single"/>
          </w:rPr>
          <w:t>https://doi.org/10.1207/s15327108ijap0303_3</w:t>
        </w:r>
      </w:hyperlink>
    </w:p>
    <w:p w14:paraId="6E6A8231" w14:textId="77777777" w:rsidR="008E01F9" w:rsidRDefault="008E01F9" w:rsidP="00765F22">
      <w:pPr>
        <w:jc w:val="both"/>
      </w:pPr>
      <w:r w:rsidRPr="00B57845">
        <w:rPr>
          <w:b/>
          <w:lang w:val="sv-SE"/>
        </w:rPr>
        <w:t>[b-Khenak2020]</w:t>
      </w:r>
      <w:r w:rsidRPr="00B57845">
        <w:rPr>
          <w:lang w:val="sv-SE"/>
        </w:rPr>
        <w:t xml:space="preserve"> Khenak, N., Vézien, J., &amp; Bourdot, P. (2020). </w:t>
      </w:r>
      <w:r>
        <w:t xml:space="preserve">Spatial Presence, Performance, and Behavior between Real, Remote, and Virtual Immersive Environments. </w:t>
      </w:r>
      <w:r>
        <w:rPr>
          <w:i/>
        </w:rPr>
        <w:t xml:space="preserve">IEEE Transactions on Visualization and Computer Graphics, 26 </w:t>
      </w:r>
      <w:r>
        <w:t>(12), pp. 3467-3478. doi: 10.1109/TVCG.2020.3023574.</w:t>
      </w:r>
    </w:p>
    <w:p w14:paraId="071196CD" w14:textId="77777777" w:rsidR="008E01F9" w:rsidRDefault="008E01F9" w:rsidP="00765F22">
      <w:pPr>
        <w:jc w:val="both"/>
      </w:pPr>
      <w:r>
        <w:rPr>
          <w:b/>
        </w:rPr>
        <w:t>[b-Kim2018]</w:t>
      </w:r>
      <w:r>
        <w:t xml:space="preserve"> H. K. Kim, J. Park, Y. Choi, and M. Choe, “Virtual reality sickness questionnaire (VRSQ): Motion sickness measurement index in a virtual reality environment,” </w:t>
      </w:r>
      <w:r>
        <w:rPr>
          <w:i/>
        </w:rPr>
        <w:t>Appl. Ergon.</w:t>
      </w:r>
      <w:r>
        <w:t>, vol. 69, pp. 66–73, May 2018.</w:t>
      </w:r>
    </w:p>
    <w:p w14:paraId="48D2F9D5" w14:textId="77777777" w:rsidR="008E01F9" w:rsidRDefault="008E01F9" w:rsidP="00765F22">
      <w:pPr>
        <w:jc w:val="both"/>
      </w:pPr>
      <w:r w:rsidRPr="00DA75A4">
        <w:rPr>
          <w:b/>
          <w:lang w:val="en-US"/>
        </w:rPr>
        <w:t>[b-Krogfoss2020]</w:t>
      </w:r>
      <w:r w:rsidRPr="00DA75A4">
        <w:rPr>
          <w:lang w:val="en-US"/>
        </w:rPr>
        <w:t xml:space="preserve"> Krogfoss, B., Duran, J., Perez, P., &amp; Bouwen, J. (2020). </w:t>
      </w:r>
      <w:r>
        <w:t xml:space="preserve">Quantifying the Value of 5G and Edge Cloud on QoE for AR/VR. </w:t>
      </w:r>
      <w:r>
        <w:rPr>
          <w:i/>
        </w:rPr>
        <w:t>2020 Twelfth International Conference on Quality of Multimedia Experience (QoMEX)</w:t>
      </w:r>
      <w:r>
        <w:t>, 1–4. https://doi.org/10.1109/QoMEX48832.2020.9123090</w:t>
      </w:r>
    </w:p>
    <w:p w14:paraId="60C74588" w14:textId="77777777" w:rsidR="008E01F9" w:rsidRDefault="008E01F9" w:rsidP="00765F22">
      <w:pPr>
        <w:jc w:val="both"/>
      </w:pPr>
      <w:r>
        <w:rPr>
          <w:b/>
        </w:rPr>
        <w:t>[b-Kroupi2014]</w:t>
      </w:r>
      <w:r>
        <w:t xml:space="preserve"> Kroupi, E., Hanhart, P., Lee, J-S., Rerabek, M. &amp; Ebrahimi, T. (2014) EEG correlates during video quality perception. In Proceedings of the 22nd European Signal Processing Conference (EUSIPCO), Lisbon, Portugal, September 2014, pp. 2135-2139.</w:t>
      </w:r>
    </w:p>
    <w:p w14:paraId="57C3547C" w14:textId="77777777" w:rsidR="008E01F9" w:rsidRPr="00B57845" w:rsidRDefault="008E01F9" w:rsidP="00765F22">
      <w:pPr>
        <w:jc w:val="both"/>
        <w:rPr>
          <w:lang w:val="sv-SE"/>
        </w:rPr>
      </w:pPr>
      <w:r w:rsidRPr="00DF1CA1">
        <w:rPr>
          <w:b/>
          <w:lang w:val="de-DE"/>
        </w:rPr>
        <w:t xml:space="preserve">[b-Kruijff2010] </w:t>
      </w:r>
      <w:r w:rsidRPr="00DF1CA1">
        <w:rPr>
          <w:lang w:val="de-DE"/>
        </w:rPr>
        <w:t xml:space="preserve">Kruijff, E., Swan II, J. E., &amp; Feiner, S. (2010). </w:t>
      </w:r>
      <w:r>
        <w:t xml:space="preserve">Perceptual Issues in Augmented Reality Revisited. In IEEE International Symposium on Mixed and Augmented Reality (pp. 3–12). </w:t>
      </w:r>
      <w:r w:rsidRPr="00B57845">
        <w:rPr>
          <w:lang w:val="sv-SE"/>
        </w:rPr>
        <w:t xml:space="preserve">Seoul, Korea. </w:t>
      </w:r>
      <w:hyperlink r:id="rId41">
        <w:r w:rsidRPr="00B57845">
          <w:rPr>
            <w:color w:val="1155CC"/>
            <w:u w:val="single"/>
            <w:lang w:val="sv-SE"/>
          </w:rPr>
          <w:t>https://doi.org/10.1159/000150000</w:t>
        </w:r>
      </w:hyperlink>
    </w:p>
    <w:p w14:paraId="7B8D1054" w14:textId="77777777" w:rsidR="008E01F9" w:rsidRPr="00DF1CA1" w:rsidRDefault="008E01F9" w:rsidP="00765F22">
      <w:pPr>
        <w:jc w:val="both"/>
        <w:rPr>
          <w:lang w:val="de-DE"/>
        </w:rPr>
      </w:pPr>
      <w:r w:rsidRPr="00B57845">
        <w:rPr>
          <w:b/>
          <w:lang w:val="sv-SE"/>
        </w:rPr>
        <w:t>[b-Laarni2015]</w:t>
      </w:r>
      <w:r>
        <w:rPr>
          <w:b/>
          <w:lang w:val="sv-SE"/>
        </w:rPr>
        <w:t xml:space="preserve"> </w:t>
      </w:r>
      <w:r w:rsidRPr="00B57845">
        <w:rPr>
          <w:lang w:val="sv-SE"/>
        </w:rPr>
        <w:t xml:space="preserve">Laarni, J., Ravaja, N., Saari, T., Böcking, S., Hartmann, T., &amp; Schramm, H. (2015). </w:t>
      </w:r>
      <w:r>
        <w:t xml:space="preserve">Ways to Measure Spatial Presence: Review and Future Directions. In M. Lombard, F. Biocca, J. Freeman, W. Ijsselsteijn, &amp; R. J. Schaevitz (Eds.), Immersed in Media: Telepresence Theory, Measurement and Technology (pp. 139–185). </w:t>
      </w:r>
      <w:r w:rsidRPr="00DF1CA1">
        <w:rPr>
          <w:lang w:val="de-DE"/>
        </w:rPr>
        <w:t xml:space="preserve">Cham: Springer International Publishing Switzerland. </w:t>
      </w:r>
      <w:hyperlink r:id="rId42">
        <w:r w:rsidRPr="00DF1CA1">
          <w:rPr>
            <w:color w:val="1155CC"/>
            <w:u w:val="single"/>
            <w:lang w:val="de-DE"/>
          </w:rPr>
          <w:t>https://doi.org/10.1007/978-3-319-10190-3</w:t>
        </w:r>
      </w:hyperlink>
    </w:p>
    <w:p w14:paraId="6DB86D4F" w14:textId="77777777" w:rsidR="008E01F9" w:rsidRDefault="008E01F9" w:rsidP="00765F22">
      <w:pPr>
        <w:jc w:val="both"/>
        <w:rPr>
          <w:color w:val="1155CC"/>
          <w:u w:val="single"/>
        </w:rPr>
      </w:pPr>
      <w:r w:rsidRPr="00394F72">
        <w:rPr>
          <w:b/>
          <w:bCs/>
          <w:lang w:val="de-DE"/>
        </w:rPr>
        <w:t>[b-</w:t>
      </w:r>
      <w:r w:rsidRPr="00137BAD">
        <w:rPr>
          <w:b/>
          <w:bCs/>
          <w:lang w:val="de-DE"/>
        </w:rPr>
        <w:t>Latoschik2021</w:t>
      </w:r>
      <w:r w:rsidRPr="00394F72">
        <w:rPr>
          <w:b/>
          <w:bCs/>
          <w:lang w:val="de-DE"/>
        </w:rPr>
        <w:t>]</w:t>
      </w:r>
      <w:r w:rsidRPr="00DF1CA1">
        <w:rPr>
          <w:lang w:val="de-DE"/>
        </w:rPr>
        <w:t xml:space="preserve"> Latoschik, M. E., &amp; Wienrich, C. (2021). </w:t>
      </w:r>
      <w:r>
        <w:t xml:space="preserve">Coherence and Plausibility, not Presence?! Pivotal Conditions for XR Experiences and Effects, a Novel Model. arXiv, online: </w:t>
      </w:r>
      <w:hyperlink r:id="rId43">
        <w:r>
          <w:rPr>
            <w:color w:val="1155CC"/>
            <w:u w:val="single"/>
          </w:rPr>
          <w:t>https://arxiv.org/abs/2104.04846v2</w:t>
        </w:r>
      </w:hyperlink>
    </w:p>
    <w:p w14:paraId="57466735" w14:textId="77777777" w:rsidR="008E01F9" w:rsidRDefault="008E01F9" w:rsidP="00765F22">
      <w:pPr>
        <w:pBdr>
          <w:top w:val="nil"/>
          <w:left w:val="nil"/>
          <w:bottom w:val="nil"/>
          <w:right w:val="nil"/>
          <w:between w:val="nil"/>
        </w:pBdr>
        <w:jc w:val="both"/>
      </w:pPr>
      <w:r>
        <w:rPr>
          <w:b/>
        </w:rPr>
        <w:t xml:space="preserve">[b-Lee2020a] </w:t>
      </w:r>
      <w:r>
        <w:t>Lee, H. (2020). A conceptual model of immersive experience in extended reality. PsyArXiv. doi: 10.31234/osf.io/sefkh.</w:t>
      </w:r>
    </w:p>
    <w:p w14:paraId="42F251AB" w14:textId="77777777" w:rsidR="008E01F9" w:rsidRDefault="008E01F9" w:rsidP="00765F22">
      <w:pPr>
        <w:pBdr>
          <w:top w:val="nil"/>
          <w:left w:val="nil"/>
          <w:bottom w:val="nil"/>
          <w:right w:val="nil"/>
          <w:between w:val="nil"/>
        </w:pBdr>
        <w:jc w:val="both"/>
      </w:pPr>
      <w:r>
        <w:rPr>
          <w:b/>
        </w:rPr>
        <w:t>[b-Lee2020b]</w:t>
      </w:r>
      <w:r>
        <w:t xml:space="preserve"> Lee, J., Kim, M., &amp; Kim, J. (2020). RoleVR: Multi-experience in immersive virtual reality between co-located HMD and non-HMD users. </w:t>
      </w:r>
      <w:r>
        <w:rPr>
          <w:i/>
        </w:rPr>
        <w:t xml:space="preserve">Multimedia Tools and Applications, </w:t>
      </w:r>
      <w:r>
        <w:t>79</w:t>
      </w:r>
      <w:r>
        <w:rPr>
          <w:i/>
        </w:rPr>
        <w:t xml:space="preserve"> </w:t>
      </w:r>
      <w:r>
        <w:t>(1), 979-1005. doi: 10.1007/s11042-019-08220-w.</w:t>
      </w:r>
    </w:p>
    <w:p w14:paraId="6533D8CC" w14:textId="77777777" w:rsidR="008E01F9" w:rsidRDefault="008E01F9" w:rsidP="00765F22">
      <w:pPr>
        <w:pBdr>
          <w:top w:val="nil"/>
          <w:left w:val="nil"/>
          <w:bottom w:val="nil"/>
          <w:right w:val="nil"/>
          <w:between w:val="nil"/>
        </w:pBdr>
        <w:jc w:val="both"/>
      </w:pPr>
      <w:r>
        <w:rPr>
          <w:b/>
        </w:rPr>
        <w:t>[b-Lessiter2001]</w:t>
      </w:r>
      <w:r>
        <w:t xml:space="preserve"> Lessiter, J., Freeman, J., Keogh, E., &amp; Davidoff, J.D. (2001). A cross-media presence questionnaire: the ITC Sense of Presence Inventory. </w:t>
      </w:r>
      <w:r>
        <w:rPr>
          <w:i/>
        </w:rPr>
        <w:t xml:space="preserve">Presence: Teleoperators and Virtual Environments, 10 </w:t>
      </w:r>
      <w:r>
        <w:t>(3), 282-297.</w:t>
      </w:r>
    </w:p>
    <w:p w14:paraId="1110F57C" w14:textId="77777777" w:rsidR="008E01F9" w:rsidRDefault="008E01F9" w:rsidP="00765F22">
      <w:pPr>
        <w:jc w:val="both"/>
        <w:rPr>
          <w:color w:val="222222"/>
          <w:highlight w:val="white"/>
        </w:rPr>
      </w:pPr>
      <w:r w:rsidRPr="00F960B6">
        <w:rPr>
          <w:b/>
          <w:lang w:val="sv-SE"/>
        </w:rPr>
        <w:t xml:space="preserve">[b-Li2019] </w:t>
      </w:r>
      <w:r w:rsidRPr="00F960B6">
        <w:rPr>
          <w:color w:val="222222"/>
          <w:highlight w:val="white"/>
          <w:lang w:val="sv-SE"/>
        </w:rPr>
        <w:t xml:space="preserve">Li, J., Kong, Y., Röggla, T., De Simone, F., Ananthanarayan, S., De Ridder, H., El Ali, A., &amp; Cesar, P. (2019, May). </w:t>
      </w:r>
      <w:r>
        <w:rPr>
          <w:color w:val="222222"/>
          <w:highlight w:val="white"/>
        </w:rPr>
        <w:t xml:space="preserve">Measuring and understanding photo sharing experiences in social Virtual Reality. In </w:t>
      </w:r>
      <w:r>
        <w:rPr>
          <w:i/>
          <w:color w:val="222222"/>
          <w:highlight w:val="white"/>
        </w:rPr>
        <w:t>Proceedings of the 2019 CHI Conference on Human Factors in Computing Systems</w:t>
      </w:r>
      <w:r>
        <w:rPr>
          <w:color w:val="222222"/>
          <w:highlight w:val="white"/>
        </w:rPr>
        <w:t xml:space="preserve"> (pp. 1-14).</w:t>
      </w:r>
    </w:p>
    <w:p w14:paraId="29FBDF51" w14:textId="15F07F0F" w:rsidR="00137BAD" w:rsidRPr="00137BAD" w:rsidRDefault="008E01F9" w:rsidP="00394F72">
      <w:pPr>
        <w:rPr>
          <w:highlight w:val="white"/>
        </w:rPr>
      </w:pPr>
      <w:r w:rsidRPr="00DF1CA1">
        <w:rPr>
          <w:b/>
          <w:color w:val="222222"/>
          <w:highlight w:val="white"/>
          <w:lang w:val="de-DE"/>
        </w:rPr>
        <w:t>[b-Lindau2012]</w:t>
      </w:r>
      <w:r w:rsidRPr="00DF1CA1">
        <w:rPr>
          <w:color w:val="222222"/>
          <w:highlight w:val="white"/>
          <w:lang w:val="de-DE"/>
        </w:rPr>
        <w:t xml:space="preserve"> Lindau, A., and Weinzierl, S. (2012). </w:t>
      </w:r>
      <w:r>
        <w:rPr>
          <w:color w:val="222222"/>
          <w:highlight w:val="white"/>
        </w:rPr>
        <w:t>Assessing the plausibility of virtual acoustic environments. Acta Acustica united with Acustica 98(5), 804-810. doi: 10.3813/AAA.918562.</w:t>
      </w:r>
    </w:p>
    <w:p w14:paraId="7F25C5F4" w14:textId="77777777" w:rsidR="00137BAD" w:rsidRPr="00137BAD" w:rsidRDefault="00137BAD" w:rsidP="00394F72">
      <w:pPr>
        <w:rPr>
          <w:highlight w:val="white"/>
        </w:rPr>
      </w:pPr>
    </w:p>
    <w:p w14:paraId="520BB815" w14:textId="77777777" w:rsidR="008E01F9" w:rsidRDefault="008E01F9" w:rsidP="00765F22">
      <w:pPr>
        <w:spacing w:before="0"/>
        <w:jc w:val="both"/>
        <w:rPr>
          <w:color w:val="222222"/>
          <w:highlight w:val="white"/>
        </w:rPr>
      </w:pPr>
      <w:r w:rsidRPr="00F02E1C">
        <w:rPr>
          <w:b/>
          <w:color w:val="222222"/>
          <w:highlight w:val="white"/>
          <w:lang w:val="sv-SE"/>
        </w:rPr>
        <w:lastRenderedPageBreak/>
        <w:t>[b-Lombard1997]</w:t>
      </w:r>
      <w:r w:rsidRPr="00F02E1C">
        <w:rPr>
          <w:color w:val="222222"/>
          <w:highlight w:val="white"/>
          <w:lang w:val="sv-SE"/>
        </w:rPr>
        <w:t xml:space="preserve"> Lombard, M., &amp; Ditton, T. (1997). </w:t>
      </w:r>
      <w:r>
        <w:rPr>
          <w:color w:val="222222"/>
          <w:highlight w:val="white"/>
        </w:rPr>
        <w:t xml:space="preserve">At the heart of It all: the concept of presence. </w:t>
      </w:r>
      <w:r>
        <w:rPr>
          <w:i/>
          <w:color w:val="222222"/>
          <w:highlight w:val="white"/>
        </w:rPr>
        <w:t xml:space="preserve">Journal of Computer-Mediated Communications, 3 </w:t>
      </w:r>
      <w:r>
        <w:rPr>
          <w:color w:val="222222"/>
          <w:highlight w:val="white"/>
        </w:rPr>
        <w:t>(2), p. Article JCMC321.  doi: 10.1111/j.1083-6101.1997.tb00072.x.</w:t>
      </w:r>
    </w:p>
    <w:p w14:paraId="26A1D6CC" w14:textId="77777777" w:rsidR="008E01F9" w:rsidRDefault="008E01F9" w:rsidP="00765F22">
      <w:pPr>
        <w:spacing w:before="240" w:after="240"/>
        <w:jc w:val="both"/>
        <w:rPr>
          <w:color w:val="222222"/>
          <w:highlight w:val="white"/>
        </w:rPr>
      </w:pPr>
      <w:r>
        <w:rPr>
          <w:b/>
          <w:color w:val="222222"/>
          <w:highlight w:val="white"/>
        </w:rPr>
        <w:t>[b-Lombard2000]</w:t>
      </w:r>
      <w:r>
        <w:rPr>
          <w:color w:val="222222"/>
          <w:highlight w:val="white"/>
        </w:rPr>
        <w:t xml:space="preserve"> Lombard, M., Reich, R.D., Grabe, M.E., Campanella, C.M., &amp; Ditton, T.B. (2000). Presence and television: the role of screen size. In, </w:t>
      </w:r>
      <w:r>
        <w:rPr>
          <w:i/>
          <w:color w:val="222222"/>
          <w:highlight w:val="white"/>
        </w:rPr>
        <w:t>Human Communication Research: Proceedings of the 1995 Annual Conference of the International Communication Association</w:t>
      </w:r>
      <w:r>
        <w:rPr>
          <w:color w:val="222222"/>
          <w:highlight w:val="white"/>
        </w:rPr>
        <w:t>,Vol 26, pp. 75-98. doi: 10.1111/j.1468-2958.2000.tb00750.x</w:t>
      </w:r>
    </w:p>
    <w:p w14:paraId="29BA096E" w14:textId="77777777" w:rsidR="008E01F9" w:rsidRDefault="008E01F9" w:rsidP="00765F22">
      <w:pPr>
        <w:spacing w:before="240" w:after="240"/>
        <w:jc w:val="both"/>
        <w:rPr>
          <w:color w:val="222222"/>
          <w:highlight w:val="white"/>
        </w:rPr>
      </w:pPr>
      <w:r w:rsidRPr="00B57845">
        <w:rPr>
          <w:b/>
          <w:color w:val="222222"/>
          <w:highlight w:val="white"/>
          <w:lang w:val="sv-SE"/>
        </w:rPr>
        <w:t xml:space="preserve">[b-Longa2022]  </w:t>
      </w:r>
      <w:r w:rsidRPr="00B57845">
        <w:rPr>
          <w:color w:val="222222"/>
          <w:highlight w:val="white"/>
          <w:lang w:val="sv-SE"/>
        </w:rPr>
        <w:t xml:space="preserve">Della Longa, L., Valori, I., and Farroni, T. (2022). </w:t>
      </w:r>
      <w:r>
        <w:rPr>
          <w:color w:val="222222"/>
          <w:highlight w:val="white"/>
        </w:rPr>
        <w:t xml:space="preserve">Interpersonal Affective Touch in a Virtual World: Feeling the Social Presence of Others to Overcome Loneliness. </w:t>
      </w:r>
      <w:r>
        <w:rPr>
          <w:i/>
          <w:color w:val="222222"/>
          <w:highlight w:val="white"/>
        </w:rPr>
        <w:t>Frontiers in Psychology</w:t>
      </w:r>
      <w:r>
        <w:rPr>
          <w:color w:val="222222"/>
          <w:highlight w:val="white"/>
        </w:rPr>
        <w:t xml:space="preserve"> 12. doi: 10.3389/fpsyg.2021.795283.</w:t>
      </w:r>
    </w:p>
    <w:p w14:paraId="61089913" w14:textId="77777777" w:rsidR="008E01F9" w:rsidRDefault="008E01F9" w:rsidP="00765F22">
      <w:pPr>
        <w:pBdr>
          <w:top w:val="nil"/>
          <w:left w:val="nil"/>
          <w:bottom w:val="nil"/>
          <w:right w:val="nil"/>
          <w:between w:val="nil"/>
        </w:pBdr>
        <w:jc w:val="both"/>
        <w:rPr>
          <w:color w:val="222222"/>
          <w:highlight w:val="white"/>
        </w:rPr>
      </w:pPr>
      <w:r>
        <w:rPr>
          <w:b/>
          <w:color w:val="222222"/>
          <w:highlight w:val="white"/>
        </w:rPr>
        <w:t>[b-Makransky2017]</w:t>
      </w:r>
      <w:r>
        <w:rPr>
          <w:color w:val="222222"/>
          <w:highlight w:val="white"/>
        </w:rPr>
        <w:t xml:space="preserve"> Makransky, G., Lilleholt, L., &amp; Aaby, A. (2017). Development and validation of the Multimodal Presence Scale for virtual reality environments: A confirmatory factor analysis and item response theory approach. </w:t>
      </w:r>
      <w:r>
        <w:rPr>
          <w:i/>
          <w:color w:val="222222"/>
          <w:highlight w:val="white"/>
        </w:rPr>
        <w:t>Computers in Human Behavior, 72</w:t>
      </w:r>
      <w:r>
        <w:rPr>
          <w:color w:val="222222"/>
          <w:highlight w:val="white"/>
        </w:rPr>
        <w:t>, 276-285. doi: 10.1016/j.chb.2017.02.066.</w:t>
      </w:r>
    </w:p>
    <w:p w14:paraId="21E55F1F" w14:textId="77777777" w:rsidR="008E01F9" w:rsidRPr="00A25041" w:rsidRDefault="008E01F9" w:rsidP="00765F22">
      <w:pPr>
        <w:pBdr>
          <w:top w:val="nil"/>
          <w:left w:val="nil"/>
          <w:bottom w:val="nil"/>
          <w:right w:val="nil"/>
          <w:between w:val="nil"/>
        </w:pBdr>
        <w:spacing w:line="276" w:lineRule="auto"/>
        <w:jc w:val="both"/>
      </w:pPr>
      <w:r>
        <w:rPr>
          <w:b/>
        </w:rPr>
        <w:t xml:space="preserve">[b-McGrath1984] </w:t>
      </w:r>
      <w:r>
        <w:t>McGrath, J.E. (1984). Groups: Interaction and performance. Prentice-Hall Englewood Cliffs, NJ, 1984.</w:t>
      </w:r>
    </w:p>
    <w:p w14:paraId="777EED58" w14:textId="77777777" w:rsidR="008E01F9" w:rsidRPr="00751A6A" w:rsidRDefault="008E01F9" w:rsidP="00765F22">
      <w:pPr>
        <w:spacing w:line="276" w:lineRule="auto"/>
        <w:jc w:val="both"/>
      </w:pPr>
      <w:r>
        <w:rPr>
          <w:b/>
        </w:rPr>
        <w:t>[b-Mengis2018]</w:t>
      </w:r>
      <w:r>
        <w:t xml:space="preserve"> Mengis, J. and Eppler, M. J. “Understanding and Managing Conversations from a Knowledge Perspective: An Analysis of the Roles and Rules of Face-toface Conversations in Organizations”. In: Organization Studies 29.10 (2008), pp. 1287–1313. DOI: 10.1177/0170840607086553.</w:t>
      </w:r>
    </w:p>
    <w:p w14:paraId="5B6434F0" w14:textId="77777777" w:rsidR="008E01F9" w:rsidRPr="00751A6A" w:rsidRDefault="008E01F9" w:rsidP="00765F22">
      <w:pPr>
        <w:spacing w:line="276" w:lineRule="auto"/>
        <w:jc w:val="both"/>
        <w:rPr>
          <w:sz w:val="16"/>
          <w:szCs w:val="16"/>
        </w:rPr>
      </w:pPr>
      <w:r>
        <w:rPr>
          <w:b/>
        </w:rPr>
        <w:t xml:space="preserve">[b-Minhas2013] </w:t>
      </w:r>
      <w:r>
        <w:t>Minhas, T.N. and Fiedler, M. (2013). Quality of Experience Hourglass Model, in Proc. IEEE ComManTel, Ho Chi Minh City, Vietnam, Jan. 2013, DOI: ​​</w:t>
      </w:r>
      <w:hyperlink r:id="rId44">
        <w:r>
          <w:t>10.1109/ComManTel.2013.6482371</w:t>
        </w:r>
      </w:hyperlink>
    </w:p>
    <w:p w14:paraId="2E4FD1A7" w14:textId="77777777" w:rsidR="008E01F9" w:rsidRDefault="008E01F9" w:rsidP="00765F22">
      <w:pPr>
        <w:jc w:val="both"/>
        <w:rPr>
          <w:color w:val="222222"/>
          <w:highlight w:val="white"/>
        </w:rPr>
      </w:pPr>
      <w:r w:rsidRPr="00B57845">
        <w:rPr>
          <w:b/>
          <w:color w:val="222222"/>
          <w:highlight w:val="white"/>
          <w:lang w:val="sv-SE"/>
        </w:rPr>
        <w:t xml:space="preserve">[b-Mekuria2017] </w:t>
      </w:r>
      <w:r w:rsidRPr="00B57845">
        <w:rPr>
          <w:color w:val="222222"/>
          <w:highlight w:val="white"/>
          <w:lang w:val="sv-SE"/>
        </w:rPr>
        <w:t xml:space="preserve">Mekuria, R., Blom, K., &amp; Cesar, P. (2016). </w:t>
      </w:r>
      <w:r>
        <w:rPr>
          <w:color w:val="222222"/>
          <w:highlight w:val="white"/>
        </w:rPr>
        <w:t>Design, implementation, and evaluation of a point cloud codec for tele-immersive video.</w:t>
      </w:r>
      <w:r>
        <w:rPr>
          <w:i/>
          <w:color w:val="222222"/>
          <w:highlight w:val="white"/>
        </w:rPr>
        <w:t xml:space="preserve"> IEEE Transactions on Circuits and Systems for Video Technology</w:t>
      </w:r>
      <w:r>
        <w:rPr>
          <w:color w:val="222222"/>
          <w:highlight w:val="white"/>
        </w:rPr>
        <w:t>, 27(4), 828-842, doi: 10.1109/TCSVT.2016.2543039</w:t>
      </w:r>
    </w:p>
    <w:p w14:paraId="472AADD0" w14:textId="77777777" w:rsidR="008E01F9" w:rsidRPr="00FB0A08" w:rsidRDefault="008E01F9" w:rsidP="00765F22">
      <w:pPr>
        <w:jc w:val="both"/>
        <w:rPr>
          <w:rFonts w:eastAsia="Times New Roman"/>
          <w:sz w:val="22"/>
          <w:szCs w:val="22"/>
          <w:lang w:val="en-US" w:eastAsia="en-US"/>
        </w:rPr>
      </w:pPr>
      <w:r w:rsidRPr="007E2F3C">
        <w:rPr>
          <w:b/>
          <w:lang w:val="en-US"/>
        </w:rPr>
        <w:t>[b-Möller2014] (</w:t>
      </w:r>
      <w:r w:rsidRPr="007E2F3C">
        <w:rPr>
          <w:lang w:val="en-US"/>
        </w:rPr>
        <w:t xml:space="preserve">2014) </w:t>
      </w:r>
      <w:r w:rsidRPr="007E2F3C">
        <w:rPr>
          <w:rFonts w:eastAsia="Times New Roman"/>
          <w:lang w:val="en-US"/>
        </w:rPr>
        <w:t>Sebastian Möller, S., Garcia, M-N., Wältermann, M. Features of Qua</w:t>
      </w:r>
      <w:r>
        <w:rPr>
          <w:rFonts w:eastAsia="Times New Roman"/>
          <w:lang w:val="en-US"/>
        </w:rPr>
        <w:t>lity of Experience. In</w:t>
      </w:r>
      <w:r>
        <w:rPr>
          <w:rFonts w:eastAsia="Times New Roman"/>
          <w:sz w:val="22"/>
          <w:szCs w:val="22"/>
          <w:lang w:val="en-US" w:eastAsia="en-US"/>
        </w:rPr>
        <w:t xml:space="preserve"> </w:t>
      </w:r>
      <w:r>
        <w:t>Quality of Experience - Advanced Concepts, Applications, Methods, Eds. Möller, S., Raake, A., Springer, pp. 73-84.</w:t>
      </w:r>
    </w:p>
    <w:p w14:paraId="4B5ADC9A" w14:textId="77777777" w:rsidR="008E01F9" w:rsidRDefault="008E01F9" w:rsidP="00765F22">
      <w:pPr>
        <w:jc w:val="both"/>
        <w:rPr>
          <w:color w:val="222222"/>
          <w:highlight w:val="white"/>
        </w:rPr>
      </w:pPr>
      <w:r>
        <w:rPr>
          <w:b/>
          <w:color w:val="222222"/>
          <w:highlight w:val="white"/>
        </w:rPr>
        <w:t>[b-Nadler2020]</w:t>
      </w:r>
      <w:r>
        <w:rPr>
          <w:color w:val="222222"/>
          <w:highlight w:val="white"/>
        </w:rPr>
        <w:t xml:space="preserve"> Nadler, R. (2020). Understanding “Zoom fatigue”: Theorizing spatial dynamics as third skins in computer-mediated communication. </w:t>
      </w:r>
      <w:r>
        <w:rPr>
          <w:i/>
          <w:color w:val="222222"/>
          <w:highlight w:val="white"/>
        </w:rPr>
        <w:t>Computers and Composition, 58</w:t>
      </w:r>
      <w:r>
        <w:rPr>
          <w:color w:val="222222"/>
          <w:highlight w:val="white"/>
        </w:rPr>
        <w:t xml:space="preserve">, p. 102613. </w:t>
      </w:r>
    </w:p>
    <w:p w14:paraId="77CDEA31" w14:textId="77777777" w:rsidR="008E01F9" w:rsidRDefault="008E01F9" w:rsidP="00765F22">
      <w:pPr>
        <w:jc w:val="both"/>
      </w:pPr>
      <w:r>
        <w:rPr>
          <w:b/>
        </w:rPr>
        <w:t>[b-Neustaedter2018]</w:t>
      </w:r>
      <w:r>
        <w:rPr>
          <w:b/>
        </w:rPr>
        <w:tab/>
      </w:r>
      <w:r>
        <w:t xml:space="preserve">Neustaedter, C., Singhal, S., Pan, R., Heshmat, Y., Forghani, A., &amp; Tang, J. (2018). From being there to watching: Shared and dedicated telepresence robot usage at academic conferences. ACM Transactions on Computer-Human Interaction, 25(6). </w:t>
      </w:r>
      <w:hyperlink r:id="rId45">
        <w:r>
          <w:rPr>
            <w:color w:val="1155CC"/>
            <w:u w:val="single"/>
          </w:rPr>
          <w:t>https://doi.org/10.1145/3243213</w:t>
        </w:r>
      </w:hyperlink>
    </w:p>
    <w:p w14:paraId="319E495F" w14:textId="77777777" w:rsidR="008E01F9" w:rsidRDefault="008E01F9" w:rsidP="00765F22">
      <w:pPr>
        <w:jc w:val="both"/>
      </w:pPr>
      <w:r w:rsidRPr="00394F72">
        <w:rPr>
          <w:b/>
          <w:bCs/>
        </w:rPr>
        <w:t>[b-</w:t>
      </w:r>
      <w:r w:rsidRPr="00137BAD">
        <w:rPr>
          <w:b/>
          <w:bCs/>
        </w:rPr>
        <w:t>Nguyen-Vo2021</w:t>
      </w:r>
      <w:r w:rsidRPr="00394F72">
        <w:rPr>
          <w:b/>
          <w:bCs/>
        </w:rPr>
        <w:t>]</w:t>
      </w:r>
      <w:r>
        <w:tab/>
        <w:t>Nguyen-Vo, T., Riecke, B. E., Stuerzlinger, W., Pham, D. M., &amp; Kruijff, E. (2021). NaviBoard and NaviChair: Limited Translation Combined with Full Rotation for Efficient Virtual Locomotion. IEEE Transactions on Visualization and Computer Graphics, vol. 27, no. 1, pp. 165-177.</w:t>
      </w:r>
    </w:p>
    <w:p w14:paraId="207186D3" w14:textId="77777777" w:rsidR="008E01F9" w:rsidRDefault="008E01F9" w:rsidP="00765F22">
      <w:pPr>
        <w:jc w:val="both"/>
      </w:pPr>
      <w:r w:rsidRPr="00B57845">
        <w:rPr>
          <w:b/>
          <w:lang w:val="sv-SE"/>
        </w:rPr>
        <w:t>[b-Nilsson2016]</w:t>
      </w:r>
      <w:r>
        <w:rPr>
          <w:b/>
          <w:lang w:val="sv-SE"/>
        </w:rPr>
        <w:t xml:space="preserve">  </w:t>
      </w:r>
      <w:r w:rsidRPr="00B57845">
        <w:rPr>
          <w:lang w:val="sv-SE"/>
        </w:rPr>
        <w:t xml:space="preserve">Nilsson, N. C., Nordahl, R., &amp; Serafin, S. (2016). </w:t>
      </w:r>
      <w:r>
        <w:t xml:space="preserve">Immersion revisited: A review of existing definitions of immersion and their relation to different theories of presence. Human Technology, 12(2), 108–134. </w:t>
      </w:r>
      <w:hyperlink r:id="rId46">
        <w:r>
          <w:rPr>
            <w:color w:val="1155CC"/>
            <w:u w:val="single"/>
          </w:rPr>
          <w:t>https://doi.org/10.17011/ht/urn.201611174652</w:t>
        </w:r>
      </w:hyperlink>
    </w:p>
    <w:p w14:paraId="3E4E00CE" w14:textId="77777777" w:rsidR="008E01F9" w:rsidRDefault="008E01F9" w:rsidP="00765F22">
      <w:pPr>
        <w:jc w:val="both"/>
      </w:pPr>
      <w:r w:rsidRPr="00F960B6">
        <w:rPr>
          <w:b/>
          <w:lang w:val="sv-SE"/>
        </w:rPr>
        <w:lastRenderedPageBreak/>
        <w:t xml:space="preserve">[b-Norman2018] </w:t>
      </w:r>
      <w:r w:rsidRPr="00F960B6">
        <w:rPr>
          <w:lang w:val="sv-SE"/>
        </w:rPr>
        <w:t xml:space="preserve">Norman, K.L. (2018). </w:t>
      </w:r>
      <w:r>
        <w:t>Evaluation of Virtual Reality Games: Simulator Sickness and Human Factors, In 2nd Workshop on Games-Human Interaction (GHItaly 2018), Castiglione dell aPescaia, Grosseto (Italy), May 2018.</w:t>
      </w:r>
    </w:p>
    <w:p w14:paraId="5181A27F" w14:textId="77777777" w:rsidR="008E01F9" w:rsidRDefault="008E01F9" w:rsidP="00765F22">
      <w:pPr>
        <w:pBdr>
          <w:top w:val="nil"/>
          <w:left w:val="nil"/>
          <w:bottom w:val="nil"/>
          <w:right w:val="nil"/>
          <w:between w:val="nil"/>
        </w:pBdr>
        <w:jc w:val="both"/>
      </w:pPr>
      <w:r w:rsidRPr="00B57845">
        <w:rPr>
          <w:b/>
          <w:lang w:val="sv-SE"/>
        </w:rPr>
        <w:t>[b-Nystad2004]</w:t>
      </w:r>
      <w:r w:rsidRPr="00B57845">
        <w:rPr>
          <w:lang w:val="sv-SE"/>
        </w:rPr>
        <w:t xml:space="preserve"> Nystad, E., &amp; Sebok, A. (2004). </w:t>
      </w:r>
      <w:r>
        <w:t xml:space="preserve">A comparison of two presence measures based on experimental results. In: </w:t>
      </w:r>
      <w:r>
        <w:rPr>
          <w:i/>
        </w:rPr>
        <w:t>Presence 2004</w:t>
      </w:r>
      <w:r>
        <w:t xml:space="preserve"> (pp. 266-273):International Society for Presence Research.</w:t>
      </w:r>
    </w:p>
    <w:p w14:paraId="7543BCCC" w14:textId="77777777" w:rsidR="008E01F9" w:rsidRPr="00394F72" w:rsidRDefault="008E01F9" w:rsidP="00765F22">
      <w:pPr>
        <w:pBdr>
          <w:top w:val="nil"/>
          <w:left w:val="nil"/>
          <w:bottom w:val="nil"/>
          <w:right w:val="nil"/>
          <w:between w:val="nil"/>
        </w:pBdr>
        <w:jc w:val="both"/>
        <w:rPr>
          <w:rFonts w:eastAsia="Roboto"/>
        </w:rPr>
      </w:pPr>
      <w:r w:rsidRPr="00394F72">
        <w:rPr>
          <w:rFonts w:eastAsia="Roboto"/>
          <w:b/>
        </w:rPr>
        <w:t>[b-O'Brien2010]</w:t>
      </w:r>
      <w:r w:rsidRPr="00394F72">
        <w:rPr>
          <w:rFonts w:eastAsia="Roboto"/>
        </w:rPr>
        <w:t xml:space="preserve"> O'Brien,</w:t>
      </w:r>
      <w:r w:rsidRPr="00137BAD">
        <w:t xml:space="preserve"> </w:t>
      </w:r>
      <w:r w:rsidRPr="00394F72">
        <w:rPr>
          <w:rFonts w:eastAsia="Roboto"/>
        </w:rPr>
        <w:t xml:space="preserve">H.L., &amp; Toms, E.G. (2010). The development and evaluation of a survey to measure user engagement. </w:t>
      </w:r>
      <w:r w:rsidRPr="00394F72">
        <w:rPr>
          <w:rFonts w:eastAsia="Roboto"/>
          <w:i/>
        </w:rPr>
        <w:t xml:space="preserve">Journal of the American Society for Information Science and Technology, 61 </w:t>
      </w:r>
      <w:r w:rsidRPr="00394F72">
        <w:rPr>
          <w:rFonts w:eastAsia="Roboto"/>
        </w:rPr>
        <w:t>(1), 50-69. doi: 10.1002/asi.21229.</w:t>
      </w:r>
    </w:p>
    <w:p w14:paraId="42AED612" w14:textId="77777777" w:rsidR="008E01F9" w:rsidRDefault="008E01F9" w:rsidP="00765F22">
      <w:pPr>
        <w:jc w:val="both"/>
      </w:pPr>
      <w:r w:rsidRPr="00B57845">
        <w:rPr>
          <w:b/>
          <w:lang w:val="sv-SE"/>
        </w:rPr>
        <w:t>[b-Okura2010]</w:t>
      </w:r>
      <w:r>
        <w:rPr>
          <w:lang w:val="sv-SE"/>
        </w:rPr>
        <w:t xml:space="preserve"> </w:t>
      </w:r>
      <w:r w:rsidRPr="00B57845">
        <w:rPr>
          <w:lang w:val="sv-SE"/>
        </w:rPr>
        <w:t xml:space="preserve">Okura, F., Kanbara, M., &amp; Yokoya, N. (2010). </w:t>
      </w:r>
      <w:r>
        <w:t xml:space="preserve">Augmented telepresence using autopilot airship and omni-directional camera. In 9th IEEE International Symposium on Mixed and Augmented Reality (pp. 259–260). Seoul, Korea. </w:t>
      </w:r>
      <w:hyperlink r:id="rId47">
        <w:r>
          <w:rPr>
            <w:color w:val="1155CC"/>
            <w:u w:val="single"/>
          </w:rPr>
          <w:t>https://doi.org/10.1109/ISMAR.2010.5643596</w:t>
        </w:r>
      </w:hyperlink>
    </w:p>
    <w:p w14:paraId="48574309" w14:textId="77777777" w:rsidR="008E01F9" w:rsidRDefault="008E01F9" w:rsidP="00765F22">
      <w:pPr>
        <w:jc w:val="both"/>
      </w:pPr>
      <w:r w:rsidRPr="00394F72">
        <w:rPr>
          <w:b/>
          <w:bCs/>
        </w:rPr>
        <w:t>[b-</w:t>
      </w:r>
      <w:r w:rsidRPr="00137BAD">
        <w:rPr>
          <w:b/>
          <w:bCs/>
        </w:rPr>
        <w:t>OpenXR1</w:t>
      </w:r>
      <w:r w:rsidRPr="00394F72">
        <w:rPr>
          <w:b/>
          <w:bCs/>
        </w:rPr>
        <w:t>]</w:t>
      </w:r>
      <w:r>
        <w:tab/>
        <w:t xml:space="preserve">The Khronos Group Inc (2021). The OpenXR Specification.  </w:t>
      </w:r>
      <w:hyperlink r:id="rId48">
        <w:r>
          <w:rPr>
            <w:color w:val="1155CC"/>
            <w:u w:val="single"/>
          </w:rPr>
          <w:t>https://www.khronos.org/registry/OpenXR/specs/1.0/html/xrspec.html</w:t>
        </w:r>
      </w:hyperlink>
      <w:r>
        <w:t xml:space="preserve"> </w:t>
      </w:r>
    </w:p>
    <w:p w14:paraId="56B38995" w14:textId="77777777" w:rsidR="008E01F9" w:rsidRDefault="008E01F9" w:rsidP="00765F22">
      <w:pPr>
        <w:pBdr>
          <w:top w:val="nil"/>
          <w:left w:val="nil"/>
          <w:bottom w:val="nil"/>
          <w:right w:val="nil"/>
          <w:between w:val="nil"/>
        </w:pBdr>
        <w:jc w:val="both"/>
      </w:pPr>
      <w:r w:rsidRPr="00B57845">
        <w:rPr>
          <w:b/>
          <w:lang w:val="sv-SE"/>
        </w:rPr>
        <w:t xml:space="preserve">[b-Orduna2022] </w:t>
      </w:r>
      <w:r w:rsidRPr="00B57845">
        <w:rPr>
          <w:lang w:val="sv-SE"/>
        </w:rPr>
        <w:t xml:space="preserve">Orduna, M., Perez, P., Gutierrez, J., &amp; Garcia, N. (2022). </w:t>
      </w:r>
      <w:r>
        <w:t xml:space="preserve">Methodology to Assess Quality, Presence, Empathy, Attitude, and Attention in 360-degree Videos for Immersive Communications. </w:t>
      </w:r>
      <w:r>
        <w:rPr>
          <w:i/>
        </w:rPr>
        <w:t>IEEE Transactions on Affective Computing</w:t>
      </w:r>
      <w:r>
        <w:t>. doi: 10.1109/TAFFC.2022.3149162</w:t>
      </w:r>
    </w:p>
    <w:p w14:paraId="40B206C0" w14:textId="77777777" w:rsidR="008E01F9" w:rsidRDefault="008E01F9" w:rsidP="00765F22">
      <w:pPr>
        <w:pBdr>
          <w:top w:val="nil"/>
          <w:left w:val="nil"/>
          <w:bottom w:val="nil"/>
          <w:right w:val="nil"/>
          <w:between w:val="nil"/>
        </w:pBdr>
        <w:jc w:val="both"/>
      </w:pPr>
      <w:r w:rsidRPr="00B332D4">
        <w:rPr>
          <w:b/>
        </w:rPr>
        <w:t>[b-Orts-Escolano2016]</w:t>
      </w:r>
      <w:r>
        <w:t xml:space="preserve"> Orts-Escolano, S., Rhemann, C., Fanello, S., Chang, W., Kowdle, A., Degtyarev, Y., Kim, D., Davidson, P.L., Khamis, S., Dou, M., Tankovich, V., Loop, C., Cai, Q., Chou, P.A., Mennicken, S., Valentin, J., Pradeep, V., Wang, S., Kang, S.B., Kohli, P., Lutchyn, Y., Keskin, C., &amp; Izadi, S. (2016). Holoportation: Virtual 3D Teleportation in Real-time. In: </w:t>
      </w:r>
      <w:r>
        <w:rPr>
          <w:i/>
        </w:rPr>
        <w:t>The 29th Annual Symposium on User Interface Software and Technology</w:t>
      </w:r>
      <w:r>
        <w:t xml:space="preserve"> (pp. 741–754):Association for Computing Machinery. doi: 10.1145/2984511.2984517</w:t>
      </w:r>
    </w:p>
    <w:p w14:paraId="08B9C3A1" w14:textId="77777777" w:rsidR="008E01F9" w:rsidRPr="00751A6A" w:rsidRDefault="008E01F9" w:rsidP="00765F22">
      <w:pPr>
        <w:jc w:val="both"/>
      </w:pPr>
      <w:r>
        <w:rPr>
          <w:b/>
        </w:rPr>
        <w:t>[b-Parola2016]</w:t>
      </w:r>
      <w:r>
        <w:t xml:space="preserve"> Parola, M., Johnson, S., &amp; West, R. (2016). Turning presence inside-out: Metanarratives. </w:t>
      </w:r>
      <w:r>
        <w:rPr>
          <w:i/>
        </w:rPr>
        <w:t xml:space="preserve">Electronic Imaging, 2016 </w:t>
      </w:r>
      <w:r>
        <w:t>(4), pp. 1-9. Doi: 10.2352/ISSN.2470-1173.2016.4.ERVR-418</w:t>
      </w:r>
    </w:p>
    <w:p w14:paraId="59929CBA" w14:textId="77777777" w:rsidR="008E01F9" w:rsidRDefault="008E01F9" w:rsidP="00765F22">
      <w:pPr>
        <w:jc w:val="both"/>
      </w:pPr>
      <w:r>
        <w:rPr>
          <w:b/>
        </w:rPr>
        <w:t xml:space="preserve">[b-Perez2018] </w:t>
      </w:r>
      <w:r>
        <w:t>P. Pérez, N. Oyaga, J. J. Ruiz, and A. Villegas, “Towards Systematic Analysis of Cybersickness in High Motion Omnidirectional Video,” P</w:t>
      </w:r>
      <w:r>
        <w:rPr>
          <w:i/>
        </w:rPr>
        <w:t>roceedings of the International Conference on Quality of Multimedia Experience (QoMEX)</w:t>
      </w:r>
      <w:r>
        <w:t>, May2018.</w:t>
      </w:r>
    </w:p>
    <w:p w14:paraId="68936FF9" w14:textId="77777777" w:rsidR="008E01F9" w:rsidRPr="00394F72" w:rsidRDefault="008E01F9" w:rsidP="00765F22">
      <w:pPr>
        <w:jc w:val="both"/>
        <w:rPr>
          <w:color w:val="1155CC"/>
          <w:u w:val="single"/>
          <w:lang w:val="fr-FR"/>
        </w:rPr>
      </w:pPr>
      <w:r w:rsidRPr="00394F72">
        <w:rPr>
          <w:b/>
          <w:bCs/>
          <w:lang w:val="sv-SE"/>
        </w:rPr>
        <w:t>[b-</w:t>
      </w:r>
      <w:r w:rsidRPr="00137BAD">
        <w:rPr>
          <w:b/>
          <w:bCs/>
          <w:lang w:val="sv-SE"/>
        </w:rPr>
        <w:t>Perkis2020</w:t>
      </w:r>
      <w:r w:rsidRPr="00394F72">
        <w:rPr>
          <w:b/>
          <w:bCs/>
          <w:lang w:val="sv-SE"/>
        </w:rPr>
        <w:t>]</w:t>
      </w:r>
      <w:r>
        <w:rPr>
          <w:lang w:val="sv-SE"/>
        </w:rPr>
        <w:t xml:space="preserve"> </w:t>
      </w:r>
      <w:r w:rsidRPr="00B57845">
        <w:rPr>
          <w:lang w:val="sv-SE"/>
        </w:rPr>
        <w:t xml:space="preserve">Perkis, A., Timmerer, C., et al. </w:t>
      </w:r>
      <w:r>
        <w:t xml:space="preserve">(2020). QUALINET White Paper on Definitions of Immersive Media Experience (IMEx), European Network on Quality of Experience in Multimedia Systems and Services, 14th QUALINET meeting (online), May 25, 2020. </w:t>
      </w:r>
      <w:r w:rsidRPr="00394F72">
        <w:rPr>
          <w:lang w:val="fr-FR"/>
        </w:rPr>
        <w:t xml:space="preserve">Online: https://arxiv.org/abs/2007.07032 </w:t>
      </w:r>
    </w:p>
    <w:p w14:paraId="7B3B8C94" w14:textId="77777777" w:rsidR="008E01F9" w:rsidRDefault="008E01F9" w:rsidP="00765F22">
      <w:pPr>
        <w:jc w:val="both"/>
      </w:pPr>
      <w:r w:rsidRPr="00394F72">
        <w:rPr>
          <w:b/>
          <w:lang w:val="fr-FR"/>
        </w:rPr>
        <w:t>[b-Porcu2019]</w:t>
      </w:r>
      <w:r w:rsidRPr="00394F72">
        <w:rPr>
          <w:lang w:val="fr-FR"/>
        </w:rPr>
        <w:t xml:space="preserve"> Porcu, S., Floris, A., &amp; Atzori, L. (2019). </w:t>
      </w:r>
      <w:r>
        <w:t>Towards the Evaluation of the Effects of Ambient Illumination and Noise on Quality of Experience”. In: 2019 Eleventh International Conference on Quality of Multimedia Experience (QoMEX). 2019, pp. 1–6.</w:t>
      </w:r>
    </w:p>
    <w:p w14:paraId="368D03E6" w14:textId="77777777" w:rsidR="008E01F9" w:rsidRPr="00A63753" w:rsidRDefault="008E01F9" w:rsidP="00765F22">
      <w:pPr>
        <w:pBdr>
          <w:top w:val="nil"/>
          <w:left w:val="nil"/>
          <w:bottom w:val="nil"/>
          <w:right w:val="nil"/>
          <w:between w:val="nil"/>
        </w:pBdr>
        <w:jc w:val="both"/>
      </w:pPr>
      <w:r>
        <w:rPr>
          <w:b/>
        </w:rPr>
        <w:t>[b-Rantala2013]</w:t>
      </w:r>
      <w:r>
        <w:t xml:space="preserve"> Rantala, J., Salminen, K., Raisamo, R., and Surakka, V. (2013). Touch gestures in communicating emotional intention via vibrotactile stimulation. </w:t>
      </w:r>
      <w:r>
        <w:rPr>
          <w:i/>
        </w:rPr>
        <w:t>International Journal of Human-Computer Studies</w:t>
      </w:r>
      <w:r>
        <w:t xml:space="preserve"> 7(6)</w:t>
      </w:r>
      <w:r>
        <w:rPr>
          <w:b/>
        </w:rPr>
        <w:t>,</w:t>
      </w:r>
      <w:r>
        <w:t xml:space="preserve"> 679-690. doi: 10.1016/j.ijhcs.2013.02.004.</w:t>
      </w:r>
    </w:p>
    <w:p w14:paraId="5ADB6B64" w14:textId="77777777" w:rsidR="008E01F9" w:rsidRDefault="008E01F9" w:rsidP="00765F22">
      <w:pPr>
        <w:pBdr>
          <w:top w:val="nil"/>
          <w:left w:val="nil"/>
          <w:bottom w:val="nil"/>
          <w:right w:val="nil"/>
          <w:between w:val="nil"/>
        </w:pBdr>
        <w:jc w:val="both"/>
        <w:rPr>
          <w:color w:val="231F20"/>
        </w:rPr>
      </w:pPr>
      <w:r w:rsidRPr="00DF1CA1">
        <w:rPr>
          <w:b/>
          <w:color w:val="231F20"/>
          <w:lang w:val="de-DE"/>
        </w:rPr>
        <w:t xml:space="preserve">[b-Rauschnabel2022] </w:t>
      </w:r>
      <w:r w:rsidRPr="00DF1CA1">
        <w:rPr>
          <w:color w:val="231F20"/>
          <w:lang w:val="de-DE"/>
        </w:rPr>
        <w:t xml:space="preserve">Rauschnabel, P.A., Felix, R., Hinsch, C., Shahab, H., and Alt, F. (2022). </w:t>
      </w:r>
      <w:r>
        <w:rPr>
          <w:color w:val="231F20"/>
        </w:rPr>
        <w:t xml:space="preserve">What is XR? Towards a framework for Augmented and Virtual Reality. </w:t>
      </w:r>
      <w:r>
        <w:rPr>
          <w:i/>
          <w:color w:val="231F20"/>
        </w:rPr>
        <w:t>Computers in Human Behavior</w:t>
      </w:r>
      <w:r>
        <w:rPr>
          <w:color w:val="231F20"/>
        </w:rPr>
        <w:t xml:space="preserve"> 133</w:t>
      </w:r>
      <w:r>
        <w:rPr>
          <w:b/>
          <w:color w:val="231F20"/>
        </w:rPr>
        <w:t>,</w:t>
      </w:r>
      <w:r>
        <w:rPr>
          <w:color w:val="231F20"/>
        </w:rPr>
        <w:t xml:space="preserve"> 107289. doi: https://doi.org/10.1016/j.chb.2022.107289.</w:t>
      </w:r>
    </w:p>
    <w:p w14:paraId="2EB3B731" w14:textId="77777777" w:rsidR="008E01F9" w:rsidRPr="00DF1CA1" w:rsidRDefault="008E01F9" w:rsidP="00765F22">
      <w:pPr>
        <w:jc w:val="both"/>
        <w:rPr>
          <w:lang w:val="de-DE"/>
        </w:rPr>
      </w:pPr>
      <w:r>
        <w:rPr>
          <w:b/>
        </w:rPr>
        <w:t>[b-Reiter2014]</w:t>
      </w:r>
      <w:r>
        <w:t xml:space="preserve"> Reiter, U., Brunnström, K., de Moor, K., et al., “Factors Influencing Quality of Experience”. In: Quality of Experience - Advanced Concepts, Applications, Methods. Ed. by S. Möller and A. Raake. </w:t>
      </w:r>
      <w:r w:rsidRPr="00DF1CA1">
        <w:rPr>
          <w:lang w:val="de-DE"/>
        </w:rPr>
        <w:t>Springer, 2014, pp. 55–72.</w:t>
      </w:r>
    </w:p>
    <w:p w14:paraId="3F87A0CD" w14:textId="77777777" w:rsidR="008E01F9" w:rsidRPr="00DF1CA1" w:rsidRDefault="008E01F9" w:rsidP="00765F22">
      <w:pPr>
        <w:pBdr>
          <w:top w:val="nil"/>
          <w:left w:val="nil"/>
          <w:bottom w:val="nil"/>
          <w:right w:val="nil"/>
          <w:between w:val="nil"/>
        </w:pBdr>
        <w:jc w:val="both"/>
        <w:rPr>
          <w:lang w:val="de-DE"/>
        </w:rPr>
      </w:pPr>
      <w:r w:rsidRPr="008E01F9">
        <w:rPr>
          <w:b/>
          <w:lang w:val="en-US"/>
        </w:rPr>
        <w:lastRenderedPageBreak/>
        <w:t>[b-Sacau2008]</w:t>
      </w:r>
      <w:r w:rsidRPr="008E01F9">
        <w:rPr>
          <w:lang w:val="en-US"/>
        </w:rPr>
        <w:t xml:space="preserve"> Sacau, A., Laarni, J., &amp; Hartmann, T. (2008). </w:t>
      </w:r>
      <w:r>
        <w:t xml:space="preserve">Influence of individual factors on presence. </w:t>
      </w:r>
      <w:r w:rsidRPr="00DF1CA1">
        <w:rPr>
          <w:i/>
          <w:lang w:val="de-DE"/>
        </w:rPr>
        <w:t xml:space="preserve">Computers in Human Behavior, 24 </w:t>
      </w:r>
      <w:r w:rsidRPr="00DF1CA1">
        <w:rPr>
          <w:lang w:val="de-DE"/>
        </w:rPr>
        <w:t>(5), 2255-2273. doi: 10.1016/j.chb.2007.11.001.</w:t>
      </w:r>
    </w:p>
    <w:p w14:paraId="5130B5AF" w14:textId="77777777" w:rsidR="008E01F9" w:rsidRPr="00B57845" w:rsidRDefault="008E01F9" w:rsidP="00765F22">
      <w:pPr>
        <w:jc w:val="both"/>
        <w:rPr>
          <w:lang w:val="sv-SE"/>
        </w:rPr>
      </w:pPr>
      <w:r w:rsidRPr="00DF1CA1">
        <w:rPr>
          <w:b/>
          <w:lang w:val="de-DE"/>
        </w:rPr>
        <w:t>[b-Schubert2001]</w:t>
      </w:r>
      <w:r w:rsidRPr="00DF1CA1">
        <w:rPr>
          <w:lang w:val="de-DE"/>
        </w:rPr>
        <w:t xml:space="preserve"> Schubert, T., Friedmann, F., &amp; Regenbrecht, H. (2001). </w:t>
      </w:r>
      <w:r>
        <w:t xml:space="preserve">The experience of presence: Factor analytic insights. Presence: Teleoperators and Virtual Environments, 10(3), 266–281. </w:t>
      </w:r>
      <w:hyperlink r:id="rId49">
        <w:r w:rsidRPr="00B57845">
          <w:rPr>
            <w:color w:val="1155CC"/>
            <w:u w:val="single"/>
            <w:lang w:val="sv-SE"/>
          </w:rPr>
          <w:t>https://doi.org/10.1162/105474601300343603</w:t>
        </w:r>
      </w:hyperlink>
    </w:p>
    <w:p w14:paraId="54B6D2EA" w14:textId="77777777" w:rsidR="008E01F9" w:rsidRDefault="008E01F9" w:rsidP="00765F22">
      <w:pPr>
        <w:jc w:val="both"/>
      </w:pPr>
      <w:r w:rsidRPr="00B57845">
        <w:rPr>
          <w:b/>
          <w:lang w:val="sv-SE"/>
        </w:rPr>
        <w:t>[b-Schwarz2019] S</w:t>
      </w:r>
      <w:r w:rsidRPr="00B57845">
        <w:rPr>
          <w:lang w:val="sv-SE"/>
        </w:rPr>
        <w:t xml:space="preserve">chwarz, S., Preda, M., Baroncini, V., Budagavi, M., Cesar, P., Chou, P. A., Cohen, R. A.. Krivokuća, M., Lasserre, S., Li, Z., Llach, J., Mammou, K., Mekuria, R., Nakagami, O., Siahaan, E., Tabatabai, A., Tourapis, A. M., &amp; Zakharchenko, V. (2018). </w:t>
      </w:r>
      <w:r>
        <w:t xml:space="preserve">Emerging MPEG standards for point cloud compression. </w:t>
      </w:r>
      <w:r>
        <w:rPr>
          <w:i/>
        </w:rPr>
        <w:t>IEEE Journal on Emerging and Selected Topics in Circuits and Systems</w:t>
      </w:r>
      <w:r>
        <w:t xml:space="preserve">, 9(1), 133-148. </w:t>
      </w:r>
      <w:hyperlink r:id="rId50">
        <w:r>
          <w:rPr>
            <w:color w:val="1155CC"/>
            <w:u w:val="single"/>
          </w:rPr>
          <w:t>https://doi.org/10.1109/JETCAS.2018.2885981</w:t>
        </w:r>
      </w:hyperlink>
    </w:p>
    <w:p w14:paraId="04C63AC5" w14:textId="77777777" w:rsidR="008E01F9" w:rsidRDefault="008E01F9" w:rsidP="00765F22">
      <w:pPr>
        <w:jc w:val="both"/>
      </w:pPr>
      <w:r>
        <w:rPr>
          <w:b/>
        </w:rPr>
        <w:t>[b-Shah2020]</w:t>
      </w:r>
      <w:r>
        <w:t xml:space="preserve"> Shah, S.G.S., Nogueras, D., van Woerden, H.C., &amp; Kiparoglou, V. (2020). The COVID-19 Pandemic: A Pandemic of Lockdown Loneliness and the Role of Digital Technology. Journal of Medical Internet Research, 22 (11), p. e22287. </w:t>
      </w:r>
      <w:hyperlink r:id="rId51">
        <w:r>
          <w:rPr>
            <w:color w:val="1155CC"/>
            <w:u w:val="single"/>
          </w:rPr>
          <w:t>https://doi.org/10.2196/22287</w:t>
        </w:r>
      </w:hyperlink>
      <w:r>
        <w:t>.</w:t>
      </w:r>
    </w:p>
    <w:p w14:paraId="43C9504A" w14:textId="77777777" w:rsidR="008E01F9" w:rsidRDefault="008E01F9" w:rsidP="00765F22">
      <w:pPr>
        <w:jc w:val="both"/>
        <w:rPr>
          <w:color w:val="1155CC"/>
          <w:u w:val="single"/>
        </w:rPr>
      </w:pPr>
      <w:r>
        <w:rPr>
          <w:b/>
        </w:rPr>
        <w:t>[b-Sharan2022]</w:t>
      </w:r>
      <w:r>
        <w:t xml:space="preserve"> Sharan, N.N., Toet, A., Mioch, T., Niamut, O., &amp; van Erp, J.B.F. (2022). The relative importance of social cues in immersive mediated communication. In: </w:t>
      </w:r>
      <w:r>
        <w:rPr>
          <w:i/>
        </w:rPr>
        <w:t>IHIET 2021: 21: Human Interaction, Emerging Technologies and Future Systems V</w:t>
      </w:r>
      <w:r>
        <w:t xml:space="preserve"> (pp. 491-498):Springer International Publishing. </w:t>
      </w:r>
      <w:hyperlink r:id="rId52" w:history="1">
        <w:r w:rsidRPr="00AD3980">
          <w:rPr>
            <w:rStyle w:val="Hyperlink"/>
          </w:rPr>
          <w:t>https://doi.org/10.1007/978-3-030-85540-6_62</w:t>
        </w:r>
      </w:hyperlink>
    </w:p>
    <w:p w14:paraId="1D19ED9E" w14:textId="77777777" w:rsidR="008E01F9" w:rsidRPr="00EB0CC3" w:rsidRDefault="008E01F9" w:rsidP="00765F22">
      <w:pPr>
        <w:shd w:val="clear" w:color="auto" w:fill="FFFFFF"/>
        <w:jc w:val="both"/>
      </w:pPr>
      <w:r w:rsidRPr="00351645">
        <w:rPr>
          <w:rFonts w:eastAsia="Roboto"/>
          <w:b/>
        </w:rPr>
        <w:t>[b-Sharma2022]</w:t>
      </w:r>
      <w:r w:rsidRPr="00351645">
        <w:rPr>
          <w:rFonts w:eastAsia="Roboto"/>
        </w:rPr>
        <w:t xml:space="preserve"> Sharma, V. Introducing a personal boundary for Horizon worlds and venues.</w:t>
      </w:r>
      <w:r>
        <w:rPr>
          <w:rFonts w:eastAsia="Roboto"/>
        </w:rPr>
        <w:t xml:space="preserve"> </w:t>
      </w:r>
      <w:r w:rsidRPr="00351645">
        <w:rPr>
          <w:rFonts w:eastAsia="Roboto"/>
        </w:rPr>
        <w:t xml:space="preserve">Oculus-blog retrieved in May 2022: </w:t>
      </w:r>
      <w:hyperlink r:id="rId53" w:history="1">
        <w:r w:rsidRPr="00351645">
          <w:rPr>
            <w:rStyle w:val="Hyperlink"/>
            <w:rFonts w:eastAsia="Roboto"/>
            <w:highlight w:val="white"/>
          </w:rPr>
          <w:t>https://www.oculus.com/blog/introducing-a-personal-boundary-for-horizon-worlds-and-venues/</w:t>
        </w:r>
      </w:hyperlink>
    </w:p>
    <w:p w14:paraId="06BD8BDC" w14:textId="77777777" w:rsidR="008E01F9" w:rsidRDefault="008E01F9" w:rsidP="00765F22">
      <w:pPr>
        <w:jc w:val="both"/>
      </w:pPr>
      <w:r>
        <w:rPr>
          <w:b/>
        </w:rPr>
        <w:t xml:space="preserve">[b-Shimizu2018] </w:t>
      </w:r>
      <w:r>
        <w:t xml:space="preserve">T. Shimizu, T. and Onaga, H. (2018). Study on acoustic improvements by sound-absorbing panels and acoustical quality assessment of teleconference systems. </w:t>
      </w:r>
      <w:r>
        <w:rPr>
          <w:i/>
        </w:rPr>
        <w:t>Applied Acoustics</w:t>
      </w:r>
      <w:r>
        <w:t xml:space="preserve"> 139 (2018), pp. 101–112. DOI: </w:t>
      </w:r>
      <w:hyperlink r:id="rId54">
        <w:r>
          <w:rPr>
            <w:color w:val="1155CC"/>
            <w:u w:val="single"/>
          </w:rPr>
          <w:t>https://doi.org/10.1016/j.apacoust.2018.04.021</w:t>
        </w:r>
      </w:hyperlink>
      <w:r>
        <w:t xml:space="preserve"> </w:t>
      </w:r>
    </w:p>
    <w:p w14:paraId="30AB3903" w14:textId="77777777" w:rsidR="008E01F9" w:rsidRDefault="008E01F9" w:rsidP="00765F22">
      <w:pPr>
        <w:jc w:val="both"/>
      </w:pPr>
      <w:r>
        <w:rPr>
          <w:b/>
        </w:rPr>
        <w:t xml:space="preserve">[b-Singla2017] </w:t>
      </w:r>
      <w:r>
        <w:t xml:space="preserve">Singla, A., Fremerey, S., Robitza, W., Raake, A. (2017). Measuring and comparing QoE and simulator sickness of omnidirectional videos in different head mounted displays. In 9th International Conference on Quality of Multimedia Experience (QoMEX) (pp. 1–6). Erfurt, Germany. </w:t>
      </w:r>
      <w:hyperlink r:id="rId55">
        <w:r>
          <w:rPr>
            <w:color w:val="1155CC"/>
            <w:u w:val="single"/>
          </w:rPr>
          <w:t>https://doi.org/10.1109/QoMEX.2017.7965658</w:t>
        </w:r>
      </w:hyperlink>
    </w:p>
    <w:p w14:paraId="33B6E382" w14:textId="77777777" w:rsidR="008E01F9" w:rsidRPr="00B57845" w:rsidRDefault="008E01F9" w:rsidP="00765F22">
      <w:pPr>
        <w:jc w:val="both"/>
        <w:rPr>
          <w:lang w:val="sv-SE"/>
        </w:rPr>
      </w:pPr>
      <w:r>
        <w:rPr>
          <w:b/>
        </w:rPr>
        <w:t>[b-Singla2019]</w:t>
      </w:r>
      <w:r>
        <w:rPr>
          <w:b/>
        </w:rPr>
        <w:tab/>
      </w:r>
      <w:r>
        <w:tab/>
        <w:t xml:space="preserve">Singla, A., Ramachandra Rao, R. R., Goering, S.,  Raake, A. (2019). Assessing Media QoE , Simulator Sickness and Presence for Omnidirectional Videos with Different Test Protocols. In IEEE Conference on Virtual Reality and 3D User Interfaces (pp. 1163–1164). </w:t>
      </w:r>
      <w:r w:rsidRPr="00B57845">
        <w:rPr>
          <w:lang w:val="sv-SE"/>
        </w:rPr>
        <w:t xml:space="preserve">Osaka, Japan. </w:t>
      </w:r>
      <w:hyperlink r:id="rId56">
        <w:r w:rsidRPr="00B57845">
          <w:rPr>
            <w:color w:val="1155CC"/>
            <w:u w:val="single"/>
            <w:lang w:val="sv-SE"/>
          </w:rPr>
          <w:t>https://doi.org/10.1109/VR.2019.8798291</w:t>
        </w:r>
      </w:hyperlink>
    </w:p>
    <w:p w14:paraId="0A42CDA5" w14:textId="77777777" w:rsidR="008E01F9" w:rsidRDefault="008E01F9" w:rsidP="00765F22">
      <w:pPr>
        <w:jc w:val="both"/>
      </w:pPr>
      <w:r w:rsidRPr="00B57845">
        <w:rPr>
          <w:b/>
          <w:lang w:val="sv-SE"/>
        </w:rPr>
        <w:t>[b-Skarbez2021]</w:t>
      </w:r>
      <w:r w:rsidRPr="00B57845">
        <w:rPr>
          <w:lang w:val="sv-SE"/>
        </w:rPr>
        <w:t xml:space="preserve"> Skarbez, R., Brooks, F.,  Whitton, M. (2021). </w:t>
      </w:r>
      <w:r>
        <w:t xml:space="preserve">Immersion and coherence: Research agenda and early results. </w:t>
      </w:r>
      <w:r>
        <w:rPr>
          <w:i/>
        </w:rPr>
        <w:t xml:space="preserve">IEEE Transactions on Visualization and Computer Graphics, 27 </w:t>
      </w:r>
      <w:r>
        <w:t>(10), pp. 3839-3850. doi: 10.1109/TVCG.2020.2983701.</w:t>
      </w:r>
    </w:p>
    <w:p w14:paraId="3FD7D722" w14:textId="77777777" w:rsidR="008E01F9" w:rsidRDefault="008E01F9" w:rsidP="00765F22">
      <w:pPr>
        <w:jc w:val="both"/>
      </w:pPr>
      <w:r>
        <w:rPr>
          <w:b/>
        </w:rPr>
        <w:t>[b-Skowronek2013]</w:t>
      </w:r>
      <w:r>
        <w:t xml:space="preserve"> Skowronek, J. Schiffner, F. and Raake, A. “On the influence of involvement on the quality of multiparty conferencing”. In: 4th International Workshop on Perceptual Quality of Systems (PQS 2013). International Speech Communication Association. Vienna, Austria, Sept. 2013, pp. 141–146. </w:t>
      </w:r>
    </w:p>
    <w:p w14:paraId="566502ED" w14:textId="77777777" w:rsidR="008E01F9" w:rsidRDefault="008E01F9" w:rsidP="00765F22">
      <w:pPr>
        <w:jc w:val="both"/>
      </w:pPr>
      <w:r>
        <w:rPr>
          <w:b/>
        </w:rPr>
        <w:t>[b-Skowronek2017]</w:t>
      </w:r>
      <w:r>
        <w:t xml:space="preserve"> Skowronek, J. (2017), Quality of Experience of Multiparty Conferencing and Telemeeting Systems – Methods and Models for Assessment and Prediction. PhD Thesis. Berlin Institute of Technology (Technische Universität Berlin), Faculty IV Electrical Engineering and Computer Science, 2017. </w:t>
      </w:r>
      <w:hyperlink r:id="rId57">
        <w:r>
          <w:rPr>
            <w:color w:val="1155CC"/>
            <w:u w:val="single"/>
          </w:rPr>
          <w:t>http://dx.doi.org/10.14279/depositonce-5811</w:t>
        </w:r>
      </w:hyperlink>
      <w:r>
        <w:t xml:space="preserve"> </w:t>
      </w:r>
    </w:p>
    <w:p w14:paraId="7C2E1430" w14:textId="77777777" w:rsidR="008E01F9" w:rsidRDefault="008E01F9" w:rsidP="00765F22">
      <w:pPr>
        <w:jc w:val="both"/>
        <w:rPr>
          <w:highlight w:val="yellow"/>
        </w:rPr>
      </w:pPr>
      <w:r>
        <w:rPr>
          <w:b/>
        </w:rPr>
        <w:t xml:space="preserve">[b-Skowronek2022] </w:t>
      </w:r>
      <w:r>
        <w:t xml:space="preserve">Skowronek, J., Raake, A., Berndtsson, G., Rummukainen, O., Usai, P., Gunkel, S., Johansson, M., Habets, E., Malfait, L., Lindero, D., Toet, A. (2022): Quality of Experience in Telemeetings and Videoconferencing: A Comprehensive Survey, available as early access in IEEE Access: </w:t>
      </w:r>
      <w:hyperlink r:id="rId58">
        <w:r>
          <w:rPr>
            <w:u w:val="single"/>
          </w:rPr>
          <w:t>https://ieeexplore.ieee.org/document/9777989</w:t>
        </w:r>
      </w:hyperlink>
    </w:p>
    <w:p w14:paraId="0EC96A54" w14:textId="77777777" w:rsidR="008E01F9" w:rsidRPr="00F960B6" w:rsidRDefault="008E01F9" w:rsidP="00765F22">
      <w:pPr>
        <w:jc w:val="both"/>
        <w:rPr>
          <w:lang w:val="sv-SE"/>
        </w:rPr>
      </w:pPr>
      <w:r>
        <w:rPr>
          <w:b/>
        </w:rPr>
        <w:lastRenderedPageBreak/>
        <w:t xml:space="preserve">[b-Slater2009] </w:t>
      </w:r>
      <w:r>
        <w:t xml:space="preserve">Slater, M. (2009). Place illusion and plausibility can lead to realistic behaviour in immersive virtual environments. Philosophical Transactions of the Royal Society of London. Series B, Biological Sciences, 364(1535), 3549–3557. </w:t>
      </w:r>
      <w:hyperlink r:id="rId59">
        <w:r w:rsidRPr="00F960B6">
          <w:rPr>
            <w:color w:val="1155CC"/>
            <w:u w:val="single"/>
            <w:lang w:val="sv-SE"/>
          </w:rPr>
          <w:t>https://doi.org/10.1098/rstb.2009.0138</w:t>
        </w:r>
      </w:hyperlink>
    </w:p>
    <w:p w14:paraId="6000D9C7" w14:textId="77777777" w:rsidR="008E01F9" w:rsidRDefault="008E01F9" w:rsidP="00765F22">
      <w:pPr>
        <w:jc w:val="both"/>
      </w:pPr>
      <w:r w:rsidRPr="00F960B6">
        <w:rPr>
          <w:b/>
          <w:lang w:val="sv-SE"/>
        </w:rPr>
        <w:t xml:space="preserve">[b-Slater2010] </w:t>
      </w:r>
      <w:r w:rsidRPr="00F960B6">
        <w:rPr>
          <w:lang w:val="sv-SE"/>
        </w:rPr>
        <w:t xml:space="preserve">Slater, M., Spanlang, B., Corominas, D. (2010). </w:t>
      </w:r>
      <w:r>
        <w:t xml:space="preserve">Simulating virtual environments within virtual environments as the basis for a psychophysics of presence. ACM SIGGRAPH, 29(4), 1–9. </w:t>
      </w:r>
      <w:hyperlink r:id="rId60">
        <w:r>
          <w:rPr>
            <w:color w:val="1155CC"/>
            <w:u w:val="single"/>
          </w:rPr>
          <w:t>https://doi.org/10.1145/1778765.1778829</w:t>
        </w:r>
      </w:hyperlink>
    </w:p>
    <w:p w14:paraId="1BAF8927" w14:textId="77777777" w:rsidR="008E01F9" w:rsidRDefault="008E01F9" w:rsidP="00765F22">
      <w:pPr>
        <w:jc w:val="both"/>
      </w:pPr>
      <w:r>
        <w:rPr>
          <w:b/>
        </w:rPr>
        <w:t>[b-Slater2020]</w:t>
      </w:r>
      <w:r>
        <w:t xml:space="preserve"> Slater, M., Gonzalez-Liencres, C., Haggard, P., Vinkers, C., Gregory-Clarke, R., Jelley, S., Watson, Z., Breen, G., Schwarz, R., Steptoe, W., Szostak, D., Halan, S., Fox, D., &amp; Silver, J. (2020). The Ethics of Realism in Virtual and Augmented Reality. Frontiers in Virtual Reality, 1, 1–13. </w:t>
      </w:r>
      <w:hyperlink r:id="rId61">
        <w:r>
          <w:rPr>
            <w:color w:val="1155CC"/>
            <w:u w:val="single"/>
          </w:rPr>
          <w:t>https://doi.org/10.3389/frvir.2020.00001</w:t>
        </w:r>
      </w:hyperlink>
    </w:p>
    <w:p w14:paraId="382D5930" w14:textId="77777777" w:rsidR="008E01F9" w:rsidRDefault="008E01F9" w:rsidP="00765F22">
      <w:pPr>
        <w:pBdr>
          <w:top w:val="nil"/>
          <w:left w:val="nil"/>
          <w:bottom w:val="nil"/>
          <w:right w:val="nil"/>
          <w:between w:val="nil"/>
        </w:pBdr>
        <w:jc w:val="both"/>
      </w:pPr>
      <w:r>
        <w:rPr>
          <w:b/>
        </w:rPr>
        <w:t>[b-Slater1994]</w:t>
      </w:r>
      <w:r>
        <w:t xml:space="preserve"> Slater, M., Usoh, M., &amp; Steed, A. (1994). Depth of presence in virtual environments. </w:t>
      </w:r>
      <w:r>
        <w:rPr>
          <w:i/>
        </w:rPr>
        <w:t xml:space="preserve">Presence: Teleoperators and Virtual Environments, 3 </w:t>
      </w:r>
      <w:r>
        <w:t>(2), 130-144.</w:t>
      </w:r>
    </w:p>
    <w:p w14:paraId="3EC34CDF" w14:textId="77777777" w:rsidR="008E01F9" w:rsidRPr="002553F8" w:rsidRDefault="008E01F9" w:rsidP="00765F22">
      <w:pPr>
        <w:pBdr>
          <w:top w:val="nil"/>
          <w:left w:val="nil"/>
          <w:bottom w:val="nil"/>
          <w:right w:val="nil"/>
          <w:between w:val="nil"/>
        </w:pBdr>
        <w:jc w:val="both"/>
      </w:pPr>
      <w:r>
        <w:rPr>
          <w:b/>
        </w:rPr>
        <w:t xml:space="preserve">[b-Smith2007] </w:t>
      </w:r>
      <w:r w:rsidRPr="00AD50B8">
        <w:rPr>
          <w:bCs/>
        </w:rPr>
        <w:t>Smith, J</w:t>
      </w:r>
      <w:r>
        <w:t xml:space="preserve">., and MacLean, K. (2007). Communicating emotion through a haptic link: Design space and methodology. </w:t>
      </w:r>
      <w:r>
        <w:rPr>
          <w:i/>
        </w:rPr>
        <w:t>International Journal of Human-Computer Studies</w:t>
      </w:r>
      <w:r>
        <w:t xml:space="preserve"> 65(4), 376-387. doi: 10.1016/j.ijhcs.2006.11.006.</w:t>
      </w:r>
    </w:p>
    <w:p w14:paraId="6568D6F5" w14:textId="77777777" w:rsidR="008E01F9" w:rsidRPr="00B10838" w:rsidRDefault="008E01F9" w:rsidP="00765F22">
      <w:pPr>
        <w:pBdr>
          <w:top w:val="nil"/>
          <w:left w:val="nil"/>
          <w:bottom w:val="nil"/>
          <w:right w:val="nil"/>
          <w:between w:val="nil"/>
        </w:pBdr>
        <w:jc w:val="both"/>
      </w:pPr>
      <w:r w:rsidRPr="00F960B6">
        <w:rPr>
          <w:b/>
          <w:lang w:val="sv-SE"/>
        </w:rPr>
        <w:t>[b-Schmitt2014]</w:t>
      </w:r>
      <w:r w:rsidRPr="00F960B6">
        <w:rPr>
          <w:lang w:val="sv-SE"/>
        </w:rPr>
        <w:t xml:space="preserve"> Schmitt, M., Gunkel, S., Cesar, P. et al. </w:t>
      </w:r>
      <w:r>
        <w:t xml:space="preserve">“Asymmetric delay in video-mediated group discussions”. In: 2014 Sixth International Workshop on Quality of Multimedia Experience (QoMEX). 2014, pp. 19–24. </w:t>
      </w:r>
    </w:p>
    <w:p w14:paraId="020B6DF1" w14:textId="77777777" w:rsidR="008E01F9" w:rsidRDefault="008E01F9" w:rsidP="00765F22">
      <w:pPr>
        <w:jc w:val="both"/>
        <w:rPr>
          <w:color w:val="1155CC"/>
          <w:u w:val="single"/>
        </w:rPr>
      </w:pPr>
      <w:r>
        <w:rPr>
          <w:b/>
        </w:rPr>
        <w:t>[b-Steed2015]</w:t>
      </w:r>
      <w:r>
        <w:rPr>
          <w:b/>
        </w:rPr>
        <w:tab/>
      </w:r>
      <w:r>
        <w:t xml:space="preserve"> Steed. A. &amp; Schroeder, R. (2015). Collaboration in Immersive and Non- immersive Virtual Environments. In M. Lombard, F. Biocca, J. Freeman, W. Ijsselsteijn, &amp; R. J. Schaevitz (Eds.), Immersed in Media: Telepresence Theory, Measurement and Technology (pp. 263-282). Cham: Springer International Publishing Switzerland. </w:t>
      </w:r>
      <w:hyperlink r:id="rId62">
        <w:r>
          <w:rPr>
            <w:color w:val="1155CC"/>
            <w:u w:val="single"/>
          </w:rPr>
          <w:t>https://doi.org/10.1007/978-3-319-10190-3</w:t>
        </w:r>
      </w:hyperlink>
    </w:p>
    <w:p w14:paraId="0B857079" w14:textId="77777777" w:rsidR="008E01F9" w:rsidRDefault="008E01F9" w:rsidP="00765F22">
      <w:pPr>
        <w:jc w:val="both"/>
        <w:rPr>
          <w:color w:val="222222"/>
          <w:highlight w:val="white"/>
        </w:rPr>
      </w:pPr>
      <w:r>
        <w:rPr>
          <w:b/>
        </w:rPr>
        <w:t>[b-Subramanyam 2020]</w:t>
      </w:r>
      <w:r>
        <w:rPr>
          <w:b/>
          <w:color w:val="1155CC"/>
          <w:u w:val="single"/>
        </w:rPr>
        <w:t xml:space="preserve"> </w:t>
      </w:r>
      <w:r>
        <w:rPr>
          <w:color w:val="222222"/>
          <w:highlight w:val="white"/>
        </w:rPr>
        <w:t xml:space="preserve">Subramanyam, S., Li, J., Viola, I., &amp; Cesar, P. (2020, March). Comparing the quality of highly realistic digital humans in 3DoF and 6DoF: A volumetric video case study. In </w:t>
      </w:r>
      <w:r>
        <w:rPr>
          <w:i/>
          <w:color w:val="222222"/>
          <w:highlight w:val="white"/>
        </w:rPr>
        <w:t>2020 IEEE Conference on Virtual Reality and 3D User Interfaces (VR)</w:t>
      </w:r>
      <w:r>
        <w:rPr>
          <w:color w:val="222222"/>
          <w:highlight w:val="white"/>
        </w:rPr>
        <w:t xml:space="preserve"> (pp. 127-136). IEEE.</w:t>
      </w:r>
    </w:p>
    <w:p w14:paraId="19389519" w14:textId="77777777" w:rsidR="008E01F9" w:rsidRDefault="008E01F9" w:rsidP="00765F22">
      <w:pPr>
        <w:jc w:val="both"/>
        <w:rPr>
          <w:color w:val="222222"/>
          <w:highlight w:val="white"/>
        </w:rPr>
      </w:pPr>
      <w:r>
        <w:rPr>
          <w:b/>
        </w:rPr>
        <w:t xml:space="preserve">[b-Subramanyam 2022] </w:t>
      </w:r>
      <w:r>
        <w:rPr>
          <w:color w:val="222222"/>
          <w:highlight w:val="white"/>
        </w:rPr>
        <w:t xml:space="preserve">Subramanyam, S., Viola, I., Jansen, J., Alexiou, E., Hanjalic, A., &amp; Cesar, P. (2022). Evaluating the Impact of Tiled User-Adaptive Real-Time Point Cloud Streaming on VR Remote Communication. </w:t>
      </w:r>
      <w:r>
        <w:rPr>
          <w:i/>
          <w:color w:val="222222"/>
          <w:highlight w:val="white"/>
        </w:rPr>
        <w:t>ArXiv</w:t>
      </w:r>
      <w:r>
        <w:rPr>
          <w:color w:val="222222"/>
          <w:highlight w:val="white"/>
        </w:rPr>
        <w:t>.</w:t>
      </w:r>
    </w:p>
    <w:p w14:paraId="2ABCA0F6" w14:textId="77777777" w:rsidR="008E01F9" w:rsidRDefault="008E01F9" w:rsidP="00765F22">
      <w:pPr>
        <w:pBdr>
          <w:top w:val="nil"/>
          <w:left w:val="nil"/>
          <w:bottom w:val="nil"/>
          <w:right w:val="nil"/>
          <w:between w:val="nil"/>
        </w:pBdr>
        <w:jc w:val="both"/>
        <w:rPr>
          <w:color w:val="222222"/>
          <w:highlight w:val="white"/>
        </w:rPr>
      </w:pPr>
      <w:r>
        <w:rPr>
          <w:b/>
          <w:color w:val="222222"/>
          <w:highlight w:val="white"/>
        </w:rPr>
        <w:t>[b-Suvilehto2015]</w:t>
      </w:r>
      <w:r>
        <w:rPr>
          <w:color w:val="222222"/>
          <w:highlight w:val="white"/>
        </w:rPr>
        <w:t xml:space="preserve"> Suvilehto, J.T., Glerean, E., Dunbar, R.I.M., Hari, R., and Nummenmaa, L. (2015). </w:t>
      </w:r>
      <w:r>
        <w:t>Topography</w:t>
      </w:r>
      <w:r>
        <w:rPr>
          <w:color w:val="222222"/>
          <w:highlight w:val="white"/>
        </w:rPr>
        <w:t xml:space="preserve"> of social touching depends on emotional bonds between humans. </w:t>
      </w:r>
      <w:r>
        <w:rPr>
          <w:i/>
          <w:color w:val="222222"/>
          <w:highlight w:val="white"/>
        </w:rPr>
        <w:t>Proceedings of the National Academy of Sciences</w:t>
      </w:r>
      <w:r>
        <w:rPr>
          <w:color w:val="222222"/>
          <w:highlight w:val="white"/>
        </w:rPr>
        <w:t xml:space="preserve"> 112(45)</w:t>
      </w:r>
      <w:r>
        <w:rPr>
          <w:b/>
          <w:color w:val="222222"/>
          <w:highlight w:val="white"/>
        </w:rPr>
        <w:t>,</w:t>
      </w:r>
      <w:r>
        <w:rPr>
          <w:color w:val="222222"/>
          <w:highlight w:val="white"/>
        </w:rPr>
        <w:t xml:space="preserve"> 13811-13816. doi: 10.1073/pnas.1519231112.</w:t>
      </w:r>
    </w:p>
    <w:p w14:paraId="2177D380" w14:textId="77777777" w:rsidR="008E01F9" w:rsidRDefault="008E01F9" w:rsidP="00765F22">
      <w:pPr>
        <w:pBdr>
          <w:top w:val="nil"/>
          <w:left w:val="nil"/>
          <w:bottom w:val="nil"/>
          <w:right w:val="nil"/>
          <w:between w:val="nil"/>
        </w:pBdr>
        <w:jc w:val="both"/>
        <w:rPr>
          <w:color w:val="222222"/>
          <w:highlight w:val="white"/>
        </w:rPr>
      </w:pPr>
      <w:r>
        <w:rPr>
          <w:b/>
          <w:color w:val="222222"/>
          <w:highlight w:val="white"/>
        </w:rPr>
        <w:t>[b- Toet2010]</w:t>
      </w:r>
      <w:r>
        <w:rPr>
          <w:color w:val="222222"/>
          <w:highlight w:val="white"/>
        </w:rPr>
        <w:t xml:space="preserve"> Toet, A., van der Spek, E.D., &amp; Houtkamp, J.M. (2010). Cybersickness </w:t>
      </w:r>
      <w:r>
        <w:t>influences</w:t>
      </w:r>
      <w:r>
        <w:rPr>
          <w:color w:val="222222"/>
          <w:highlight w:val="white"/>
        </w:rPr>
        <w:t xml:space="preserve"> the affective appraisal of a virtual environment. </w:t>
      </w:r>
      <w:r>
        <w:rPr>
          <w:i/>
          <w:color w:val="222222"/>
          <w:highlight w:val="white"/>
        </w:rPr>
        <w:t>The Open Virtual Reality Journal, 2</w:t>
      </w:r>
      <w:r>
        <w:rPr>
          <w:color w:val="222222"/>
          <w:highlight w:val="white"/>
        </w:rPr>
        <w:t>, 26-31. doi: 10.2174/1875323X01002010026.</w:t>
      </w:r>
    </w:p>
    <w:p w14:paraId="0CF99455" w14:textId="77777777" w:rsidR="008E01F9" w:rsidRDefault="008E01F9" w:rsidP="00765F22">
      <w:pPr>
        <w:pBdr>
          <w:top w:val="nil"/>
          <w:left w:val="nil"/>
          <w:bottom w:val="nil"/>
          <w:right w:val="nil"/>
          <w:between w:val="nil"/>
        </w:pBdr>
        <w:jc w:val="both"/>
        <w:rPr>
          <w:color w:val="222222"/>
          <w:highlight w:val="white"/>
        </w:rPr>
      </w:pPr>
      <w:r>
        <w:rPr>
          <w:b/>
          <w:color w:val="222222"/>
          <w:highlight w:val="white"/>
        </w:rPr>
        <w:t>[b-Toet2016]</w:t>
      </w:r>
      <w:r>
        <w:rPr>
          <w:color w:val="222222"/>
          <w:highlight w:val="white"/>
        </w:rPr>
        <w:t xml:space="preserve"> Toet, A., Houtkamp, J.M., &amp; Vreugdenhil, P.E.</w:t>
      </w:r>
      <w:r>
        <w:rPr>
          <w:b/>
          <w:color w:val="222222"/>
          <w:highlight w:val="white"/>
        </w:rPr>
        <w:t xml:space="preserve"> (</w:t>
      </w:r>
      <w:r>
        <w:rPr>
          <w:color w:val="222222"/>
          <w:highlight w:val="white"/>
        </w:rPr>
        <w:t xml:space="preserve">2016). Effects of personal relevance and simulated darkness on the affective appraisal of a virtual environment. </w:t>
      </w:r>
      <w:r>
        <w:rPr>
          <w:i/>
          <w:color w:val="222222"/>
          <w:highlight w:val="white"/>
        </w:rPr>
        <w:t xml:space="preserve">PeerJ, </w:t>
      </w:r>
      <w:r>
        <w:rPr>
          <w:b/>
        </w:rPr>
        <w:t>4</w:t>
      </w:r>
      <w:r>
        <w:rPr>
          <w:i/>
          <w:color w:val="222222"/>
          <w:highlight w:val="white"/>
        </w:rPr>
        <w:t xml:space="preserve"> </w:t>
      </w:r>
      <w:r>
        <w:rPr>
          <w:color w:val="222222"/>
          <w:highlight w:val="white"/>
        </w:rPr>
        <w:t>(e1743), 1-24. doi: 10.7717/peerj.1743.</w:t>
      </w:r>
    </w:p>
    <w:p w14:paraId="5DBC2CE6" w14:textId="77777777" w:rsidR="008E01F9" w:rsidRDefault="008E01F9" w:rsidP="00765F22">
      <w:pPr>
        <w:pBdr>
          <w:top w:val="nil"/>
          <w:left w:val="nil"/>
          <w:bottom w:val="nil"/>
          <w:right w:val="nil"/>
          <w:between w:val="nil"/>
        </w:pBdr>
        <w:jc w:val="both"/>
        <w:rPr>
          <w:color w:val="222222"/>
          <w:highlight w:val="white"/>
        </w:rPr>
      </w:pPr>
      <w:r w:rsidRPr="00F960B6">
        <w:rPr>
          <w:b/>
          <w:color w:val="222222"/>
          <w:highlight w:val="white"/>
        </w:rPr>
        <w:t>[b-Toet2019]</w:t>
      </w:r>
      <w:r w:rsidRPr="00F960B6">
        <w:rPr>
          <w:color w:val="222222"/>
          <w:highlight w:val="white"/>
        </w:rPr>
        <w:t xml:space="preserve"> Toet, A., Heijn, F., Brouwer, A.-M., Mioch, T., &amp; van Erp, J.B.F. (2019). </w:t>
      </w:r>
      <w:r>
        <w:rPr>
          <w:color w:val="222222"/>
          <w:highlight w:val="white"/>
        </w:rPr>
        <w:t xml:space="preserve">The EmojiGrid as an immersive self-report tool for the affective assessment of 360 VR videos. In: P. Bourdot, V. Interrante, L. Nedel, N. Magnenat-Thalmann, &amp; G. Zachmann (Eds.), </w:t>
      </w:r>
      <w:r>
        <w:rPr>
          <w:i/>
          <w:color w:val="222222"/>
          <w:highlight w:val="white"/>
        </w:rPr>
        <w:t xml:space="preserve">EuroVR 2019: Virtual Reality and Augmented Reality, </w:t>
      </w:r>
      <w:r>
        <w:rPr>
          <w:color w:val="222222"/>
          <w:highlight w:val="white"/>
        </w:rPr>
        <w:t>LNCS 11883 (pp. 330-335). Cham, Switzerland:Springer International Publishing. doi: 10.1007/978-3-030-31908-3_24</w:t>
      </w:r>
    </w:p>
    <w:p w14:paraId="1713559A" w14:textId="77777777" w:rsidR="008E01F9" w:rsidRDefault="008E01F9" w:rsidP="00765F22">
      <w:pPr>
        <w:jc w:val="both"/>
        <w:rPr>
          <w:color w:val="222222"/>
          <w:highlight w:val="white"/>
        </w:rPr>
      </w:pPr>
      <w:r w:rsidRPr="00F960B6">
        <w:rPr>
          <w:b/>
          <w:color w:val="222222"/>
          <w:highlight w:val="white"/>
          <w:lang w:val="sv-SE"/>
        </w:rPr>
        <w:t>[b-Toet2020]</w:t>
      </w:r>
      <w:r w:rsidRPr="00F960B6">
        <w:rPr>
          <w:color w:val="222222"/>
          <w:highlight w:val="white"/>
          <w:lang w:val="sv-SE"/>
        </w:rPr>
        <w:t xml:space="preserve"> Toet, A., Mioch, T., Gunkel, S. N., Sallaberry, C., van Erp, J. B., &amp; Niamut, O. (2020, November). </w:t>
      </w:r>
      <w:r>
        <w:rPr>
          <w:color w:val="222222"/>
          <w:highlight w:val="white"/>
        </w:rPr>
        <w:t>Holistic Quality Assessment of Mediated Immersive Multisensory Social Communication. In International Conference on Virtual Reality and Augmented Reality (pp. 209-215). Springer, Cham.</w:t>
      </w:r>
    </w:p>
    <w:p w14:paraId="5BC7AF3D" w14:textId="77777777" w:rsidR="008E01F9" w:rsidRDefault="008E01F9" w:rsidP="00765F22">
      <w:pPr>
        <w:jc w:val="both"/>
        <w:rPr>
          <w:color w:val="222222"/>
          <w:highlight w:val="white"/>
        </w:rPr>
      </w:pPr>
      <w:r>
        <w:rPr>
          <w:b/>
          <w:color w:val="222222"/>
          <w:highlight w:val="white"/>
        </w:rPr>
        <w:lastRenderedPageBreak/>
        <w:t xml:space="preserve">[b-Tran2017] </w:t>
      </w:r>
      <w:r>
        <w:rPr>
          <w:color w:val="222222"/>
          <w:highlight w:val="white"/>
        </w:rPr>
        <w:t xml:space="preserve">Tran, H. T., Ngoc, N. P., Pham, C. T., Jung, Y. J., &amp; Thang, T. C. (2017, October). A subjective study on QoE of 360 video for VR communication. In </w:t>
      </w:r>
      <w:r>
        <w:rPr>
          <w:i/>
          <w:color w:val="222222"/>
          <w:highlight w:val="white"/>
        </w:rPr>
        <w:t xml:space="preserve">2017 IEEE 19th international workshop on multimedia signal processing (MMSP) </w:t>
      </w:r>
      <w:r>
        <w:rPr>
          <w:color w:val="222222"/>
          <w:highlight w:val="white"/>
        </w:rPr>
        <w:t xml:space="preserve">(pp. 1-6). IEEE. </w:t>
      </w:r>
      <w:hyperlink r:id="rId63">
        <w:r>
          <w:rPr>
            <w:color w:val="1155CC"/>
            <w:highlight w:val="white"/>
            <w:u w:val="single"/>
          </w:rPr>
          <w:t>https://doi.org/10.1109/MMSP.2017.8122249</w:t>
        </w:r>
      </w:hyperlink>
    </w:p>
    <w:p w14:paraId="169A9D24" w14:textId="77777777" w:rsidR="008E01F9" w:rsidRDefault="008E01F9" w:rsidP="00765F22">
      <w:pPr>
        <w:jc w:val="both"/>
        <w:rPr>
          <w:color w:val="222222"/>
          <w:highlight w:val="white"/>
        </w:rPr>
      </w:pPr>
      <w:r>
        <w:rPr>
          <w:b/>
          <w:color w:val="222222"/>
          <w:highlight w:val="white"/>
        </w:rPr>
        <w:t>[b-VanDam2018]</w:t>
      </w:r>
      <w:r>
        <w:rPr>
          <w:color w:val="222222"/>
          <w:highlight w:val="white"/>
        </w:rPr>
        <w:t xml:space="preserve"> Van Dam, L. C., &amp; Stephens, J. R. (2018). Effects of prolonged exposure to feedback delay on the qualitative subjective experience of virtual reality. </w:t>
      </w:r>
      <w:r>
        <w:rPr>
          <w:i/>
          <w:color w:val="222222"/>
          <w:highlight w:val="white"/>
        </w:rPr>
        <w:t>PloS one</w:t>
      </w:r>
      <w:r>
        <w:rPr>
          <w:color w:val="222222"/>
          <w:highlight w:val="white"/>
        </w:rPr>
        <w:t xml:space="preserve">, 13(10), e0205145. </w:t>
      </w:r>
      <w:hyperlink r:id="rId64">
        <w:r>
          <w:rPr>
            <w:color w:val="1155CC"/>
            <w:highlight w:val="white"/>
            <w:u w:val="single"/>
          </w:rPr>
          <w:t>https://doi.org/10.1371/journal.pone.0205145</w:t>
        </w:r>
      </w:hyperlink>
    </w:p>
    <w:p w14:paraId="448B29B9" w14:textId="77777777" w:rsidR="008E01F9" w:rsidRDefault="008E01F9" w:rsidP="00765F22">
      <w:pPr>
        <w:jc w:val="both"/>
        <w:rPr>
          <w:color w:val="222222"/>
          <w:highlight w:val="white"/>
        </w:rPr>
      </w:pPr>
      <w:r>
        <w:rPr>
          <w:b/>
          <w:color w:val="222222"/>
          <w:highlight w:val="white"/>
        </w:rPr>
        <w:t>[b-Villegas2020]</w:t>
      </w:r>
      <w:r>
        <w:rPr>
          <w:color w:val="222222"/>
          <w:highlight w:val="white"/>
        </w:rPr>
        <w:t xml:space="preserve"> Villegas, A., Perez, P., Kachach, R., Pereira, F., &amp; Gonzalez-Sosa, E. (2020, March). Realistic training in vr using physical manipulation. In </w:t>
      </w:r>
      <w:r>
        <w:rPr>
          <w:i/>
          <w:color w:val="222222"/>
          <w:highlight w:val="white"/>
        </w:rPr>
        <w:t xml:space="preserve">2020 IEEE Conference on Virtual Reality and 3D User Interfaces Abstracts and Workshops (VRW) </w:t>
      </w:r>
      <w:r>
        <w:rPr>
          <w:color w:val="222222"/>
          <w:highlight w:val="white"/>
        </w:rPr>
        <w:t xml:space="preserve">(pp. 109-118). IEEE. </w:t>
      </w:r>
      <w:hyperlink r:id="rId65">
        <w:r>
          <w:rPr>
            <w:color w:val="1155CC"/>
            <w:highlight w:val="white"/>
            <w:u w:val="single"/>
          </w:rPr>
          <w:t>https://doi.org/10.1109/VRW50115.2020.00025</w:t>
        </w:r>
      </w:hyperlink>
    </w:p>
    <w:p w14:paraId="29CC682A" w14:textId="77777777" w:rsidR="008E01F9" w:rsidRDefault="008E01F9" w:rsidP="00765F22">
      <w:pPr>
        <w:pBdr>
          <w:top w:val="nil"/>
          <w:left w:val="nil"/>
          <w:bottom w:val="nil"/>
          <w:right w:val="nil"/>
          <w:between w:val="nil"/>
        </w:pBdr>
        <w:jc w:val="both"/>
        <w:rPr>
          <w:color w:val="222222"/>
          <w:highlight w:val="white"/>
        </w:rPr>
      </w:pPr>
      <w:r>
        <w:rPr>
          <w:b/>
          <w:color w:val="222222"/>
          <w:highlight w:val="white"/>
        </w:rPr>
        <w:t>[b-Vorderer2004]</w:t>
      </w:r>
      <w:r>
        <w:rPr>
          <w:color w:val="222222"/>
          <w:highlight w:val="white"/>
        </w:rPr>
        <w:t xml:space="preserve"> Vorderer, P., Wirth, W., Gouveia, F.R., Biocca, F., Saari, T., Lutz Jäncke, </w:t>
      </w:r>
      <w:r>
        <w:rPr>
          <w:i/>
          <w:color w:val="222222"/>
          <w:highlight w:val="white"/>
        </w:rPr>
        <w:t>Böcking</w:t>
      </w:r>
      <w:r>
        <w:rPr>
          <w:color w:val="222222"/>
          <w:highlight w:val="white"/>
        </w:rPr>
        <w:t>, S., Schramm, H., Gysbers, A., Hartmann, T., Christoph Klimmt, Laarni, J., Ravaja, N., Sacau, A., Baumgartner, T., &amp; Jäncke, P. (2004). MEC Spatial Presence Questionnaire (MEC-SPQ): Short documentation and instructions for application.</w:t>
      </w:r>
    </w:p>
    <w:p w14:paraId="21C4D173" w14:textId="77777777" w:rsidR="008E01F9" w:rsidRDefault="008E01F9" w:rsidP="00765F22">
      <w:pPr>
        <w:jc w:val="both"/>
        <w:rPr>
          <w:b/>
          <w:color w:val="222222"/>
          <w:highlight w:val="white"/>
        </w:rPr>
      </w:pPr>
      <w:r>
        <w:rPr>
          <w:b/>
          <w:color w:val="222222"/>
          <w:highlight w:val="white"/>
        </w:rPr>
        <w:t xml:space="preserve">[b-Watson1995] </w:t>
      </w:r>
      <w:r>
        <w:rPr>
          <w:color w:val="222222"/>
          <w:highlight w:val="white"/>
        </w:rPr>
        <w:t>Watson, B. A. &amp; Hodges, L. F. (1995). Using texture maps to correct for optical distortion in head-mounted displays. In IEEE Virtual Reality Annual International Symposium (VRAIS), pp. 172–178, 1995.</w:t>
      </w:r>
    </w:p>
    <w:p w14:paraId="16A3F97A" w14:textId="77777777" w:rsidR="008E01F9" w:rsidRDefault="008E01F9" w:rsidP="00765F22">
      <w:pPr>
        <w:jc w:val="both"/>
        <w:rPr>
          <w:b/>
          <w:color w:val="222222"/>
          <w:highlight w:val="white"/>
        </w:rPr>
      </w:pPr>
      <w:r>
        <w:rPr>
          <w:b/>
          <w:color w:val="222222"/>
          <w:highlight w:val="white"/>
        </w:rPr>
        <w:t xml:space="preserve">[b-Weber2021] </w:t>
      </w:r>
      <w:r>
        <w:rPr>
          <w:color w:val="222222"/>
          <w:highlight w:val="white"/>
        </w:rPr>
        <w:t xml:space="preserve">Weber, S., Weibel, D., &amp; Mast, F.W. (2021). How to get there when you are there already? Defining presence in virtual reality and the importance of perceived realism. </w:t>
      </w:r>
      <w:r>
        <w:rPr>
          <w:i/>
          <w:color w:val="222222"/>
          <w:highlight w:val="white"/>
        </w:rPr>
        <w:t xml:space="preserve">Frontiers in Psychology, 12 </w:t>
      </w:r>
      <w:r>
        <w:rPr>
          <w:color w:val="222222"/>
          <w:highlight w:val="white"/>
        </w:rPr>
        <w:t xml:space="preserve">(1538). </w:t>
      </w:r>
      <w:hyperlink r:id="rId66">
        <w:r>
          <w:rPr>
            <w:color w:val="1155CC"/>
            <w:u w:val="single"/>
          </w:rPr>
          <w:t>https://doi.org/</w:t>
        </w:r>
      </w:hyperlink>
      <w:r>
        <w:rPr>
          <w:color w:val="1155CC"/>
          <w:u w:val="single"/>
        </w:rPr>
        <w:t>10.3389/fpsyg.2021.628298</w:t>
      </w:r>
      <w:r>
        <w:rPr>
          <w:color w:val="222222"/>
          <w:highlight w:val="white"/>
        </w:rPr>
        <w:t xml:space="preserve"> </w:t>
      </w:r>
    </w:p>
    <w:p w14:paraId="2BA688D9" w14:textId="77777777" w:rsidR="008E01F9" w:rsidRDefault="008E01F9" w:rsidP="00765F22">
      <w:pPr>
        <w:pBdr>
          <w:top w:val="nil"/>
          <w:left w:val="nil"/>
          <w:bottom w:val="nil"/>
          <w:right w:val="nil"/>
          <w:between w:val="nil"/>
        </w:pBdr>
        <w:jc w:val="both"/>
      </w:pPr>
      <w:r>
        <w:rPr>
          <w:b/>
        </w:rPr>
        <w:t xml:space="preserve">[b-Weech2019] </w:t>
      </w:r>
      <w:r>
        <w:t xml:space="preserve">Weech, S., Kenny, S., &amp; Barnett-Cowan, M. (2019). Presence and cybersickness in virtual reality are negatively related: A review. Frontiers in Psychology, 10 (158). doi: </w:t>
      </w:r>
      <w:r>
        <w:rPr>
          <w:color w:val="1155CC"/>
          <w:u w:val="single"/>
        </w:rPr>
        <w:t>10.3389/fpsyg.2019.00158</w:t>
      </w:r>
      <w:r>
        <w:t>.</w:t>
      </w:r>
    </w:p>
    <w:p w14:paraId="2EDCCA45" w14:textId="77777777" w:rsidR="008E01F9" w:rsidRDefault="008E01F9" w:rsidP="00765F22">
      <w:pPr>
        <w:pBdr>
          <w:top w:val="nil"/>
          <w:left w:val="nil"/>
          <w:bottom w:val="nil"/>
          <w:right w:val="nil"/>
          <w:between w:val="nil"/>
        </w:pBdr>
        <w:jc w:val="both"/>
      </w:pPr>
      <w:r>
        <w:rPr>
          <w:b/>
        </w:rPr>
        <w:t>[b-Williamson2021]</w:t>
      </w:r>
      <w:r>
        <w:t xml:space="preserve"> </w:t>
      </w:r>
      <w:r w:rsidRPr="00D6379F">
        <w:rPr>
          <w:bCs/>
        </w:rPr>
        <w:t>Williamson,</w:t>
      </w:r>
      <w:r>
        <w:t xml:space="preserve"> J., Li, J., Vinayagamoorthy, V., Shamma, D.A., &amp; Cesar, P. (2021). Proxemics and Social Interactions in an Instrumented Virtual Reality Workshop. </w:t>
      </w:r>
      <w:r>
        <w:rPr>
          <w:i/>
        </w:rPr>
        <w:t>The 2021 CHI Conference on Human Factors in Computing Systems</w:t>
      </w:r>
      <w:r>
        <w:t>,p. Article 253: Association for Computing Machinery.</w:t>
      </w:r>
    </w:p>
    <w:p w14:paraId="67487FF2" w14:textId="77777777" w:rsidR="008E01F9" w:rsidRDefault="008E01F9" w:rsidP="00765F22">
      <w:pPr>
        <w:jc w:val="both"/>
      </w:pPr>
      <w:r>
        <w:rPr>
          <w:b/>
        </w:rPr>
        <w:t>[b-Wirth2007]</w:t>
      </w:r>
      <w:r>
        <w:t xml:space="preserve"> Wirth, W., Hartmann, T., Böcking, S., Vorderer, P., Klimmt, C., Schramm, H., Saari, T., Laarni, J., Ravaja, N., Gouveia, F.R., Biocca, F., Sacau, A., Jancke, L., Baumgartner, T., &amp; Jäncke, T. (2007). A process model of the formation of spatial presence experiences. </w:t>
      </w:r>
      <w:r>
        <w:rPr>
          <w:i/>
        </w:rPr>
        <w:t xml:space="preserve">Media Psychology, 9 </w:t>
      </w:r>
      <w:r>
        <w:t>(3), pp. 493-525. doi: 10.1080/15213260701283079.</w:t>
      </w:r>
    </w:p>
    <w:p w14:paraId="636160AC" w14:textId="77777777" w:rsidR="008E01F9" w:rsidRDefault="008E01F9" w:rsidP="00765F22">
      <w:pPr>
        <w:jc w:val="both"/>
      </w:pPr>
      <w:r>
        <w:rPr>
          <w:b/>
        </w:rPr>
        <w:t>[b-Witmer1998]</w:t>
      </w:r>
      <w:r>
        <w:t xml:space="preserve"> Witmer, B. G., &amp; Singer, M. J. (1998). Measuring presence in virtual environments: A presence questionnaire. Presence: Teleoperators and Virtual Environments, 7, 225–240. </w:t>
      </w:r>
      <w:hyperlink r:id="rId67">
        <w:r>
          <w:rPr>
            <w:color w:val="1155CC"/>
            <w:u w:val="single"/>
          </w:rPr>
          <w:t>https://doi.org/10.1162/105474698565686</w:t>
        </w:r>
      </w:hyperlink>
    </w:p>
    <w:p w14:paraId="29C686B2" w14:textId="77777777" w:rsidR="008E01F9" w:rsidRDefault="008E01F9" w:rsidP="00765F22">
      <w:pPr>
        <w:pBdr>
          <w:top w:val="nil"/>
          <w:left w:val="nil"/>
          <w:bottom w:val="nil"/>
          <w:right w:val="nil"/>
          <w:between w:val="nil"/>
        </w:pBdr>
        <w:jc w:val="both"/>
      </w:pPr>
      <w:r>
        <w:rPr>
          <w:b/>
        </w:rPr>
        <w:t>[b-Witmer2005]</w:t>
      </w:r>
      <w:r>
        <w:t xml:space="preserve"> Witmer, B.G., Jerome, C.J., &amp; Singer, M.J. (2005). The factor structure of the presence questionnaire. </w:t>
      </w:r>
      <w:r>
        <w:rPr>
          <w:i/>
        </w:rPr>
        <w:t xml:space="preserve">Presence: Teleoperators and Virtual Environments, 14 </w:t>
      </w:r>
      <w:r>
        <w:t>(3), 298-312. doi: 10.1162/105474605323384654.</w:t>
      </w:r>
    </w:p>
    <w:p w14:paraId="402A16D5" w14:textId="77777777" w:rsidR="008E01F9" w:rsidRDefault="008E01F9" w:rsidP="00765F22">
      <w:pPr>
        <w:pBdr>
          <w:top w:val="nil"/>
          <w:left w:val="nil"/>
          <w:bottom w:val="nil"/>
          <w:right w:val="nil"/>
          <w:between w:val="nil"/>
        </w:pBdr>
        <w:spacing w:before="240" w:after="240"/>
        <w:jc w:val="both"/>
      </w:pPr>
      <w:r w:rsidRPr="00394F72">
        <w:rPr>
          <w:b/>
          <w:bCs/>
        </w:rPr>
        <w:t>[b-</w:t>
      </w:r>
      <w:r w:rsidRPr="00137BAD">
        <w:rPr>
          <w:b/>
          <w:bCs/>
        </w:rPr>
        <w:t>Yee2007</w:t>
      </w:r>
      <w:r w:rsidRPr="00394F72">
        <w:rPr>
          <w:b/>
          <w:bCs/>
        </w:rPr>
        <w:t>]</w:t>
      </w:r>
      <w:r>
        <w:t xml:space="preserve"> Yee, N., Bailenson, J.N., Urbanek, M., Chang, F., &amp; Merget, D. (2007). The unbearable likeness of being digital: the persistence of nonverbal social norms in online virtual environments. </w:t>
      </w:r>
      <w:r>
        <w:rPr>
          <w:i/>
        </w:rPr>
        <w:t xml:space="preserve">CyberPsychology &amp; Behavior, 10 </w:t>
      </w:r>
      <w:r>
        <w:t>(1), 115-121.</w:t>
      </w:r>
    </w:p>
    <w:p w14:paraId="29BABDC0" w14:textId="77777777" w:rsidR="008E01F9" w:rsidRDefault="008E01F9" w:rsidP="00765F22">
      <w:pPr>
        <w:pBdr>
          <w:top w:val="nil"/>
          <w:left w:val="nil"/>
          <w:bottom w:val="nil"/>
          <w:right w:val="nil"/>
          <w:between w:val="nil"/>
        </w:pBdr>
        <w:spacing w:before="240" w:after="240"/>
        <w:jc w:val="both"/>
      </w:pPr>
      <w:r>
        <w:rPr>
          <w:b/>
        </w:rPr>
        <w:t>[b-Yoon2022]</w:t>
      </w:r>
      <w:r>
        <w:t xml:space="preserve"> Yoon, L., Yang, D., Kim, J., Chung, C., &amp; Lee, S.H. (2022). Placement Retargeting of Virtual Avatars to Dissimilar Indoor Environments. </w:t>
      </w:r>
      <w:r>
        <w:rPr>
          <w:i/>
        </w:rPr>
        <w:t xml:space="preserve">IEEE </w:t>
      </w:r>
      <w:r>
        <w:t>Transactions</w:t>
      </w:r>
      <w:r>
        <w:rPr>
          <w:i/>
        </w:rPr>
        <w:t xml:space="preserve"> on Visualization and Computer Graphics, 28 </w:t>
      </w:r>
      <w:r>
        <w:t>(3), 1619-1633. doi: 10.1109/TVCG.2020.3018458.</w:t>
      </w:r>
    </w:p>
    <w:p w14:paraId="7C0E3674" w14:textId="77777777" w:rsidR="008E01F9" w:rsidRDefault="008E01F9" w:rsidP="00765F22">
      <w:pPr>
        <w:pBdr>
          <w:top w:val="nil"/>
          <w:left w:val="nil"/>
          <w:bottom w:val="nil"/>
          <w:right w:val="nil"/>
          <w:between w:val="nil"/>
        </w:pBdr>
        <w:spacing w:before="240" w:after="240"/>
        <w:jc w:val="both"/>
      </w:pPr>
      <w:r>
        <w:rPr>
          <w:b/>
        </w:rPr>
        <w:lastRenderedPageBreak/>
        <w:t>[b-Youngblut2003]</w:t>
      </w:r>
      <w:r>
        <w:t xml:space="preserve"> Youngblut, C., &amp; Huie, O. (2003). The relationship between presence and performance in virtual environments: results of a VERTS study. In: </w:t>
      </w:r>
      <w:r>
        <w:rPr>
          <w:i/>
        </w:rPr>
        <w:t>IEEE Virtual Reality 2003</w:t>
      </w:r>
      <w:r>
        <w:t xml:space="preserve"> (pp. 277-278). doi: 10.1109/VR.2003.1191158</w:t>
      </w:r>
    </w:p>
    <w:p w14:paraId="484BF9D3" w14:textId="77777777" w:rsidR="008E01F9" w:rsidRDefault="008E01F9" w:rsidP="00765F22">
      <w:pPr>
        <w:pBdr>
          <w:top w:val="nil"/>
          <w:left w:val="nil"/>
          <w:bottom w:val="nil"/>
          <w:right w:val="nil"/>
          <w:between w:val="nil"/>
        </w:pBdr>
        <w:jc w:val="both"/>
      </w:pPr>
      <w:r>
        <w:rPr>
          <w:b/>
        </w:rPr>
        <w:t>[b-Zhao2003]</w:t>
      </w:r>
      <w:r>
        <w:tab/>
        <w:t xml:space="preserve"> Zhao, S. (2003). Toward a Taxonomy of Copresence. Presence: Teleoperators and Virtual Environments, 12(5), 445–455. </w:t>
      </w:r>
      <w:hyperlink r:id="rId68">
        <w:r>
          <w:rPr>
            <w:color w:val="1155CC"/>
            <w:u w:val="single"/>
          </w:rPr>
          <w:t>https://doi.org/10.1162/105474603322761261</w:t>
        </w:r>
      </w:hyperlink>
    </w:p>
    <w:p w14:paraId="25BBECE5" w14:textId="77777777" w:rsidR="008E01F9" w:rsidRPr="00FB0A08" w:rsidRDefault="008E01F9" w:rsidP="00765F22">
      <w:pPr>
        <w:spacing w:before="240"/>
        <w:jc w:val="both"/>
      </w:pPr>
      <w:r w:rsidRPr="00F960B6">
        <w:rPr>
          <w:b/>
          <w:lang w:val="sv-SE"/>
        </w:rPr>
        <w:t>[b-Zielasko2020]</w:t>
      </w:r>
      <w:r w:rsidRPr="00F960B6">
        <w:rPr>
          <w:lang w:val="sv-SE"/>
        </w:rPr>
        <w:t xml:space="preserve"> Zielasko, D., &amp; Riecke, B. (2020). </w:t>
      </w:r>
      <w:r>
        <w:t>Sitting vs. Standing in VR: Towards a Systematic Classification of Challenges and (Dis)advantages. In Proceedings of the IEEE Conf. on Virtual Reality and 3D User Interfaces Abstracts and Workshops, pp. 297–298. Atlanta, GA, USA.</w:t>
      </w:r>
    </w:p>
    <w:p w14:paraId="357BCD7B" w14:textId="77777777" w:rsidR="008E01F9" w:rsidRDefault="008E01F9" w:rsidP="008E01F9">
      <w:pPr>
        <w:pStyle w:val="Heading1"/>
      </w:pPr>
      <w:bookmarkStart w:id="75" w:name="_4fcv3ccft6v0" w:colFirst="0" w:colLast="0"/>
      <w:bookmarkEnd w:id="75"/>
    </w:p>
    <w:p w14:paraId="36A98A5B" w14:textId="77777777" w:rsidR="0096403C" w:rsidRDefault="0096403C" w:rsidP="0096403C"/>
    <w:p w14:paraId="212DA006" w14:textId="77777777" w:rsidR="0096403C" w:rsidRDefault="0096403C" w:rsidP="0096403C">
      <w:pPr>
        <w:jc w:val="center"/>
      </w:pPr>
      <w:r>
        <w:t>____________________</w:t>
      </w:r>
    </w:p>
    <w:p w14:paraId="584C490E" w14:textId="77777777" w:rsidR="0096403C" w:rsidRPr="006E3981" w:rsidRDefault="0096403C" w:rsidP="0096403C"/>
    <w:sectPr w:rsidR="0096403C" w:rsidRPr="006E3981" w:rsidSect="009B649D">
      <w:headerReference w:type="default" r:id="rId69"/>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AAE2F" w14:textId="77777777" w:rsidR="008C5457" w:rsidRDefault="008C5457">
      <w:r>
        <w:separator/>
      </w:r>
    </w:p>
  </w:endnote>
  <w:endnote w:type="continuationSeparator" w:id="0">
    <w:p w14:paraId="434C9D37" w14:textId="77777777" w:rsidR="008C5457" w:rsidRDefault="008C5457">
      <w:r>
        <w:continuationSeparator/>
      </w:r>
    </w:p>
  </w:endnote>
  <w:endnote w:type="continuationNotice" w:id="1">
    <w:p w14:paraId="1DC2E4CA" w14:textId="77777777" w:rsidR="008C5457" w:rsidRDefault="008C545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Cardo">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74ECE" w14:textId="77777777" w:rsidR="008C5457" w:rsidRDefault="008C5457">
      <w:r>
        <w:separator/>
      </w:r>
    </w:p>
  </w:footnote>
  <w:footnote w:type="continuationSeparator" w:id="0">
    <w:p w14:paraId="3FBEC81B" w14:textId="77777777" w:rsidR="008C5457" w:rsidRDefault="008C5457">
      <w:r>
        <w:continuationSeparator/>
      </w:r>
    </w:p>
  </w:footnote>
  <w:footnote w:type="continuationNotice" w:id="1">
    <w:p w14:paraId="0EDCC073" w14:textId="77777777" w:rsidR="008C5457" w:rsidRDefault="008C545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3902F" w14:textId="13B633A0" w:rsidR="00F31B0E" w:rsidRPr="009B649D" w:rsidRDefault="009B649D" w:rsidP="009B649D">
    <w:pPr>
      <w:pStyle w:val="Header"/>
    </w:pPr>
    <w:r w:rsidRPr="009B649D">
      <w:t xml:space="preserve">- </w:t>
    </w:r>
    <w:r w:rsidRPr="009B649D">
      <w:fldChar w:fldCharType="begin"/>
    </w:r>
    <w:r w:rsidRPr="009B649D">
      <w:instrText xml:space="preserve"> PAGE  \* MERGEFORMAT </w:instrText>
    </w:r>
    <w:r w:rsidRPr="009B649D">
      <w:fldChar w:fldCharType="separate"/>
    </w:r>
    <w:r w:rsidRPr="009B649D">
      <w:rPr>
        <w:noProof/>
      </w:rPr>
      <w:t>1</w:t>
    </w:r>
    <w:r w:rsidRPr="009B649D">
      <w:fldChar w:fldCharType="end"/>
    </w:r>
    <w:r w:rsidRPr="009B649D">
      <w:t xml:space="preserve"> -</w:t>
    </w:r>
  </w:p>
  <w:p w14:paraId="4FE72BAF" w14:textId="2F2EE1F2" w:rsidR="009B649D" w:rsidRPr="009B649D" w:rsidRDefault="009B649D" w:rsidP="009B649D">
    <w:pPr>
      <w:pStyle w:val="Header"/>
      <w:spacing w:after="240"/>
    </w:pPr>
    <w:r w:rsidRPr="009B649D">
      <w:fldChar w:fldCharType="begin"/>
    </w:r>
    <w:r w:rsidRPr="009B649D">
      <w:instrText xml:space="preserve"> STYLEREF  Docnumber  </w:instrText>
    </w:r>
    <w:r w:rsidRPr="009B649D">
      <w:fldChar w:fldCharType="separate"/>
    </w:r>
    <w:r w:rsidR="00394F72">
      <w:rPr>
        <w:noProof/>
      </w:rPr>
      <w:t>SG12-TD116</w:t>
    </w:r>
    <w:r w:rsidRPr="009B649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32A62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2B2D8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A78DB8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31009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2E4CF8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DC48CF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E0C93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0B6A9C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4C7D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5A831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442114E"/>
    <w:multiLevelType w:val="multilevel"/>
    <w:tmpl w:val="30EAE58A"/>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084505E"/>
    <w:multiLevelType w:val="multilevel"/>
    <w:tmpl w:val="EAF8B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2DF213A"/>
    <w:multiLevelType w:val="multilevel"/>
    <w:tmpl w:val="C2F0F3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E656EB"/>
    <w:multiLevelType w:val="multilevel"/>
    <w:tmpl w:val="9A4E0A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D042E1C"/>
    <w:multiLevelType w:val="multilevel"/>
    <w:tmpl w:val="2F369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6FC181E"/>
    <w:multiLevelType w:val="multilevel"/>
    <w:tmpl w:val="FEFA6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A461B63"/>
    <w:multiLevelType w:val="multilevel"/>
    <w:tmpl w:val="AEBE2A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867434D"/>
    <w:multiLevelType w:val="multilevel"/>
    <w:tmpl w:val="33747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362893">
    <w:abstractNumId w:val="10"/>
  </w:num>
  <w:num w:numId="2" w16cid:durableId="1986929197">
    <w:abstractNumId w:val="10"/>
  </w:num>
  <w:num w:numId="3" w16cid:durableId="41485080">
    <w:abstractNumId w:val="10"/>
  </w:num>
  <w:num w:numId="4" w16cid:durableId="1716394949">
    <w:abstractNumId w:val="10"/>
  </w:num>
  <w:num w:numId="5" w16cid:durableId="683360984">
    <w:abstractNumId w:val="10"/>
  </w:num>
  <w:num w:numId="6" w16cid:durableId="751245424">
    <w:abstractNumId w:val="14"/>
  </w:num>
  <w:num w:numId="7" w16cid:durableId="1571622599">
    <w:abstractNumId w:val="9"/>
  </w:num>
  <w:num w:numId="8" w16cid:durableId="1679771257">
    <w:abstractNumId w:val="7"/>
  </w:num>
  <w:num w:numId="9" w16cid:durableId="1886060944">
    <w:abstractNumId w:val="6"/>
  </w:num>
  <w:num w:numId="10" w16cid:durableId="1358040043">
    <w:abstractNumId w:val="5"/>
  </w:num>
  <w:num w:numId="11" w16cid:durableId="2123382206">
    <w:abstractNumId w:val="4"/>
  </w:num>
  <w:num w:numId="12" w16cid:durableId="142547349">
    <w:abstractNumId w:val="8"/>
  </w:num>
  <w:num w:numId="13" w16cid:durableId="1726248244">
    <w:abstractNumId w:val="3"/>
  </w:num>
  <w:num w:numId="14" w16cid:durableId="280303528">
    <w:abstractNumId w:val="2"/>
  </w:num>
  <w:num w:numId="15" w16cid:durableId="1505052049">
    <w:abstractNumId w:val="1"/>
  </w:num>
  <w:num w:numId="16" w16cid:durableId="1906794315">
    <w:abstractNumId w:val="0"/>
  </w:num>
  <w:num w:numId="17" w16cid:durableId="590889490">
    <w:abstractNumId w:val="19"/>
  </w:num>
  <w:num w:numId="18" w16cid:durableId="1881867319">
    <w:abstractNumId w:val="15"/>
  </w:num>
  <w:num w:numId="19" w16cid:durableId="171339900">
    <w:abstractNumId w:val="18"/>
  </w:num>
  <w:num w:numId="20" w16cid:durableId="1054691900">
    <w:abstractNumId w:val="17"/>
  </w:num>
  <w:num w:numId="21" w16cid:durableId="557015845">
    <w:abstractNumId w:val="11"/>
  </w:num>
  <w:num w:numId="22" w16cid:durableId="2136559362">
    <w:abstractNumId w:val="16"/>
  </w:num>
  <w:num w:numId="23" w16cid:durableId="1205949601">
    <w:abstractNumId w:val="13"/>
  </w:num>
  <w:num w:numId="24" w16cid:durableId="20304018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698"/>
    <w:rsid w:val="00026B55"/>
    <w:rsid w:val="000279E4"/>
    <w:rsid w:val="00047A4B"/>
    <w:rsid w:val="00047F98"/>
    <w:rsid w:val="00051CBD"/>
    <w:rsid w:val="0006415A"/>
    <w:rsid w:val="000D0F2A"/>
    <w:rsid w:val="000F13FE"/>
    <w:rsid w:val="001212C4"/>
    <w:rsid w:val="00137BAD"/>
    <w:rsid w:val="0015046B"/>
    <w:rsid w:val="00166E6C"/>
    <w:rsid w:val="001756F4"/>
    <w:rsid w:val="001D278A"/>
    <w:rsid w:val="0020399F"/>
    <w:rsid w:val="00223158"/>
    <w:rsid w:val="002332CF"/>
    <w:rsid w:val="0023670C"/>
    <w:rsid w:val="00245263"/>
    <w:rsid w:val="00246D7B"/>
    <w:rsid w:val="00247ECA"/>
    <w:rsid w:val="002677D4"/>
    <w:rsid w:val="002715AF"/>
    <w:rsid w:val="00284941"/>
    <w:rsid w:val="002B6698"/>
    <w:rsid w:val="003236A8"/>
    <w:rsid w:val="00334838"/>
    <w:rsid w:val="003352F5"/>
    <w:rsid w:val="00390D60"/>
    <w:rsid w:val="00394F72"/>
    <w:rsid w:val="003B0E1C"/>
    <w:rsid w:val="003C5583"/>
    <w:rsid w:val="003C6170"/>
    <w:rsid w:val="00422417"/>
    <w:rsid w:val="00423A86"/>
    <w:rsid w:val="00446FE8"/>
    <w:rsid w:val="00485B36"/>
    <w:rsid w:val="00495B56"/>
    <w:rsid w:val="004A106E"/>
    <w:rsid w:val="004A1775"/>
    <w:rsid w:val="004A7135"/>
    <w:rsid w:val="004C6F3E"/>
    <w:rsid w:val="004E44E5"/>
    <w:rsid w:val="00557AF2"/>
    <w:rsid w:val="00566118"/>
    <w:rsid w:val="005717CE"/>
    <w:rsid w:val="005B37DD"/>
    <w:rsid w:val="005C053E"/>
    <w:rsid w:val="005D2541"/>
    <w:rsid w:val="005D79B5"/>
    <w:rsid w:val="0067023D"/>
    <w:rsid w:val="00686056"/>
    <w:rsid w:val="006A3421"/>
    <w:rsid w:val="006E3981"/>
    <w:rsid w:val="00701334"/>
    <w:rsid w:val="00765A13"/>
    <w:rsid w:val="00765F22"/>
    <w:rsid w:val="00772C35"/>
    <w:rsid w:val="008A1664"/>
    <w:rsid w:val="008A6476"/>
    <w:rsid w:val="008A7D18"/>
    <w:rsid w:val="008C1165"/>
    <w:rsid w:val="008C473D"/>
    <w:rsid w:val="008C5457"/>
    <w:rsid w:val="008E01F9"/>
    <w:rsid w:val="00902B79"/>
    <w:rsid w:val="0092164C"/>
    <w:rsid w:val="0092328C"/>
    <w:rsid w:val="0096403C"/>
    <w:rsid w:val="009B649D"/>
    <w:rsid w:val="00A06D6F"/>
    <w:rsid w:val="00A17756"/>
    <w:rsid w:val="00A23CF5"/>
    <w:rsid w:val="00A917A7"/>
    <w:rsid w:val="00AD6A4D"/>
    <w:rsid w:val="00B04E4C"/>
    <w:rsid w:val="00B34A79"/>
    <w:rsid w:val="00B44E80"/>
    <w:rsid w:val="00B46F0C"/>
    <w:rsid w:val="00B774CF"/>
    <w:rsid w:val="00B83318"/>
    <w:rsid w:val="00B8709F"/>
    <w:rsid w:val="00B91C44"/>
    <w:rsid w:val="00BB0B86"/>
    <w:rsid w:val="00BB25D9"/>
    <w:rsid w:val="00BE6F0A"/>
    <w:rsid w:val="00C20FB0"/>
    <w:rsid w:val="00C35935"/>
    <w:rsid w:val="00C55DBE"/>
    <w:rsid w:val="00C802FE"/>
    <w:rsid w:val="00CC31F6"/>
    <w:rsid w:val="00D02B5E"/>
    <w:rsid w:val="00DD2102"/>
    <w:rsid w:val="00DE222E"/>
    <w:rsid w:val="00E17F7D"/>
    <w:rsid w:val="00E41B61"/>
    <w:rsid w:val="00E90DC3"/>
    <w:rsid w:val="00EC2A42"/>
    <w:rsid w:val="00EC6339"/>
    <w:rsid w:val="00EE2548"/>
    <w:rsid w:val="00EE7D06"/>
    <w:rsid w:val="00F124A4"/>
    <w:rsid w:val="00F31B0E"/>
    <w:rsid w:val="00F35AEB"/>
    <w:rsid w:val="00F529E1"/>
    <w:rsid w:val="00F60A3A"/>
    <w:rsid w:val="00F9551A"/>
    <w:rsid w:val="00F960B6"/>
    <w:rsid w:val="00FC66A1"/>
    <w:rsid w:val="00FF151E"/>
    <w:rsid w:val="0331AF1F"/>
    <w:rsid w:val="058F3132"/>
    <w:rsid w:val="1103B123"/>
    <w:rsid w:val="163412A2"/>
    <w:rsid w:val="16E40D96"/>
    <w:rsid w:val="187FDDF7"/>
    <w:rsid w:val="196F91D1"/>
    <w:rsid w:val="266133BA"/>
    <w:rsid w:val="3E4108E7"/>
    <w:rsid w:val="3FDCD948"/>
    <w:rsid w:val="40AECE27"/>
    <w:rsid w:val="52404BDA"/>
    <w:rsid w:val="5805FC7D"/>
    <w:rsid w:val="61314303"/>
    <w:rsid w:val="675AEA7C"/>
    <w:rsid w:val="78C204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6FDF6F"/>
  <w15:chartTrackingRefBased/>
  <w15:docId w15:val="{55875325-2DDE-4251-BC09-1FEA8CD9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heading 4" w:qFormat="1"/>
    <w:lsdException w:name="heading 5" w:qFormat="1"/>
    <w:lsdException w:name="toc 1" w:uiPriority="39"/>
    <w:lsdException w:name="toc 2" w:uiPriority="39"/>
    <w:lsdException w:name="annotation text" w:uiPriority="99"/>
    <w:lsdException w:name="caption" w:semiHidden="1" w:unhideWhenUsed="1"/>
    <w:lsdException w:name="table of figures" w:uiPriority="99"/>
    <w:lsdException w:name="annotation referenc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C31F6"/>
    <w:pPr>
      <w:spacing w:before="120"/>
    </w:pPr>
    <w:rPr>
      <w:rFonts w:eastAsiaTheme="minorEastAsia"/>
      <w:sz w:val="24"/>
      <w:szCs w:val="24"/>
      <w:lang w:val="en-GB" w:eastAsia="ja-JP"/>
    </w:rPr>
  </w:style>
  <w:style w:type="paragraph" w:styleId="Heading1">
    <w:name w:val="heading 1"/>
    <w:basedOn w:val="Normal"/>
    <w:next w:val="Normal"/>
    <w:pPr>
      <w:keepNext/>
      <w:keepLines/>
      <w:spacing w:before="360"/>
      <w:ind w:left="794" w:hanging="794"/>
      <w:outlineLvl w:val="0"/>
    </w:pPr>
    <w:rPr>
      <w:b/>
    </w:rPr>
  </w:style>
  <w:style w:type="paragraph" w:styleId="Heading2">
    <w:name w:val="heading 2"/>
    <w:basedOn w:val="Heading1"/>
    <w:next w:val="Normal"/>
    <w:pPr>
      <w:spacing w:before="240"/>
      <w:outlineLvl w:val="1"/>
    </w:pPr>
  </w:style>
  <w:style w:type="paragraph" w:styleId="Heading3">
    <w:name w:val="heading 3"/>
    <w:basedOn w:val="Heading1"/>
    <w:next w:val="Normal"/>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pPr>
      <w:tabs>
        <w:tab w:val="clear" w:pos="1021"/>
      </w:tabs>
      <w:ind w:left="1588" w:hanging="1588"/>
      <w:outlineLvl w:val="5"/>
    </w:pPr>
  </w:style>
  <w:style w:type="paragraph" w:styleId="Heading7">
    <w:name w:val="heading 7"/>
    <w:basedOn w:val="Heading6"/>
    <w:next w:val="Normal"/>
    <w:link w:val="Heading7Char"/>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C31F6"/>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qFormat/>
    <w:rsid w:val="00E17F7D"/>
    <w:pPr>
      <w:tabs>
        <w:tab w:val="left" w:pos="794"/>
        <w:tab w:val="left" w:pos="1191"/>
        <w:tab w:val="left" w:pos="1588"/>
        <w:tab w:val="left" w:pos="1985"/>
      </w:tabs>
      <w:jc w:val="right"/>
    </w:pPr>
    <w:rPr>
      <w:rFonts w:eastAsia="SimSun"/>
      <w:b/>
      <w:sz w:val="32"/>
    </w:rPr>
  </w:style>
  <w:style w:type="character" w:customStyle="1" w:styleId="DocnumberChar">
    <w:name w:val="Docnumber Char"/>
    <w:link w:val="Docnumber"/>
    <w:rsid w:val="00E17F7D"/>
    <w:rPr>
      <w:rFonts w:eastAsia="SimSun"/>
      <w:b/>
      <w:sz w:val="32"/>
      <w:szCs w:val="24"/>
      <w:lang w:val="en-GB" w:eastAsia="ja-JP"/>
    </w:rPr>
  </w:style>
  <w:style w:type="paragraph" w:customStyle="1" w:styleId="AppendixNotitle">
    <w:name w:val="Appendix_No &amp; title"/>
    <w:basedOn w:val="AnnexNotitle"/>
    <w:next w:val="Normal"/>
    <w:rsid w:val="00CC31F6"/>
  </w:style>
  <w:style w:type="paragraph" w:customStyle="1" w:styleId="Normalbeforetable">
    <w:name w:val="Normal before table"/>
    <w:basedOn w:val="Normal"/>
    <w:rsid w:val="00CC31F6"/>
    <w:pPr>
      <w:keepNext/>
      <w:spacing w:after="120"/>
    </w:pPr>
    <w:rPr>
      <w:rFonts w:eastAsia="????"/>
      <w:lang w:eastAsia="en-US"/>
    </w:rPr>
  </w:style>
  <w:style w:type="paragraph" w:customStyle="1" w:styleId="NormalITU">
    <w:name w:val="Normal_ITU"/>
    <w:basedOn w:val="Normal"/>
    <w:rsid w:val="00E17F7D"/>
    <w:rPr>
      <w:rFonts w:eastAsia="SimSun" w:cs="Arial"/>
      <w:lang w:val="en-US"/>
    </w:rPr>
  </w:style>
  <w:style w:type="character" w:customStyle="1" w:styleId="ReftextArial9pt">
    <w:name w:val="Ref_text Arial 9 pt"/>
    <w:rsid w:val="00CC31F6"/>
    <w:rPr>
      <w:rFonts w:ascii="Arial" w:hAnsi="Arial" w:cs="Arial"/>
      <w:sz w:val="18"/>
      <w:szCs w:val="18"/>
    </w:rPr>
  </w:style>
  <w:style w:type="paragraph" w:styleId="TableofFigures">
    <w:name w:val="table of figures"/>
    <w:basedOn w:val="Normal"/>
    <w:next w:val="Normal"/>
    <w:uiPriority w:val="99"/>
    <w:rsid w:val="00CC31F6"/>
    <w:pPr>
      <w:tabs>
        <w:tab w:val="right" w:leader="dot" w:pos="9639"/>
      </w:tabs>
    </w:pPr>
    <w:rPr>
      <w:rFonts w:eastAsia="MS Mincho"/>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pPr>
      <w:spacing w:before="360"/>
    </w:p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CC31F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CC31F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styleId="Footer">
    <w:name w:val="footer"/>
    <w:basedOn w:val="Normal"/>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character" w:styleId="FootnoteReference">
    <w:name w:val="footnote reference"/>
    <w:semiHidden/>
    <w:rPr>
      <w:position w:val="6"/>
      <w:sz w:val="18"/>
    </w:rPr>
  </w:style>
  <w:style w:type="paragraph" w:customStyle="1" w:styleId="Note">
    <w:name w:val="Note"/>
    <w:basedOn w:val="Normal"/>
    <w:rsid w:val="00CC31F6"/>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semiHidden/>
    <w:pPr>
      <w:keepLines/>
      <w:tabs>
        <w:tab w:val="left" w:pos="255"/>
      </w:tabs>
      <w:ind w:left="255" w:hanging="255"/>
    </w:pPr>
  </w:style>
  <w:style w:type="paragraph" w:customStyle="1" w:styleId="Formal">
    <w:name w:val="Formal"/>
    <w:basedOn w:val="Normal"/>
    <w:rsid w:val="00CC31F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CC31F6"/>
    <w:pPr>
      <w:overflowPunct w:val="0"/>
      <w:autoSpaceDE w:val="0"/>
      <w:autoSpaceDN w:val="0"/>
      <w:adjustRightInd w:val="0"/>
      <w:spacing w:before="0"/>
      <w:jc w:val="center"/>
      <w:textAlignment w:val="baseline"/>
    </w:pPr>
    <w:rPr>
      <w:rFonts w:eastAsia="Times New Roman"/>
      <w:sz w:val="18"/>
      <w:szCs w:val="20"/>
      <w:lang w:eastAsia="en-US"/>
    </w:rPr>
  </w:style>
  <w:style w:type="paragraph" w:customStyle="1" w:styleId="Headingb">
    <w:name w:val="Heading_b"/>
    <w:basedOn w:val="Normal"/>
    <w:next w:val="Normal"/>
    <w:qFormat/>
    <w:rsid w:val="00CC31F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C31F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rsid w:val="00CC31F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C31F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CC31F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legend">
    <w:name w:val="Table_legend"/>
    <w:basedOn w:val="Normal"/>
    <w:rsid w:val="00CC3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CC3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sid w:val="00CC31F6"/>
    <w:pPr>
      <w:overflowPunct w:val="0"/>
      <w:autoSpaceDE w:val="0"/>
      <w:autoSpaceDN w:val="0"/>
      <w:adjustRightInd w:val="0"/>
      <w:textAlignment w:val="baseline"/>
    </w:pPr>
    <w:rPr>
      <w:rFonts w:eastAsia="Times New Roman"/>
      <w:b/>
      <w:szCs w:val="20"/>
      <w:lang w:eastAsia="en-US"/>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CC31F6"/>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C31F6"/>
    <w:pPr>
      <w:tabs>
        <w:tab w:val="clear" w:pos="964"/>
      </w:tabs>
      <w:spacing w:before="80"/>
      <w:ind w:left="1531" w:hanging="851"/>
    </w:pPr>
  </w:style>
  <w:style w:type="paragraph" w:styleId="TOC3">
    <w:name w:val="toc 3"/>
    <w:basedOn w:val="TOC2"/>
    <w:rsid w:val="00CC31F6"/>
    <w:pPr>
      <w:ind w:left="2269"/>
    </w:pPr>
  </w:style>
  <w:style w:type="character" w:styleId="Hyperlink">
    <w:name w:val="Hyperlink"/>
    <w:basedOn w:val="DefaultParagraphFont"/>
    <w:rsid w:val="00CC31F6"/>
    <w:rPr>
      <w:color w:val="0000FF"/>
      <w:u w:val="single"/>
    </w:rPr>
  </w:style>
  <w:style w:type="paragraph" w:styleId="Revision">
    <w:name w:val="Revision"/>
    <w:hidden/>
    <w:uiPriority w:val="99"/>
    <w:semiHidden/>
    <w:rsid w:val="00DE222E"/>
    <w:rPr>
      <w:sz w:val="24"/>
      <w:lang w:val="en-GB" w:eastAsia="en-US"/>
    </w:rPr>
  </w:style>
  <w:style w:type="character" w:styleId="CommentReference">
    <w:name w:val="annotation reference"/>
    <w:basedOn w:val="DefaultParagraphFont"/>
    <w:uiPriority w:val="99"/>
    <w:rsid w:val="00DD2102"/>
    <w:rPr>
      <w:sz w:val="16"/>
      <w:szCs w:val="16"/>
    </w:rPr>
  </w:style>
  <w:style w:type="paragraph" w:styleId="CommentText">
    <w:name w:val="annotation text"/>
    <w:basedOn w:val="Normal"/>
    <w:link w:val="CommentTextChar"/>
    <w:uiPriority w:val="99"/>
    <w:rsid w:val="00DD2102"/>
    <w:rPr>
      <w:sz w:val="20"/>
    </w:rPr>
  </w:style>
  <w:style w:type="character" w:customStyle="1" w:styleId="CommentTextChar">
    <w:name w:val="Comment Text Char"/>
    <w:basedOn w:val="DefaultParagraphFont"/>
    <w:link w:val="CommentText"/>
    <w:uiPriority w:val="99"/>
    <w:rsid w:val="00DD2102"/>
    <w:rPr>
      <w:lang w:val="en-GB" w:eastAsia="en-US"/>
    </w:rPr>
  </w:style>
  <w:style w:type="paragraph" w:styleId="CommentSubject">
    <w:name w:val="annotation subject"/>
    <w:basedOn w:val="CommentText"/>
    <w:next w:val="CommentText"/>
    <w:link w:val="CommentSubjectChar"/>
    <w:semiHidden/>
    <w:unhideWhenUsed/>
    <w:rsid w:val="00DD2102"/>
    <w:rPr>
      <w:b/>
      <w:bCs/>
    </w:rPr>
  </w:style>
  <w:style w:type="character" w:customStyle="1" w:styleId="CommentSubjectChar">
    <w:name w:val="Comment Subject Char"/>
    <w:basedOn w:val="CommentTextChar"/>
    <w:link w:val="CommentSubject"/>
    <w:semiHidden/>
    <w:rsid w:val="00DD2102"/>
    <w:rPr>
      <w:b/>
      <w:bCs/>
      <w:lang w:val="en-GB" w:eastAsia="en-US"/>
    </w:rPr>
  </w:style>
  <w:style w:type="character" w:customStyle="1" w:styleId="Mention1">
    <w:name w:val="Mention1"/>
    <w:basedOn w:val="DefaultParagraphFont"/>
    <w:uiPriority w:val="99"/>
    <w:unhideWhenUsed/>
    <w:rsid w:val="00DD2102"/>
    <w:rPr>
      <w:color w:val="2B579A"/>
      <w:shd w:val="clear" w:color="auto" w:fill="E1DFDD"/>
    </w:rPr>
  </w:style>
  <w:style w:type="paragraph" w:customStyle="1" w:styleId="VenueDate">
    <w:name w:val="VenueDate"/>
    <w:basedOn w:val="Normal"/>
    <w:qFormat/>
    <w:rsid w:val="00BE6F0A"/>
    <w:pPr>
      <w:jc w:val="right"/>
    </w:pPr>
  </w:style>
  <w:style w:type="paragraph" w:customStyle="1" w:styleId="CorrectionSeparatorBegin">
    <w:name w:val="Correction Separator Begin"/>
    <w:basedOn w:val="Normal"/>
    <w:rsid w:val="00CC31F6"/>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CC31F6"/>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CC31F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CC31F6"/>
    <w:rPr>
      <w:b/>
      <w:bCs/>
    </w:rPr>
  </w:style>
  <w:style w:type="paragraph" w:customStyle="1" w:styleId="TableNotitle0">
    <w:name w:val="Table_No &amp; title"/>
    <w:basedOn w:val="Normal"/>
    <w:next w:val="Normal"/>
    <w:qFormat/>
    <w:rsid w:val="00CC31F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HeaderChar">
    <w:name w:val="Header Char"/>
    <w:basedOn w:val="DefaultParagraphFont"/>
    <w:link w:val="Header"/>
    <w:rsid w:val="00CC31F6"/>
    <w:rPr>
      <w:sz w:val="18"/>
      <w:lang w:val="en-GB" w:eastAsia="en-US"/>
    </w:rPr>
  </w:style>
  <w:style w:type="paragraph" w:styleId="Caption">
    <w:name w:val="caption"/>
    <w:basedOn w:val="Normal"/>
    <w:next w:val="Normal"/>
    <w:semiHidden/>
    <w:unhideWhenUsed/>
    <w:rsid w:val="00CC31F6"/>
    <w:pPr>
      <w:spacing w:before="0" w:after="200"/>
    </w:pPr>
    <w:rPr>
      <w:i/>
      <w:iCs/>
      <w:color w:val="44546A" w:themeColor="text2"/>
      <w:sz w:val="18"/>
      <w:szCs w:val="18"/>
    </w:rPr>
  </w:style>
  <w:style w:type="paragraph" w:styleId="BalloonText">
    <w:name w:val="Balloon Text"/>
    <w:basedOn w:val="Normal"/>
    <w:link w:val="BalloonTextChar"/>
    <w:semiHidden/>
    <w:unhideWhenUsed/>
    <w:rsid w:val="00CC31F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CC31F6"/>
    <w:rPr>
      <w:rFonts w:ascii="Segoe UI" w:eastAsiaTheme="minorEastAsia" w:hAnsi="Segoe UI" w:cs="Segoe UI"/>
      <w:sz w:val="18"/>
      <w:szCs w:val="18"/>
      <w:lang w:val="en-GB" w:eastAsia="ja-JP"/>
    </w:rPr>
  </w:style>
  <w:style w:type="paragraph" w:styleId="Bibliography">
    <w:name w:val="Bibliography"/>
    <w:basedOn w:val="Normal"/>
    <w:next w:val="Normal"/>
    <w:uiPriority w:val="37"/>
    <w:semiHidden/>
    <w:unhideWhenUsed/>
    <w:rsid w:val="00CC31F6"/>
  </w:style>
  <w:style w:type="paragraph" w:styleId="BlockText">
    <w:name w:val="Block Text"/>
    <w:basedOn w:val="Normal"/>
    <w:rsid w:val="00CC31F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rsid w:val="00CC31F6"/>
    <w:pPr>
      <w:spacing w:after="120"/>
    </w:pPr>
  </w:style>
  <w:style w:type="character" w:customStyle="1" w:styleId="BodyTextChar">
    <w:name w:val="Body Text Char"/>
    <w:basedOn w:val="DefaultParagraphFont"/>
    <w:link w:val="BodyText"/>
    <w:rsid w:val="00CC31F6"/>
    <w:rPr>
      <w:rFonts w:eastAsiaTheme="minorEastAsia"/>
      <w:sz w:val="24"/>
      <w:szCs w:val="24"/>
      <w:lang w:val="en-GB" w:eastAsia="ja-JP"/>
    </w:rPr>
  </w:style>
  <w:style w:type="paragraph" w:styleId="BodyText2">
    <w:name w:val="Body Text 2"/>
    <w:basedOn w:val="Normal"/>
    <w:link w:val="BodyText2Char"/>
    <w:rsid w:val="00CC31F6"/>
    <w:pPr>
      <w:spacing w:after="120" w:line="480" w:lineRule="auto"/>
    </w:pPr>
  </w:style>
  <w:style w:type="character" w:customStyle="1" w:styleId="BodyText2Char">
    <w:name w:val="Body Text 2 Char"/>
    <w:basedOn w:val="DefaultParagraphFont"/>
    <w:link w:val="BodyText2"/>
    <w:rsid w:val="00CC31F6"/>
    <w:rPr>
      <w:rFonts w:eastAsiaTheme="minorEastAsia"/>
      <w:sz w:val="24"/>
      <w:szCs w:val="24"/>
      <w:lang w:val="en-GB" w:eastAsia="ja-JP"/>
    </w:rPr>
  </w:style>
  <w:style w:type="paragraph" w:styleId="BodyText3">
    <w:name w:val="Body Text 3"/>
    <w:basedOn w:val="Normal"/>
    <w:link w:val="BodyText3Char"/>
    <w:rsid w:val="00CC31F6"/>
    <w:pPr>
      <w:spacing w:after="120"/>
    </w:pPr>
    <w:rPr>
      <w:sz w:val="16"/>
      <w:szCs w:val="16"/>
    </w:rPr>
  </w:style>
  <w:style w:type="character" w:customStyle="1" w:styleId="BodyText3Char">
    <w:name w:val="Body Text 3 Char"/>
    <w:basedOn w:val="DefaultParagraphFont"/>
    <w:link w:val="BodyText3"/>
    <w:rsid w:val="00CC31F6"/>
    <w:rPr>
      <w:rFonts w:eastAsiaTheme="minorEastAsia"/>
      <w:sz w:val="16"/>
      <w:szCs w:val="16"/>
      <w:lang w:val="en-GB" w:eastAsia="ja-JP"/>
    </w:rPr>
  </w:style>
  <w:style w:type="paragraph" w:styleId="BodyTextFirstIndent">
    <w:name w:val="Body Text First Indent"/>
    <w:basedOn w:val="BodyText"/>
    <w:link w:val="BodyTextFirstIndentChar"/>
    <w:rsid w:val="00CC31F6"/>
    <w:pPr>
      <w:spacing w:after="0"/>
      <w:ind w:firstLine="360"/>
    </w:pPr>
  </w:style>
  <w:style w:type="character" w:customStyle="1" w:styleId="BodyTextFirstIndentChar">
    <w:name w:val="Body Text First Indent Char"/>
    <w:basedOn w:val="BodyTextChar"/>
    <w:link w:val="BodyTextFirstIndent"/>
    <w:rsid w:val="00CC31F6"/>
    <w:rPr>
      <w:rFonts w:eastAsiaTheme="minorEastAsia"/>
      <w:sz w:val="24"/>
      <w:szCs w:val="24"/>
      <w:lang w:val="en-GB" w:eastAsia="ja-JP"/>
    </w:rPr>
  </w:style>
  <w:style w:type="paragraph" w:styleId="BodyTextIndent">
    <w:name w:val="Body Text Indent"/>
    <w:basedOn w:val="Normal"/>
    <w:link w:val="BodyTextIndentChar"/>
    <w:rsid w:val="00CC31F6"/>
    <w:pPr>
      <w:spacing w:after="120"/>
      <w:ind w:left="360"/>
    </w:pPr>
  </w:style>
  <w:style w:type="character" w:customStyle="1" w:styleId="BodyTextIndentChar">
    <w:name w:val="Body Text Indent Char"/>
    <w:basedOn w:val="DefaultParagraphFont"/>
    <w:link w:val="BodyTextIndent"/>
    <w:rsid w:val="00CC31F6"/>
    <w:rPr>
      <w:rFonts w:eastAsiaTheme="minorEastAsia"/>
      <w:sz w:val="24"/>
      <w:szCs w:val="24"/>
      <w:lang w:val="en-GB" w:eastAsia="ja-JP"/>
    </w:rPr>
  </w:style>
  <w:style w:type="paragraph" w:styleId="BodyTextFirstIndent2">
    <w:name w:val="Body Text First Indent 2"/>
    <w:basedOn w:val="BodyTextIndent"/>
    <w:link w:val="BodyTextFirstIndent2Char"/>
    <w:rsid w:val="00CC31F6"/>
    <w:pPr>
      <w:spacing w:after="0"/>
      <w:ind w:firstLine="360"/>
    </w:pPr>
  </w:style>
  <w:style w:type="character" w:customStyle="1" w:styleId="BodyTextFirstIndent2Char">
    <w:name w:val="Body Text First Indent 2 Char"/>
    <w:basedOn w:val="BodyTextIndentChar"/>
    <w:link w:val="BodyTextFirstIndent2"/>
    <w:rsid w:val="00CC31F6"/>
    <w:rPr>
      <w:rFonts w:eastAsiaTheme="minorEastAsia"/>
      <w:sz w:val="24"/>
      <w:szCs w:val="24"/>
      <w:lang w:val="en-GB" w:eastAsia="ja-JP"/>
    </w:rPr>
  </w:style>
  <w:style w:type="paragraph" w:styleId="BodyTextIndent2">
    <w:name w:val="Body Text Indent 2"/>
    <w:basedOn w:val="Normal"/>
    <w:link w:val="BodyTextIndent2Char"/>
    <w:rsid w:val="00CC31F6"/>
    <w:pPr>
      <w:spacing w:after="120" w:line="480" w:lineRule="auto"/>
      <w:ind w:left="360"/>
    </w:pPr>
  </w:style>
  <w:style w:type="character" w:customStyle="1" w:styleId="BodyTextIndent2Char">
    <w:name w:val="Body Text Indent 2 Char"/>
    <w:basedOn w:val="DefaultParagraphFont"/>
    <w:link w:val="BodyTextIndent2"/>
    <w:rsid w:val="00CC31F6"/>
    <w:rPr>
      <w:rFonts w:eastAsiaTheme="minorEastAsia"/>
      <w:sz w:val="24"/>
      <w:szCs w:val="24"/>
      <w:lang w:val="en-GB" w:eastAsia="ja-JP"/>
    </w:rPr>
  </w:style>
  <w:style w:type="paragraph" w:styleId="BodyTextIndent3">
    <w:name w:val="Body Text Indent 3"/>
    <w:basedOn w:val="Normal"/>
    <w:link w:val="BodyTextIndent3Char"/>
    <w:rsid w:val="00CC31F6"/>
    <w:pPr>
      <w:spacing w:after="120"/>
      <w:ind w:left="360"/>
    </w:pPr>
    <w:rPr>
      <w:sz w:val="16"/>
      <w:szCs w:val="16"/>
    </w:rPr>
  </w:style>
  <w:style w:type="character" w:customStyle="1" w:styleId="BodyTextIndent3Char">
    <w:name w:val="Body Text Indent 3 Char"/>
    <w:basedOn w:val="DefaultParagraphFont"/>
    <w:link w:val="BodyTextIndent3"/>
    <w:rsid w:val="00CC31F6"/>
    <w:rPr>
      <w:rFonts w:eastAsiaTheme="minorEastAsia"/>
      <w:sz w:val="16"/>
      <w:szCs w:val="16"/>
      <w:lang w:val="en-GB" w:eastAsia="ja-JP"/>
    </w:rPr>
  </w:style>
  <w:style w:type="character" w:styleId="BookTitle">
    <w:name w:val="Book Title"/>
    <w:basedOn w:val="DefaultParagraphFont"/>
    <w:uiPriority w:val="33"/>
    <w:rsid w:val="00CC31F6"/>
    <w:rPr>
      <w:b/>
      <w:bCs/>
      <w:i/>
      <w:iCs/>
      <w:spacing w:val="5"/>
    </w:rPr>
  </w:style>
  <w:style w:type="paragraph" w:styleId="Closing">
    <w:name w:val="Closing"/>
    <w:basedOn w:val="Normal"/>
    <w:link w:val="ClosingChar"/>
    <w:rsid w:val="00CC31F6"/>
    <w:pPr>
      <w:spacing w:before="0"/>
      <w:ind w:left="4320"/>
    </w:pPr>
  </w:style>
  <w:style w:type="character" w:customStyle="1" w:styleId="ClosingChar">
    <w:name w:val="Closing Char"/>
    <w:basedOn w:val="DefaultParagraphFont"/>
    <w:link w:val="Closing"/>
    <w:rsid w:val="00CC31F6"/>
    <w:rPr>
      <w:rFonts w:eastAsiaTheme="minorEastAsia"/>
      <w:sz w:val="24"/>
      <w:szCs w:val="24"/>
      <w:lang w:val="en-GB" w:eastAsia="ja-JP"/>
    </w:rPr>
  </w:style>
  <w:style w:type="paragraph" w:styleId="Date">
    <w:name w:val="Date"/>
    <w:basedOn w:val="Normal"/>
    <w:next w:val="Normal"/>
    <w:link w:val="DateChar"/>
    <w:rsid w:val="00CC31F6"/>
  </w:style>
  <w:style w:type="character" w:customStyle="1" w:styleId="DateChar">
    <w:name w:val="Date Char"/>
    <w:basedOn w:val="DefaultParagraphFont"/>
    <w:link w:val="Date"/>
    <w:rsid w:val="00CC31F6"/>
    <w:rPr>
      <w:rFonts w:eastAsiaTheme="minorEastAsia"/>
      <w:sz w:val="24"/>
      <w:szCs w:val="24"/>
      <w:lang w:val="en-GB" w:eastAsia="ja-JP"/>
    </w:rPr>
  </w:style>
  <w:style w:type="paragraph" w:styleId="DocumentMap">
    <w:name w:val="Document Map"/>
    <w:basedOn w:val="Normal"/>
    <w:link w:val="DocumentMapChar"/>
    <w:rsid w:val="00CC31F6"/>
    <w:pPr>
      <w:spacing w:before="0"/>
    </w:pPr>
    <w:rPr>
      <w:rFonts w:ascii="Segoe UI" w:hAnsi="Segoe UI" w:cs="Segoe UI"/>
      <w:sz w:val="16"/>
      <w:szCs w:val="16"/>
    </w:rPr>
  </w:style>
  <w:style w:type="character" w:customStyle="1" w:styleId="DocumentMapChar">
    <w:name w:val="Document Map Char"/>
    <w:basedOn w:val="DefaultParagraphFont"/>
    <w:link w:val="DocumentMap"/>
    <w:rsid w:val="00CC31F6"/>
    <w:rPr>
      <w:rFonts w:ascii="Segoe UI" w:eastAsiaTheme="minorEastAsia" w:hAnsi="Segoe UI" w:cs="Segoe UI"/>
      <w:sz w:val="16"/>
      <w:szCs w:val="16"/>
      <w:lang w:val="en-GB" w:eastAsia="ja-JP"/>
    </w:rPr>
  </w:style>
  <w:style w:type="paragraph" w:styleId="E-mailSignature">
    <w:name w:val="E-mail Signature"/>
    <w:basedOn w:val="Normal"/>
    <w:link w:val="E-mailSignatureChar"/>
    <w:rsid w:val="00CC31F6"/>
    <w:pPr>
      <w:spacing w:before="0"/>
    </w:pPr>
  </w:style>
  <w:style w:type="character" w:customStyle="1" w:styleId="E-mailSignatureChar">
    <w:name w:val="E-mail Signature Char"/>
    <w:basedOn w:val="DefaultParagraphFont"/>
    <w:link w:val="E-mailSignature"/>
    <w:rsid w:val="00CC31F6"/>
    <w:rPr>
      <w:rFonts w:eastAsiaTheme="minorEastAsia"/>
      <w:sz w:val="24"/>
      <w:szCs w:val="24"/>
      <w:lang w:val="en-GB" w:eastAsia="ja-JP"/>
    </w:rPr>
  </w:style>
  <w:style w:type="character" w:styleId="Emphasis">
    <w:name w:val="Emphasis"/>
    <w:basedOn w:val="DefaultParagraphFont"/>
    <w:rsid w:val="00CC31F6"/>
    <w:rPr>
      <w:i/>
      <w:iCs/>
    </w:rPr>
  </w:style>
  <w:style w:type="paragraph" w:styleId="EndnoteText">
    <w:name w:val="endnote text"/>
    <w:basedOn w:val="Normal"/>
    <w:link w:val="EndnoteTextChar"/>
    <w:rsid w:val="00CC31F6"/>
    <w:pPr>
      <w:spacing w:before="0"/>
    </w:pPr>
    <w:rPr>
      <w:sz w:val="20"/>
      <w:szCs w:val="20"/>
    </w:rPr>
  </w:style>
  <w:style w:type="character" w:customStyle="1" w:styleId="EndnoteTextChar">
    <w:name w:val="Endnote Text Char"/>
    <w:basedOn w:val="DefaultParagraphFont"/>
    <w:link w:val="EndnoteText"/>
    <w:rsid w:val="00CC31F6"/>
    <w:rPr>
      <w:rFonts w:eastAsiaTheme="minorEastAsia"/>
      <w:lang w:val="en-GB" w:eastAsia="ja-JP"/>
    </w:rPr>
  </w:style>
  <w:style w:type="paragraph" w:styleId="EnvelopeAddress">
    <w:name w:val="envelope address"/>
    <w:basedOn w:val="Normal"/>
    <w:rsid w:val="00CC31F6"/>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rsid w:val="00CC31F6"/>
    <w:pPr>
      <w:spacing w:before="0"/>
    </w:pPr>
    <w:rPr>
      <w:rFonts w:asciiTheme="majorHAnsi" w:eastAsiaTheme="majorEastAsia" w:hAnsiTheme="majorHAnsi" w:cstheme="majorBidi"/>
      <w:sz w:val="20"/>
      <w:szCs w:val="20"/>
    </w:rPr>
  </w:style>
  <w:style w:type="character" w:styleId="FollowedHyperlink">
    <w:name w:val="FollowedHyperlink"/>
    <w:basedOn w:val="DefaultParagraphFont"/>
    <w:rsid w:val="00CC31F6"/>
    <w:rPr>
      <w:color w:val="954F72" w:themeColor="followedHyperlink"/>
      <w:u w:val="single"/>
    </w:rPr>
  </w:style>
  <w:style w:type="character" w:customStyle="1" w:styleId="Hashtag1">
    <w:name w:val="Hashtag1"/>
    <w:basedOn w:val="DefaultParagraphFont"/>
    <w:uiPriority w:val="99"/>
    <w:semiHidden/>
    <w:unhideWhenUsed/>
    <w:rsid w:val="00CC31F6"/>
    <w:rPr>
      <w:color w:val="2B579A"/>
      <w:shd w:val="clear" w:color="auto" w:fill="E1DFDD"/>
    </w:rPr>
  </w:style>
  <w:style w:type="character" w:styleId="HTMLAcronym">
    <w:name w:val="HTML Acronym"/>
    <w:basedOn w:val="DefaultParagraphFont"/>
    <w:rsid w:val="00CC31F6"/>
  </w:style>
  <w:style w:type="paragraph" w:styleId="HTMLAddress">
    <w:name w:val="HTML Address"/>
    <w:basedOn w:val="Normal"/>
    <w:link w:val="HTMLAddressChar"/>
    <w:rsid w:val="00CC31F6"/>
    <w:pPr>
      <w:spacing w:before="0"/>
    </w:pPr>
    <w:rPr>
      <w:i/>
      <w:iCs/>
    </w:rPr>
  </w:style>
  <w:style w:type="character" w:customStyle="1" w:styleId="HTMLAddressChar">
    <w:name w:val="HTML Address Char"/>
    <w:basedOn w:val="DefaultParagraphFont"/>
    <w:link w:val="HTMLAddress"/>
    <w:rsid w:val="00CC31F6"/>
    <w:rPr>
      <w:rFonts w:eastAsiaTheme="minorEastAsia"/>
      <w:i/>
      <w:iCs/>
      <w:sz w:val="24"/>
      <w:szCs w:val="24"/>
      <w:lang w:val="en-GB" w:eastAsia="ja-JP"/>
    </w:rPr>
  </w:style>
  <w:style w:type="character" w:styleId="HTMLCite">
    <w:name w:val="HTML Cite"/>
    <w:basedOn w:val="DefaultParagraphFont"/>
    <w:rsid w:val="00CC31F6"/>
    <w:rPr>
      <w:i/>
      <w:iCs/>
    </w:rPr>
  </w:style>
  <w:style w:type="character" w:styleId="HTMLCode">
    <w:name w:val="HTML Code"/>
    <w:basedOn w:val="DefaultParagraphFont"/>
    <w:rsid w:val="00CC31F6"/>
    <w:rPr>
      <w:rFonts w:ascii="Consolas" w:hAnsi="Consolas"/>
      <w:sz w:val="20"/>
      <w:szCs w:val="20"/>
    </w:rPr>
  </w:style>
  <w:style w:type="character" w:styleId="HTMLDefinition">
    <w:name w:val="HTML Definition"/>
    <w:basedOn w:val="DefaultParagraphFont"/>
    <w:rsid w:val="00CC31F6"/>
    <w:rPr>
      <w:i/>
      <w:iCs/>
    </w:rPr>
  </w:style>
  <w:style w:type="character" w:styleId="HTMLKeyboard">
    <w:name w:val="HTML Keyboard"/>
    <w:basedOn w:val="DefaultParagraphFont"/>
    <w:semiHidden/>
    <w:unhideWhenUsed/>
    <w:rsid w:val="00CC31F6"/>
    <w:rPr>
      <w:rFonts w:ascii="Consolas" w:hAnsi="Consolas"/>
      <w:sz w:val="20"/>
      <w:szCs w:val="20"/>
    </w:rPr>
  </w:style>
  <w:style w:type="paragraph" w:styleId="HTMLPreformatted">
    <w:name w:val="HTML Preformatted"/>
    <w:basedOn w:val="Normal"/>
    <w:link w:val="HTMLPreformattedChar"/>
    <w:rsid w:val="00CC31F6"/>
    <w:pPr>
      <w:spacing w:before="0"/>
    </w:pPr>
    <w:rPr>
      <w:rFonts w:ascii="Consolas" w:hAnsi="Consolas"/>
      <w:sz w:val="20"/>
      <w:szCs w:val="20"/>
    </w:rPr>
  </w:style>
  <w:style w:type="character" w:customStyle="1" w:styleId="HTMLPreformattedChar">
    <w:name w:val="HTML Preformatted Char"/>
    <w:basedOn w:val="DefaultParagraphFont"/>
    <w:link w:val="HTMLPreformatted"/>
    <w:rsid w:val="00CC31F6"/>
    <w:rPr>
      <w:rFonts w:ascii="Consolas" w:eastAsiaTheme="minorEastAsia" w:hAnsi="Consolas"/>
      <w:lang w:val="en-GB" w:eastAsia="ja-JP"/>
    </w:rPr>
  </w:style>
  <w:style w:type="character" w:styleId="HTMLSample">
    <w:name w:val="HTML Sample"/>
    <w:basedOn w:val="DefaultParagraphFont"/>
    <w:rsid w:val="00CC31F6"/>
    <w:rPr>
      <w:rFonts w:ascii="Consolas" w:hAnsi="Consolas"/>
      <w:sz w:val="24"/>
      <w:szCs w:val="24"/>
    </w:rPr>
  </w:style>
  <w:style w:type="character" w:styleId="HTMLTypewriter">
    <w:name w:val="HTML Typewriter"/>
    <w:basedOn w:val="DefaultParagraphFont"/>
    <w:rsid w:val="00CC31F6"/>
    <w:rPr>
      <w:rFonts w:ascii="Consolas" w:hAnsi="Consolas"/>
      <w:sz w:val="20"/>
      <w:szCs w:val="20"/>
    </w:rPr>
  </w:style>
  <w:style w:type="character" w:styleId="HTMLVariable">
    <w:name w:val="HTML Variable"/>
    <w:basedOn w:val="DefaultParagraphFont"/>
    <w:rsid w:val="00CC31F6"/>
    <w:rPr>
      <w:i/>
      <w:iCs/>
    </w:rPr>
  </w:style>
  <w:style w:type="paragraph" w:styleId="Index1">
    <w:name w:val="index 1"/>
    <w:basedOn w:val="Normal"/>
    <w:next w:val="Normal"/>
    <w:autoRedefine/>
    <w:rsid w:val="00CC31F6"/>
    <w:pPr>
      <w:spacing w:before="0"/>
      <w:ind w:left="240" w:hanging="240"/>
    </w:pPr>
  </w:style>
  <w:style w:type="paragraph" w:styleId="Index2">
    <w:name w:val="index 2"/>
    <w:basedOn w:val="Normal"/>
    <w:next w:val="Normal"/>
    <w:autoRedefine/>
    <w:rsid w:val="00CC31F6"/>
    <w:pPr>
      <w:spacing w:before="0"/>
      <w:ind w:left="480" w:hanging="240"/>
    </w:pPr>
  </w:style>
  <w:style w:type="paragraph" w:styleId="Index3">
    <w:name w:val="index 3"/>
    <w:basedOn w:val="Normal"/>
    <w:next w:val="Normal"/>
    <w:autoRedefine/>
    <w:rsid w:val="00CC31F6"/>
    <w:pPr>
      <w:spacing w:before="0"/>
      <w:ind w:left="720" w:hanging="240"/>
    </w:pPr>
  </w:style>
  <w:style w:type="paragraph" w:styleId="Index4">
    <w:name w:val="index 4"/>
    <w:basedOn w:val="Normal"/>
    <w:next w:val="Normal"/>
    <w:autoRedefine/>
    <w:rsid w:val="00CC31F6"/>
    <w:pPr>
      <w:spacing w:before="0"/>
      <w:ind w:left="960" w:hanging="240"/>
    </w:pPr>
  </w:style>
  <w:style w:type="paragraph" w:styleId="Index5">
    <w:name w:val="index 5"/>
    <w:basedOn w:val="Normal"/>
    <w:next w:val="Normal"/>
    <w:autoRedefine/>
    <w:rsid w:val="00CC31F6"/>
    <w:pPr>
      <w:spacing w:before="0"/>
      <w:ind w:left="1200" w:hanging="240"/>
    </w:pPr>
  </w:style>
  <w:style w:type="paragraph" w:styleId="Index6">
    <w:name w:val="index 6"/>
    <w:basedOn w:val="Normal"/>
    <w:next w:val="Normal"/>
    <w:autoRedefine/>
    <w:rsid w:val="00CC31F6"/>
    <w:pPr>
      <w:spacing w:before="0"/>
      <w:ind w:left="1440" w:hanging="240"/>
    </w:pPr>
  </w:style>
  <w:style w:type="paragraph" w:styleId="Index7">
    <w:name w:val="index 7"/>
    <w:basedOn w:val="Normal"/>
    <w:next w:val="Normal"/>
    <w:autoRedefine/>
    <w:rsid w:val="00CC31F6"/>
    <w:pPr>
      <w:spacing w:before="0"/>
      <w:ind w:left="1680" w:hanging="240"/>
    </w:pPr>
  </w:style>
  <w:style w:type="paragraph" w:styleId="Index8">
    <w:name w:val="index 8"/>
    <w:basedOn w:val="Normal"/>
    <w:next w:val="Normal"/>
    <w:autoRedefine/>
    <w:rsid w:val="00CC31F6"/>
    <w:pPr>
      <w:spacing w:before="0"/>
      <w:ind w:left="1920" w:hanging="240"/>
    </w:pPr>
  </w:style>
  <w:style w:type="paragraph" w:styleId="Index9">
    <w:name w:val="index 9"/>
    <w:basedOn w:val="Normal"/>
    <w:next w:val="Normal"/>
    <w:autoRedefine/>
    <w:rsid w:val="00CC31F6"/>
    <w:pPr>
      <w:spacing w:before="0"/>
      <w:ind w:left="2160" w:hanging="240"/>
    </w:pPr>
  </w:style>
  <w:style w:type="paragraph" w:styleId="IndexHeading">
    <w:name w:val="index heading"/>
    <w:basedOn w:val="Normal"/>
    <w:next w:val="Index1"/>
    <w:rsid w:val="00CC31F6"/>
    <w:rPr>
      <w:rFonts w:asciiTheme="majorHAnsi" w:eastAsiaTheme="majorEastAsia" w:hAnsiTheme="majorHAnsi" w:cstheme="majorBidi"/>
      <w:b/>
      <w:bCs/>
    </w:rPr>
  </w:style>
  <w:style w:type="character" w:styleId="IntenseEmphasis">
    <w:name w:val="Intense Emphasis"/>
    <w:basedOn w:val="DefaultParagraphFont"/>
    <w:uiPriority w:val="21"/>
    <w:rsid w:val="00CC31F6"/>
    <w:rPr>
      <w:i/>
      <w:iCs/>
      <w:color w:val="5B9BD5" w:themeColor="accent1"/>
    </w:rPr>
  </w:style>
  <w:style w:type="paragraph" w:styleId="IntenseQuote">
    <w:name w:val="Intense Quote"/>
    <w:basedOn w:val="Normal"/>
    <w:next w:val="Normal"/>
    <w:link w:val="IntenseQuoteChar"/>
    <w:uiPriority w:val="30"/>
    <w:rsid w:val="00CC31F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C31F6"/>
    <w:rPr>
      <w:rFonts w:eastAsiaTheme="minorEastAsia"/>
      <w:i/>
      <w:iCs/>
      <w:color w:val="5B9BD5" w:themeColor="accent1"/>
      <w:sz w:val="24"/>
      <w:szCs w:val="24"/>
      <w:lang w:val="en-GB" w:eastAsia="ja-JP"/>
    </w:rPr>
  </w:style>
  <w:style w:type="character" w:styleId="IntenseReference">
    <w:name w:val="Intense Reference"/>
    <w:basedOn w:val="DefaultParagraphFont"/>
    <w:uiPriority w:val="32"/>
    <w:rsid w:val="00CC31F6"/>
    <w:rPr>
      <w:b/>
      <w:bCs/>
      <w:smallCaps/>
      <w:color w:val="5B9BD5" w:themeColor="accent1"/>
      <w:spacing w:val="5"/>
    </w:rPr>
  </w:style>
  <w:style w:type="character" w:styleId="LineNumber">
    <w:name w:val="line number"/>
    <w:basedOn w:val="DefaultParagraphFont"/>
    <w:rsid w:val="00CC31F6"/>
  </w:style>
  <w:style w:type="paragraph" w:styleId="List">
    <w:name w:val="List"/>
    <w:basedOn w:val="Normal"/>
    <w:rsid w:val="00CC31F6"/>
    <w:pPr>
      <w:ind w:left="360" w:hanging="360"/>
      <w:contextualSpacing/>
    </w:pPr>
  </w:style>
  <w:style w:type="paragraph" w:styleId="List2">
    <w:name w:val="List 2"/>
    <w:basedOn w:val="Normal"/>
    <w:rsid w:val="00CC31F6"/>
    <w:pPr>
      <w:ind w:left="720" w:hanging="360"/>
      <w:contextualSpacing/>
    </w:pPr>
  </w:style>
  <w:style w:type="paragraph" w:styleId="List3">
    <w:name w:val="List 3"/>
    <w:basedOn w:val="Normal"/>
    <w:rsid w:val="00CC31F6"/>
    <w:pPr>
      <w:ind w:left="1080" w:hanging="360"/>
      <w:contextualSpacing/>
    </w:pPr>
  </w:style>
  <w:style w:type="paragraph" w:styleId="List4">
    <w:name w:val="List 4"/>
    <w:basedOn w:val="Normal"/>
    <w:rsid w:val="00CC31F6"/>
    <w:pPr>
      <w:ind w:left="1440" w:hanging="360"/>
      <w:contextualSpacing/>
    </w:pPr>
  </w:style>
  <w:style w:type="paragraph" w:styleId="List5">
    <w:name w:val="List 5"/>
    <w:basedOn w:val="Normal"/>
    <w:rsid w:val="00CC31F6"/>
    <w:pPr>
      <w:ind w:left="1800" w:hanging="360"/>
      <w:contextualSpacing/>
    </w:pPr>
  </w:style>
  <w:style w:type="paragraph" w:styleId="ListBullet">
    <w:name w:val="List Bullet"/>
    <w:basedOn w:val="Normal"/>
    <w:rsid w:val="00CC31F6"/>
    <w:pPr>
      <w:numPr>
        <w:numId w:val="7"/>
      </w:numPr>
      <w:contextualSpacing/>
    </w:pPr>
  </w:style>
  <w:style w:type="paragraph" w:styleId="ListBullet2">
    <w:name w:val="List Bullet 2"/>
    <w:basedOn w:val="Normal"/>
    <w:rsid w:val="00CC31F6"/>
    <w:pPr>
      <w:numPr>
        <w:numId w:val="8"/>
      </w:numPr>
      <w:contextualSpacing/>
    </w:pPr>
  </w:style>
  <w:style w:type="paragraph" w:styleId="ListBullet3">
    <w:name w:val="List Bullet 3"/>
    <w:basedOn w:val="Normal"/>
    <w:rsid w:val="00CC31F6"/>
    <w:pPr>
      <w:numPr>
        <w:numId w:val="9"/>
      </w:numPr>
      <w:contextualSpacing/>
    </w:pPr>
  </w:style>
  <w:style w:type="paragraph" w:styleId="ListBullet4">
    <w:name w:val="List Bullet 4"/>
    <w:basedOn w:val="Normal"/>
    <w:rsid w:val="00CC31F6"/>
    <w:pPr>
      <w:numPr>
        <w:numId w:val="10"/>
      </w:numPr>
      <w:contextualSpacing/>
    </w:pPr>
  </w:style>
  <w:style w:type="paragraph" w:styleId="ListBullet5">
    <w:name w:val="List Bullet 5"/>
    <w:basedOn w:val="Normal"/>
    <w:rsid w:val="00CC31F6"/>
    <w:pPr>
      <w:numPr>
        <w:numId w:val="11"/>
      </w:numPr>
      <w:contextualSpacing/>
    </w:pPr>
  </w:style>
  <w:style w:type="paragraph" w:styleId="ListContinue">
    <w:name w:val="List Continue"/>
    <w:basedOn w:val="Normal"/>
    <w:rsid w:val="00CC31F6"/>
    <w:pPr>
      <w:spacing w:after="120"/>
      <w:ind w:left="360"/>
      <w:contextualSpacing/>
    </w:pPr>
  </w:style>
  <w:style w:type="paragraph" w:styleId="ListContinue2">
    <w:name w:val="List Continue 2"/>
    <w:basedOn w:val="Normal"/>
    <w:rsid w:val="00CC31F6"/>
    <w:pPr>
      <w:spacing w:after="120"/>
      <w:ind w:left="720"/>
      <w:contextualSpacing/>
    </w:pPr>
  </w:style>
  <w:style w:type="paragraph" w:styleId="ListContinue3">
    <w:name w:val="List Continue 3"/>
    <w:basedOn w:val="Normal"/>
    <w:rsid w:val="00CC31F6"/>
    <w:pPr>
      <w:spacing w:after="120"/>
      <w:ind w:left="1080"/>
      <w:contextualSpacing/>
    </w:pPr>
  </w:style>
  <w:style w:type="paragraph" w:styleId="ListContinue4">
    <w:name w:val="List Continue 4"/>
    <w:basedOn w:val="Normal"/>
    <w:rsid w:val="00CC31F6"/>
    <w:pPr>
      <w:spacing w:after="120"/>
      <w:ind w:left="1440"/>
      <w:contextualSpacing/>
    </w:pPr>
  </w:style>
  <w:style w:type="paragraph" w:styleId="ListContinue5">
    <w:name w:val="List Continue 5"/>
    <w:basedOn w:val="Normal"/>
    <w:rsid w:val="00CC31F6"/>
    <w:pPr>
      <w:spacing w:after="120"/>
      <w:ind w:left="1800"/>
      <w:contextualSpacing/>
    </w:pPr>
  </w:style>
  <w:style w:type="paragraph" w:styleId="ListNumber">
    <w:name w:val="List Number"/>
    <w:basedOn w:val="Normal"/>
    <w:rsid w:val="00CC31F6"/>
    <w:pPr>
      <w:numPr>
        <w:numId w:val="12"/>
      </w:numPr>
      <w:contextualSpacing/>
    </w:pPr>
  </w:style>
  <w:style w:type="paragraph" w:styleId="ListNumber2">
    <w:name w:val="List Number 2"/>
    <w:basedOn w:val="Normal"/>
    <w:rsid w:val="00CC31F6"/>
    <w:pPr>
      <w:numPr>
        <w:numId w:val="13"/>
      </w:numPr>
      <w:contextualSpacing/>
    </w:pPr>
  </w:style>
  <w:style w:type="paragraph" w:styleId="ListNumber3">
    <w:name w:val="List Number 3"/>
    <w:basedOn w:val="Normal"/>
    <w:rsid w:val="00CC31F6"/>
    <w:pPr>
      <w:numPr>
        <w:numId w:val="14"/>
      </w:numPr>
      <w:contextualSpacing/>
    </w:pPr>
  </w:style>
  <w:style w:type="paragraph" w:styleId="ListNumber4">
    <w:name w:val="List Number 4"/>
    <w:basedOn w:val="Normal"/>
    <w:rsid w:val="00CC31F6"/>
    <w:pPr>
      <w:numPr>
        <w:numId w:val="15"/>
      </w:numPr>
      <w:contextualSpacing/>
    </w:pPr>
  </w:style>
  <w:style w:type="paragraph" w:styleId="ListNumber5">
    <w:name w:val="List Number 5"/>
    <w:basedOn w:val="Normal"/>
    <w:rsid w:val="00CC31F6"/>
    <w:pPr>
      <w:numPr>
        <w:numId w:val="16"/>
      </w:numPr>
      <w:contextualSpacing/>
    </w:pPr>
  </w:style>
  <w:style w:type="paragraph" w:styleId="ListParagraph">
    <w:name w:val="List Paragraph"/>
    <w:basedOn w:val="Normal"/>
    <w:uiPriority w:val="34"/>
    <w:rsid w:val="00CC31F6"/>
    <w:pPr>
      <w:ind w:left="720"/>
      <w:contextualSpacing/>
    </w:pPr>
  </w:style>
  <w:style w:type="paragraph" w:styleId="MacroText">
    <w:name w:val="macro"/>
    <w:link w:val="MacroTextChar"/>
    <w:rsid w:val="00CC31F6"/>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character" w:customStyle="1" w:styleId="MacroTextChar">
    <w:name w:val="Macro Text Char"/>
    <w:basedOn w:val="DefaultParagraphFont"/>
    <w:link w:val="MacroText"/>
    <w:rsid w:val="00CC31F6"/>
    <w:rPr>
      <w:rFonts w:ascii="Consolas" w:eastAsiaTheme="minorEastAsia" w:hAnsi="Consolas"/>
      <w:lang w:val="en-GB" w:eastAsia="ja-JP"/>
    </w:rPr>
  </w:style>
  <w:style w:type="paragraph" w:styleId="MessageHeader">
    <w:name w:val="Message Header"/>
    <w:basedOn w:val="Normal"/>
    <w:link w:val="MessageHeaderChar"/>
    <w:rsid w:val="00CC31F6"/>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CC31F6"/>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CC31F6"/>
    <w:rPr>
      <w:rFonts w:eastAsiaTheme="minorEastAsia"/>
      <w:sz w:val="24"/>
      <w:szCs w:val="24"/>
      <w:lang w:val="en-GB" w:eastAsia="ja-JP"/>
    </w:rPr>
  </w:style>
  <w:style w:type="paragraph" w:styleId="NormalWeb">
    <w:name w:val="Normal (Web)"/>
    <w:basedOn w:val="Normal"/>
    <w:rsid w:val="00CC31F6"/>
  </w:style>
  <w:style w:type="paragraph" w:styleId="NormalIndent">
    <w:name w:val="Normal Indent"/>
    <w:basedOn w:val="Normal"/>
    <w:rsid w:val="00CC31F6"/>
    <w:pPr>
      <w:ind w:left="720"/>
    </w:pPr>
  </w:style>
  <w:style w:type="paragraph" w:styleId="NoteHeading">
    <w:name w:val="Note Heading"/>
    <w:basedOn w:val="Normal"/>
    <w:next w:val="Normal"/>
    <w:link w:val="NoteHeadingChar"/>
    <w:rsid w:val="00CC31F6"/>
    <w:pPr>
      <w:spacing w:before="0"/>
    </w:pPr>
  </w:style>
  <w:style w:type="character" w:customStyle="1" w:styleId="NoteHeadingChar">
    <w:name w:val="Note Heading Char"/>
    <w:basedOn w:val="DefaultParagraphFont"/>
    <w:link w:val="NoteHeading"/>
    <w:rsid w:val="00CC31F6"/>
    <w:rPr>
      <w:rFonts w:eastAsiaTheme="minorEastAsia"/>
      <w:sz w:val="24"/>
      <w:szCs w:val="24"/>
      <w:lang w:val="en-GB" w:eastAsia="ja-JP"/>
    </w:rPr>
  </w:style>
  <w:style w:type="character" w:styleId="PageNumber">
    <w:name w:val="page number"/>
    <w:basedOn w:val="DefaultParagraphFont"/>
    <w:rsid w:val="00CC31F6"/>
  </w:style>
  <w:style w:type="character" w:styleId="PlaceholderText">
    <w:name w:val="Placeholder Text"/>
    <w:basedOn w:val="DefaultParagraphFont"/>
    <w:uiPriority w:val="99"/>
    <w:semiHidden/>
    <w:rsid w:val="00CC31F6"/>
    <w:rPr>
      <w:color w:val="808080"/>
    </w:rPr>
  </w:style>
  <w:style w:type="paragraph" w:styleId="PlainText">
    <w:name w:val="Plain Text"/>
    <w:basedOn w:val="Normal"/>
    <w:link w:val="PlainTextChar"/>
    <w:rsid w:val="00CC31F6"/>
    <w:pPr>
      <w:spacing w:before="0"/>
    </w:pPr>
    <w:rPr>
      <w:rFonts w:ascii="Consolas" w:hAnsi="Consolas"/>
      <w:sz w:val="21"/>
      <w:szCs w:val="21"/>
    </w:rPr>
  </w:style>
  <w:style w:type="character" w:customStyle="1" w:styleId="PlainTextChar">
    <w:name w:val="Plain Text Char"/>
    <w:basedOn w:val="DefaultParagraphFont"/>
    <w:link w:val="PlainText"/>
    <w:rsid w:val="00CC31F6"/>
    <w:rPr>
      <w:rFonts w:ascii="Consolas" w:eastAsiaTheme="minorEastAsia" w:hAnsi="Consolas"/>
      <w:sz w:val="21"/>
      <w:szCs w:val="21"/>
      <w:lang w:val="en-GB" w:eastAsia="ja-JP"/>
    </w:rPr>
  </w:style>
  <w:style w:type="paragraph" w:styleId="Quote">
    <w:name w:val="Quote"/>
    <w:basedOn w:val="Normal"/>
    <w:next w:val="Normal"/>
    <w:link w:val="QuoteChar"/>
    <w:uiPriority w:val="29"/>
    <w:rsid w:val="00CC31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C31F6"/>
    <w:rPr>
      <w:rFonts w:eastAsiaTheme="minorEastAsia"/>
      <w:i/>
      <w:iCs/>
      <w:color w:val="404040" w:themeColor="text1" w:themeTint="BF"/>
      <w:sz w:val="24"/>
      <w:szCs w:val="24"/>
      <w:lang w:val="en-GB" w:eastAsia="ja-JP"/>
    </w:rPr>
  </w:style>
  <w:style w:type="paragraph" w:styleId="Salutation">
    <w:name w:val="Salutation"/>
    <w:basedOn w:val="Normal"/>
    <w:next w:val="Normal"/>
    <w:link w:val="SalutationChar"/>
    <w:rsid w:val="00CC31F6"/>
  </w:style>
  <w:style w:type="character" w:customStyle="1" w:styleId="SalutationChar">
    <w:name w:val="Salutation Char"/>
    <w:basedOn w:val="DefaultParagraphFont"/>
    <w:link w:val="Salutation"/>
    <w:rsid w:val="00CC31F6"/>
    <w:rPr>
      <w:rFonts w:eastAsiaTheme="minorEastAsia"/>
      <w:sz w:val="24"/>
      <w:szCs w:val="24"/>
      <w:lang w:val="en-GB" w:eastAsia="ja-JP"/>
    </w:rPr>
  </w:style>
  <w:style w:type="paragraph" w:styleId="Signature">
    <w:name w:val="Signature"/>
    <w:basedOn w:val="Normal"/>
    <w:link w:val="SignatureChar"/>
    <w:rsid w:val="00CC31F6"/>
    <w:pPr>
      <w:spacing w:before="0"/>
      <w:ind w:left="4320"/>
    </w:pPr>
  </w:style>
  <w:style w:type="character" w:customStyle="1" w:styleId="SignatureChar">
    <w:name w:val="Signature Char"/>
    <w:basedOn w:val="DefaultParagraphFont"/>
    <w:link w:val="Signature"/>
    <w:rsid w:val="00CC31F6"/>
    <w:rPr>
      <w:rFonts w:eastAsiaTheme="minorEastAsia"/>
      <w:sz w:val="24"/>
      <w:szCs w:val="24"/>
      <w:lang w:val="en-GB" w:eastAsia="ja-JP"/>
    </w:rPr>
  </w:style>
  <w:style w:type="character" w:customStyle="1" w:styleId="SmartHyperlink1">
    <w:name w:val="Smart Hyperlink1"/>
    <w:basedOn w:val="DefaultParagraphFont"/>
    <w:uiPriority w:val="99"/>
    <w:semiHidden/>
    <w:unhideWhenUsed/>
    <w:rsid w:val="00CC31F6"/>
    <w:rPr>
      <w:u w:val="dotted"/>
    </w:rPr>
  </w:style>
  <w:style w:type="character" w:customStyle="1" w:styleId="SmartLink1">
    <w:name w:val="SmartLink1"/>
    <w:basedOn w:val="DefaultParagraphFont"/>
    <w:uiPriority w:val="99"/>
    <w:semiHidden/>
    <w:unhideWhenUsed/>
    <w:rsid w:val="00CC31F6"/>
    <w:rPr>
      <w:color w:val="0000FF"/>
      <w:u w:val="single"/>
      <w:shd w:val="clear" w:color="auto" w:fill="F3F2F1"/>
    </w:rPr>
  </w:style>
  <w:style w:type="character" w:styleId="Strong">
    <w:name w:val="Strong"/>
    <w:basedOn w:val="DefaultParagraphFont"/>
    <w:rsid w:val="00CC31F6"/>
    <w:rPr>
      <w:b/>
      <w:bCs/>
    </w:rPr>
  </w:style>
  <w:style w:type="paragraph" w:styleId="Subtitle">
    <w:name w:val="Subtitle"/>
    <w:basedOn w:val="Normal"/>
    <w:next w:val="Normal"/>
    <w:link w:val="SubtitleChar"/>
    <w:rsid w:val="00CC31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C31F6"/>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CC31F6"/>
    <w:rPr>
      <w:i/>
      <w:iCs/>
      <w:color w:val="404040" w:themeColor="text1" w:themeTint="BF"/>
    </w:rPr>
  </w:style>
  <w:style w:type="character" w:styleId="SubtleReference">
    <w:name w:val="Subtle Reference"/>
    <w:basedOn w:val="DefaultParagraphFont"/>
    <w:uiPriority w:val="31"/>
    <w:rsid w:val="00CC31F6"/>
    <w:rPr>
      <w:smallCaps/>
      <w:color w:val="5A5A5A" w:themeColor="text1" w:themeTint="A5"/>
    </w:rPr>
  </w:style>
  <w:style w:type="paragraph" w:styleId="TableofAuthorities">
    <w:name w:val="table of authorities"/>
    <w:basedOn w:val="Normal"/>
    <w:next w:val="Normal"/>
    <w:rsid w:val="00CC31F6"/>
    <w:pPr>
      <w:ind w:left="240" w:hanging="240"/>
    </w:pPr>
  </w:style>
  <w:style w:type="paragraph" w:styleId="Title">
    <w:name w:val="Title"/>
    <w:basedOn w:val="Normal"/>
    <w:next w:val="Normal"/>
    <w:link w:val="TitleChar"/>
    <w:rsid w:val="00CC31F6"/>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31F6"/>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CC31F6"/>
    <w:rPr>
      <w:rFonts w:asciiTheme="majorHAnsi" w:eastAsiaTheme="majorEastAsia" w:hAnsiTheme="majorHAnsi" w:cstheme="majorBidi"/>
      <w:b/>
      <w:bCs/>
    </w:rPr>
  </w:style>
  <w:style w:type="paragraph" w:styleId="TOC4">
    <w:name w:val="toc 4"/>
    <w:basedOn w:val="Normal"/>
    <w:next w:val="Normal"/>
    <w:autoRedefine/>
    <w:rsid w:val="00CC31F6"/>
    <w:pPr>
      <w:spacing w:after="100"/>
      <w:ind w:left="720"/>
    </w:pPr>
  </w:style>
  <w:style w:type="paragraph" w:styleId="TOC5">
    <w:name w:val="toc 5"/>
    <w:basedOn w:val="Normal"/>
    <w:next w:val="Normal"/>
    <w:autoRedefine/>
    <w:rsid w:val="00CC31F6"/>
    <w:pPr>
      <w:spacing w:after="100"/>
      <w:ind w:left="960"/>
    </w:pPr>
  </w:style>
  <w:style w:type="paragraph" w:styleId="TOC6">
    <w:name w:val="toc 6"/>
    <w:basedOn w:val="Normal"/>
    <w:next w:val="Normal"/>
    <w:autoRedefine/>
    <w:rsid w:val="00CC31F6"/>
    <w:pPr>
      <w:spacing w:after="100"/>
      <w:ind w:left="1200"/>
    </w:pPr>
  </w:style>
  <w:style w:type="paragraph" w:styleId="TOC7">
    <w:name w:val="toc 7"/>
    <w:basedOn w:val="Normal"/>
    <w:next w:val="Normal"/>
    <w:autoRedefine/>
    <w:rsid w:val="00CC31F6"/>
    <w:pPr>
      <w:spacing w:after="100"/>
      <w:ind w:left="1440"/>
    </w:pPr>
  </w:style>
  <w:style w:type="paragraph" w:styleId="TOC8">
    <w:name w:val="toc 8"/>
    <w:basedOn w:val="Normal"/>
    <w:next w:val="Normal"/>
    <w:autoRedefine/>
    <w:rsid w:val="00CC31F6"/>
    <w:pPr>
      <w:spacing w:after="100"/>
      <w:ind w:left="1680"/>
    </w:pPr>
  </w:style>
  <w:style w:type="paragraph" w:styleId="TOC9">
    <w:name w:val="toc 9"/>
    <w:basedOn w:val="Normal"/>
    <w:next w:val="Normal"/>
    <w:autoRedefine/>
    <w:rsid w:val="00CC31F6"/>
    <w:pPr>
      <w:spacing w:after="100"/>
      <w:ind w:left="1920"/>
    </w:pPr>
  </w:style>
  <w:style w:type="paragraph" w:styleId="TOCHeading">
    <w:name w:val="TOC Heading"/>
    <w:basedOn w:val="Heading1"/>
    <w:next w:val="Normal"/>
    <w:uiPriority w:val="39"/>
    <w:semiHidden/>
    <w:unhideWhenUsed/>
    <w:rsid w:val="00CC31F6"/>
    <w:pPr>
      <w:spacing w:before="240"/>
      <w:ind w:left="0" w:firstLine="0"/>
      <w:outlineLvl w:val="9"/>
    </w:pPr>
    <w:rPr>
      <w:rFonts w:asciiTheme="majorHAnsi" w:eastAsiaTheme="majorEastAsia" w:hAnsiTheme="majorHAnsi" w:cstheme="majorBidi"/>
      <w:b w:val="0"/>
      <w:color w:val="2E74B5" w:themeColor="accent1" w:themeShade="BF"/>
      <w:sz w:val="32"/>
      <w:szCs w:val="32"/>
    </w:rPr>
  </w:style>
  <w:style w:type="character" w:customStyle="1" w:styleId="UnresolvedMention1">
    <w:name w:val="Unresolved Mention1"/>
    <w:basedOn w:val="DefaultParagraphFont"/>
    <w:uiPriority w:val="99"/>
    <w:semiHidden/>
    <w:unhideWhenUsed/>
    <w:rsid w:val="00CC31F6"/>
    <w:rPr>
      <w:color w:val="605E5C"/>
      <w:shd w:val="clear" w:color="auto" w:fill="E1DFDD"/>
    </w:rPr>
  </w:style>
  <w:style w:type="paragraph" w:customStyle="1" w:styleId="TSBHeaderQuestion">
    <w:name w:val="TSBHeaderQuestion"/>
    <w:basedOn w:val="Normal"/>
    <w:qFormat/>
    <w:rsid w:val="00D02B5E"/>
  </w:style>
  <w:style w:type="paragraph" w:customStyle="1" w:styleId="TSBHeaderSource">
    <w:name w:val="TSBHeaderSource"/>
    <w:basedOn w:val="Normal"/>
    <w:qFormat/>
    <w:rsid w:val="00D02B5E"/>
  </w:style>
  <w:style w:type="paragraph" w:customStyle="1" w:styleId="TSBHeaderTitle">
    <w:name w:val="TSBHeaderTitle"/>
    <w:basedOn w:val="Normal"/>
    <w:qFormat/>
    <w:rsid w:val="00D02B5E"/>
  </w:style>
  <w:style w:type="paragraph" w:customStyle="1" w:styleId="TSBHeaderSummary">
    <w:name w:val="TSBHeaderSummary"/>
    <w:basedOn w:val="Normal"/>
    <w:rsid w:val="00D02B5E"/>
  </w:style>
  <w:style w:type="character" w:customStyle="1" w:styleId="Heading7Char">
    <w:name w:val="Heading 7 Char"/>
    <w:basedOn w:val="DefaultParagraphFont"/>
    <w:link w:val="Heading7"/>
    <w:rsid w:val="005717CE"/>
    <w:rPr>
      <w:rFonts w:eastAsiaTheme="minorEastAsia"/>
      <w:b/>
      <w:sz w:val="24"/>
      <w:szCs w:val="24"/>
      <w:lang w:val="en-GB" w:eastAsia="ja-JP"/>
    </w:rPr>
  </w:style>
  <w:style w:type="paragraph" w:customStyle="1" w:styleId="TSBHeaderRight14">
    <w:name w:val="TSBHeaderRight14"/>
    <w:basedOn w:val="Normal"/>
    <w:qFormat/>
    <w:rsid w:val="009B649D"/>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matthewlombard.com/ISPR/Proceedings/2018/P2018-Cahill.pdf" TargetMode="External"/><Relationship Id="rId21" Type="http://schemas.openxmlformats.org/officeDocument/2006/relationships/hyperlink" Target="https://people.clarkson.edu/~jmatthew/acm/VirtualConferences_GuideToBestPractices_CURRENT.pdf" TargetMode="External"/><Relationship Id="rId42" Type="http://schemas.openxmlformats.org/officeDocument/2006/relationships/hyperlink" Target="https://doi.org/10.1007/978-3-319-10190-3" TargetMode="External"/><Relationship Id="rId47" Type="http://schemas.openxmlformats.org/officeDocument/2006/relationships/hyperlink" Target="https://doi.org/10.1109/ISMAR.2010.5643596" TargetMode="External"/><Relationship Id="rId63" Type="http://schemas.openxmlformats.org/officeDocument/2006/relationships/hyperlink" Target="https://doi.org/10.1109/MMSP.2017.8122249" TargetMode="External"/><Relationship Id="rId68" Type="http://schemas.openxmlformats.org/officeDocument/2006/relationships/hyperlink" Target="https://doi.org/10.1162/105474603322761261" TargetMode="Externa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https://doi.org/10.1007/s41233-020-0031-7" TargetMode="External"/><Relationship Id="rId11" Type="http://schemas.openxmlformats.org/officeDocument/2006/relationships/image" Target="media/image1.png"/><Relationship Id="rId24" Type="http://schemas.openxmlformats.org/officeDocument/2006/relationships/hyperlink" Target="https://hal.archives-ouvertes.fr/hal-00977812" TargetMode="External"/><Relationship Id="rId32" Type="http://schemas.openxmlformats.org/officeDocument/2006/relationships/hyperlink" Target="https://www.ericsson.com/en/reports-and-papers/ericsson-technology-review/articles/holographic-communication-in-5g-networks" TargetMode="External"/><Relationship Id="rId37" Type="http://schemas.openxmlformats.org/officeDocument/2006/relationships/hyperlink" Target="https://dl.acm.org/doi/proceedings/10.1145/3394171" TargetMode="External"/><Relationship Id="rId40" Type="http://schemas.openxmlformats.org/officeDocument/2006/relationships/hyperlink" Target="https://doi.org/10.1207/s15327108ijap0303_3" TargetMode="External"/><Relationship Id="rId45" Type="http://schemas.openxmlformats.org/officeDocument/2006/relationships/hyperlink" Target="https://doi.org/10.1145/3243213" TargetMode="External"/><Relationship Id="rId53" Type="http://schemas.openxmlformats.org/officeDocument/2006/relationships/hyperlink" Target="https://www.oculus.com/blog/introducing-a-personal-boundary-for-horizon-worlds-and-venues/" TargetMode="External"/><Relationship Id="rId58" Type="http://schemas.openxmlformats.org/officeDocument/2006/relationships/hyperlink" Target="https://ieeexplore.ieee.org/document/9777989" TargetMode="External"/><Relationship Id="rId66" Type="http://schemas.openxmlformats.org/officeDocument/2006/relationships/hyperlink" Target="https://doi.org/10.1007/978-3-319-10190-3" TargetMode="External"/><Relationship Id="rId5" Type="http://schemas.openxmlformats.org/officeDocument/2006/relationships/numbering" Target="numbering.xml"/><Relationship Id="rId61" Type="http://schemas.openxmlformats.org/officeDocument/2006/relationships/hyperlink" Target="https://doi.org/10.3389/frvir.2020.00001" TargetMode="External"/><Relationship Id="rId19" Type="http://schemas.openxmlformats.org/officeDocument/2006/relationships/hyperlink" Target="https://www.vr-if.org/guidelines/" TargetMode="External"/><Relationship Id="rId14" Type="http://schemas.openxmlformats.org/officeDocument/2006/relationships/image" Target="media/image2.png"/><Relationship Id="rId22" Type="http://schemas.openxmlformats.org/officeDocument/2006/relationships/hyperlink" Target="https://doi.org/10.1109/TVCG.2017.2657138" TargetMode="External"/><Relationship Id="rId27" Type="http://schemas.openxmlformats.org/officeDocument/2006/relationships/hyperlink" Target="https://doi.org/10.1007/s10055-018-0374-z" TargetMode="External"/><Relationship Id="rId30" Type="http://schemas.openxmlformats.org/officeDocument/2006/relationships/hyperlink" Target="https://www.mdpi.com/1660-4601/19/4/2061" TargetMode="External"/><Relationship Id="rId35" Type="http://schemas.openxmlformats.org/officeDocument/2006/relationships/hyperlink" Target="https://doi.org/10.1145/3139131.3141214" TargetMode="External"/><Relationship Id="rId43" Type="http://schemas.openxmlformats.org/officeDocument/2006/relationships/hyperlink" Target="https://arxiv.org/abs/2104.04846v2" TargetMode="External"/><Relationship Id="rId48" Type="http://schemas.openxmlformats.org/officeDocument/2006/relationships/hyperlink" Target="https://www.khronos.org/registry/OpenXR/specs/1.0/html/xrspec.html" TargetMode="External"/><Relationship Id="rId56" Type="http://schemas.openxmlformats.org/officeDocument/2006/relationships/hyperlink" Target="https://doi.org/10.1109/VR.2019.8798291" TargetMode="External"/><Relationship Id="rId64" Type="http://schemas.openxmlformats.org/officeDocument/2006/relationships/hyperlink" Target="https://doi.org/10.1371/journal.pone.0205145"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doi.org/10.1162/105474601300343603" TargetMode="External"/><Relationship Id="rId3" Type="http://schemas.openxmlformats.org/officeDocument/2006/relationships/customXml" Target="../customXml/item3.xml"/><Relationship Id="rId12" Type="http://schemas.openxmlformats.org/officeDocument/2006/relationships/hyperlink" Target="mailto:gunilla.berndtsson@ericsson.com" TargetMode="External"/><Relationship Id="rId17" Type="http://schemas.openxmlformats.org/officeDocument/2006/relationships/image" Target="media/image5.png"/><Relationship Id="rId25" Type="http://schemas.openxmlformats.org/officeDocument/2006/relationships/hyperlink" Target="https://doi.org/10.1016/j.image.2020.116005" TargetMode="External"/><Relationship Id="rId33" Type="http://schemas.openxmlformats.org/officeDocument/2006/relationships/hyperlink" Target="https://proceedings.neurips.cc/paper/1999/file/b618c3210e934362ac261db280128c22-Paper.pdf" TargetMode="External"/><Relationship Id="rId38" Type="http://schemas.openxmlformats.org/officeDocument/2006/relationships/hyperlink" Target="https://doi.org/10.1145/3394171.3413681" TargetMode="External"/><Relationship Id="rId46" Type="http://schemas.openxmlformats.org/officeDocument/2006/relationships/hyperlink" Target="https://doi.org/10.17011/ht/urn.201611174652" TargetMode="External"/><Relationship Id="rId59" Type="http://schemas.openxmlformats.org/officeDocument/2006/relationships/hyperlink" Target="https://doi.org/10.1098/rstb.2009.0138" TargetMode="External"/><Relationship Id="rId67" Type="http://schemas.openxmlformats.org/officeDocument/2006/relationships/hyperlink" Target="https://doi.org/10.1162/105474698565686" TargetMode="External"/><Relationship Id="rId20" Type="http://schemas.openxmlformats.org/officeDocument/2006/relationships/hyperlink" Target="https://www.vr-if.org/guidelines/" TargetMode="External"/><Relationship Id="rId41" Type="http://schemas.openxmlformats.org/officeDocument/2006/relationships/hyperlink" Target="https://doi.org/10.1159/000150000" TargetMode="External"/><Relationship Id="rId54" Type="http://schemas.openxmlformats.org/officeDocument/2006/relationships/hyperlink" Target="https://doi.org/10.1016/j.apacoust.2018.04.021" TargetMode="External"/><Relationship Id="rId62" Type="http://schemas.openxmlformats.org/officeDocument/2006/relationships/hyperlink" Target="https://doi.org/10.1007/978-3-319-10190-3"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doi.org/10.1007/978-3-319-65840-7_9" TargetMode="External"/><Relationship Id="rId28" Type="http://schemas.openxmlformats.org/officeDocument/2006/relationships/hyperlink" Target="https://doi.org/10.1109/QoMEX48832.2020.9123114" TargetMode="External"/><Relationship Id="rId36" Type="http://schemas.openxmlformats.org/officeDocument/2006/relationships/hyperlink" Target="https://doi.org/10.1145/3394171.3413681" TargetMode="External"/><Relationship Id="rId49" Type="http://schemas.openxmlformats.org/officeDocument/2006/relationships/hyperlink" Target="https://doi.org/10.1162/105474601300343603" TargetMode="External"/><Relationship Id="rId57" Type="http://schemas.openxmlformats.org/officeDocument/2006/relationships/hyperlink" Target="http://dx.doi.org/10.14279/depositonce-5811" TargetMode="External"/><Relationship Id="rId10" Type="http://schemas.openxmlformats.org/officeDocument/2006/relationships/endnotes" Target="endnotes.xml"/><Relationship Id="rId31" Type="http://schemas.openxmlformats.org/officeDocument/2006/relationships/hyperlink" Target="https://doi.org/10.3389/fpsyg.2018.02132" TargetMode="External"/><Relationship Id="rId44" Type="http://schemas.openxmlformats.org/officeDocument/2006/relationships/hyperlink" Target="https://doi.org/10.1109/ComManTel.2013.6482371" TargetMode="External"/><Relationship Id="rId52" Type="http://schemas.openxmlformats.org/officeDocument/2006/relationships/hyperlink" Target="https://doi.org/10.1007/978-3-030-85540-6_62" TargetMode="External"/><Relationship Id="rId60" Type="http://schemas.openxmlformats.org/officeDocument/2006/relationships/hyperlink" Target="https://doi.org/10.1145/1778765.1778829" TargetMode="External"/><Relationship Id="rId65" Type="http://schemas.openxmlformats.org/officeDocument/2006/relationships/hyperlink" Target="https://doi.org/10.1109/VRW50115.2020.00025"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janto.skowronek@hft-stuttgart.de" TargetMode="External"/><Relationship Id="rId18" Type="http://schemas.openxmlformats.org/officeDocument/2006/relationships/image" Target="media/image6.png"/><Relationship Id="rId39" Type="http://schemas.openxmlformats.org/officeDocument/2006/relationships/hyperlink" Target="https://doi.org/10.1155/2021/6676644" TargetMode="External"/><Relationship Id="rId34" Type="http://schemas.openxmlformats.org/officeDocument/2006/relationships/hyperlink" Target="https://doi.org/10.1016/j.ijhcs.2008.04.004" TargetMode="External"/><Relationship Id="rId50" Type="http://schemas.openxmlformats.org/officeDocument/2006/relationships/hyperlink" Target="https://doi.org/10.1109/JETCAS.2018.2885981" TargetMode="External"/><Relationship Id="rId55" Type="http://schemas.openxmlformats.org/officeDocument/2006/relationships/hyperlink" Target="https://doi.org/10.1109/QoMEX.2017.79656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3" ma:contentTypeDescription="Create a new document." ma:contentTypeScope="" ma:versionID="729a038b4746369b0e35c611ddcce3a4">
  <xsd:schema xmlns:xsd="http://www.w3.org/2001/XMLSchema" xmlns:xs="http://www.w3.org/2001/XMLSchema" xmlns:p="http://schemas.microsoft.com/office/2006/metadata/properties" xmlns:ns1="http://schemas.microsoft.com/sharepoint/v3" xmlns:ns2="1aaea1ea-72e4-4374-b05e-72e2f16fb7ae" targetNamespace="http://schemas.microsoft.com/office/2006/metadata/properties" ma:root="true" ma:fieldsID="2ed1aefac7e885f4ca034ae4f6afb486" ns1:_="" ns2:_="">
    <xsd:import namespace="http://schemas.microsoft.com/sharepoint/v3"/>
    <xsd:import namespace="1aaea1ea-72e4-4374-b05e-72e2f16fb7ae"/>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aea1ea-72e4-4374-b05e-72e2f16fb7a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E09F04-08B4-4EFE-BE86-8764368D7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aaea1ea-72e4-4374-b05e-72e2f16fb7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47FCCF-4AEE-418A-9328-DB69F2BB5670}">
  <ds:schemaRefs>
    <ds:schemaRef ds:uri="http://schemas.openxmlformats.org/officeDocument/2006/bibliography"/>
  </ds:schemaRefs>
</ds:datastoreItem>
</file>

<file path=customXml/itemProps3.xml><?xml version="1.0" encoding="utf-8"?>
<ds:datastoreItem xmlns:ds="http://schemas.openxmlformats.org/officeDocument/2006/customXml" ds:itemID="{9EF561ED-57AB-4E4B-8887-0B8769730D9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7CA4B30-CACD-4912-856F-AEEF8A2DA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16337</Words>
  <Characters>104064</Characters>
  <Application>Microsoft Office Word</Application>
  <DocSecurity>0</DocSecurity>
  <Lines>4524</Lines>
  <Paragraphs>3168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Recommendation - Unformatted template (T21)</vt:lpstr>
      <vt:lpstr>Recommendation - Unformatted template (T21)</vt:lpstr>
    </vt:vector>
  </TitlesOfParts>
  <Manager>ITU-T</Manager>
  <Company>International Telecommunication Union (ITU)</Company>
  <LinksUpToDate>false</LinksUpToDate>
  <CharactersWithSpaces>117233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QoE Assessment of eXtended Reality (XR) Meetings</dc:title>
  <dc:subject/>
  <dc:creator>Rapporteurs Q10/12</dc:creator>
  <cp:keywords/>
  <dc:description>SG12-TD116  For: Geneva, 7-17 June 2022_x000d_Document date: _x000d_Saved by ITU51013862 at 12:28:19 on 13.06.2022</dc:description>
  <cp:lastModifiedBy>Adolph, Martin</cp:lastModifiedBy>
  <cp:revision>3</cp:revision>
  <cp:lastPrinted>2002-08-01T07:30:00Z</cp:lastPrinted>
  <dcterms:created xsi:type="dcterms:W3CDTF">2022-06-17T12:40:00Z</dcterms:created>
  <dcterms:modified xsi:type="dcterms:W3CDTF">2022-06-17T12:56:00Z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Docnum">
    <vt:lpwstr>SG12-TD116</vt:lpwstr>
  </property>
  <property fmtid="{D5CDD505-2E9C-101B-9397-08002B2CF9AE}" pid="4" name="Docdate">
    <vt:lpwstr/>
  </property>
  <property fmtid="{D5CDD505-2E9C-101B-9397-08002B2CF9AE}" pid="5" name="Docorlang">
    <vt:lpwstr/>
  </property>
  <property fmtid="{D5CDD505-2E9C-101B-9397-08002B2CF9AE}" pid="6" name="Docbluepink">
    <vt:lpwstr>10</vt:lpwstr>
  </property>
  <property fmtid="{D5CDD505-2E9C-101B-9397-08002B2CF9AE}" pid="7" name="Docdest">
    <vt:lpwstr>Geneva, 7-17 June 2022</vt:lpwstr>
  </property>
  <property fmtid="{D5CDD505-2E9C-101B-9397-08002B2CF9AE}" pid="8" name="Docauthor">
    <vt:lpwstr>Rapporteurs Q10/12</vt:lpwstr>
  </property>
</Properties>
</file>