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A5CDF" w14:textId="7F8507A8" w:rsidR="00E64EBF" w:rsidRDefault="00E64EBF" w:rsidP="00E64EBF">
      <w:pPr>
        <w:rPr>
          <w:rFonts w:ascii="Times New Roman" w:hAnsi="Times New Roman" w:cs="Times New Roman"/>
          <w:b/>
          <w:sz w:val="28"/>
          <w:u w:val="single"/>
          <w:lang w:val="en-US"/>
        </w:rPr>
      </w:pPr>
      <w:r w:rsidRPr="00E64EBF">
        <w:rPr>
          <w:rFonts w:ascii="Times New Roman" w:hAnsi="Times New Roman" w:cs="Times New Roman"/>
          <w:b/>
          <w:sz w:val="28"/>
          <w:u w:val="single"/>
          <w:lang w:val="en-US"/>
        </w:rPr>
        <w:t xml:space="preserve"> Introduction </w:t>
      </w:r>
    </w:p>
    <w:p w14:paraId="3B7F1CD9" w14:textId="5F68D149" w:rsidR="00844E2E" w:rsidRDefault="00970512" w:rsidP="00E64EBF">
      <w:pPr>
        <w:rPr>
          <w:rFonts w:ascii="Times New Roman" w:hAnsi="Times New Roman" w:cs="Times New Roman"/>
          <w:lang w:val="en-US"/>
        </w:rPr>
      </w:pPr>
      <w:r>
        <w:rPr>
          <w:rFonts w:ascii="Times New Roman" w:hAnsi="Times New Roman" w:cs="Times New Roman"/>
          <w:lang w:val="en-US"/>
        </w:rPr>
        <w:t>This contribution provides comments on TR 23.716</w:t>
      </w:r>
      <w:r w:rsidR="006A5FDF">
        <w:rPr>
          <w:rFonts w:ascii="Times New Roman" w:hAnsi="Times New Roman" w:cs="Times New Roman"/>
          <w:lang w:val="en-US"/>
        </w:rPr>
        <w:t>. A number of items may require further discussion. We believe this would be a good time to consider moving many conversations to the joint mailing list.</w:t>
      </w:r>
    </w:p>
    <w:p w14:paraId="2F9434D4" w14:textId="29939F3D" w:rsidR="00B37155" w:rsidRDefault="00970512" w:rsidP="00E64EBF">
      <w:pPr>
        <w:rPr>
          <w:rFonts w:ascii="Times New Roman" w:hAnsi="Times New Roman" w:cs="Times New Roman"/>
          <w:b/>
          <w:sz w:val="28"/>
          <w:u w:val="single"/>
          <w:lang w:val="en-US"/>
        </w:rPr>
      </w:pPr>
      <w:r>
        <w:rPr>
          <w:rFonts w:ascii="Times New Roman" w:hAnsi="Times New Roman" w:cs="Times New Roman"/>
          <w:b/>
          <w:sz w:val="28"/>
          <w:u w:val="single"/>
          <w:lang w:val="en-US"/>
        </w:rPr>
        <w:t>Comments</w:t>
      </w:r>
      <w:r w:rsidR="00580ABC">
        <w:rPr>
          <w:rFonts w:ascii="Times New Roman" w:hAnsi="Times New Roman" w:cs="Times New Roman"/>
          <w:b/>
          <w:sz w:val="28"/>
          <w:u w:val="single"/>
          <w:lang w:val="en-US"/>
        </w:rPr>
        <w:t xml:space="preserve"> in Response to Editor’s Notes in TR 23.716</w:t>
      </w:r>
    </w:p>
    <w:p w14:paraId="4A1CCD6E" w14:textId="77777777" w:rsidR="00580ABC" w:rsidRDefault="00580ABC" w:rsidP="00580ABC">
      <w:pPr>
        <w:rPr>
          <w:rFonts w:ascii="Times New Roman" w:hAnsi="Times New Roman" w:cs="Times New Roman"/>
          <w:u w:val="single"/>
          <w:lang w:val="en-US"/>
        </w:rPr>
      </w:pPr>
      <w:bookmarkStart w:id="0" w:name="_Hlk526309504"/>
      <w:r>
        <w:rPr>
          <w:rFonts w:ascii="Times New Roman" w:hAnsi="Times New Roman" w:cs="Times New Roman"/>
          <w:u w:val="single"/>
          <w:lang w:val="en-US"/>
        </w:rPr>
        <w:t>Section 4.2.1</w:t>
      </w:r>
    </w:p>
    <w:p w14:paraId="4E01C309" w14:textId="7EB85769" w:rsidR="00580ABC" w:rsidRDefault="00580ABC" w:rsidP="00580ABC">
      <w:pPr>
        <w:pStyle w:val="EditorsNote"/>
      </w:pPr>
      <w:r>
        <w:t>Editor's note:</w:t>
      </w:r>
      <w:r w:rsidRPr="00811CCA">
        <w:tab/>
        <w:t>The Identities provided/available for non-3GPP managed devices behind a 5G-RG/5G-CRG are FFS.</w:t>
      </w:r>
    </w:p>
    <w:p w14:paraId="71F158BA" w14:textId="20ADD523" w:rsidR="00E26E51" w:rsidRDefault="00CC3FDC" w:rsidP="00E26E51">
      <w:pPr>
        <w:pStyle w:val="EditorsNote"/>
        <w:ind w:left="851"/>
        <w:rPr>
          <w:color w:val="auto"/>
          <w:sz w:val="22"/>
          <w:szCs w:val="22"/>
        </w:rPr>
      </w:pPr>
      <w:r>
        <w:rPr>
          <w:color w:val="auto"/>
          <w:sz w:val="22"/>
          <w:szCs w:val="22"/>
        </w:rPr>
        <w:t xml:space="preserve">In </w:t>
      </w:r>
      <w:r w:rsidR="00E26E51">
        <w:rPr>
          <w:color w:val="auto"/>
          <w:sz w:val="22"/>
          <w:szCs w:val="22"/>
        </w:rPr>
        <w:t>residential scenarios, m</w:t>
      </w:r>
      <w:r w:rsidR="004371C6">
        <w:rPr>
          <w:color w:val="auto"/>
          <w:sz w:val="22"/>
          <w:szCs w:val="22"/>
        </w:rPr>
        <w:t>ost end systems connected to a premises network are unmanaged devices, and the only persistent identification offered</w:t>
      </w:r>
      <w:r w:rsidR="00E26E51">
        <w:rPr>
          <w:color w:val="auto"/>
          <w:sz w:val="22"/>
          <w:szCs w:val="22"/>
        </w:rPr>
        <w:t xml:space="preserve"> to the RG and possibly the 5GC</w:t>
      </w:r>
      <w:r w:rsidR="004371C6">
        <w:rPr>
          <w:color w:val="auto"/>
          <w:sz w:val="22"/>
          <w:szCs w:val="22"/>
        </w:rPr>
        <w:t xml:space="preserve"> is the Ethernet MAC address of the interface of attachment to the home </w:t>
      </w:r>
      <w:r w:rsidR="004371C6" w:rsidRPr="00E26E51">
        <w:rPr>
          <w:color w:val="auto"/>
          <w:sz w:val="22"/>
          <w:szCs w:val="22"/>
        </w:rPr>
        <w:t>network.</w:t>
      </w:r>
      <w:r w:rsidR="00E26E51" w:rsidRPr="00E26E51">
        <w:rPr>
          <w:color w:val="auto"/>
          <w:sz w:val="22"/>
          <w:szCs w:val="22"/>
        </w:rPr>
        <w:t xml:space="preserve">  The </w:t>
      </w:r>
      <w:r w:rsidR="00E26E51" w:rsidRPr="00E26E51">
        <w:rPr>
          <w:color w:val="auto"/>
          <w:sz w:val="22"/>
          <w:szCs w:val="22"/>
        </w:rPr>
        <w:t xml:space="preserve">BBF kindly ask SA2 to take </w:t>
      </w:r>
      <w:r w:rsidR="00E26E51">
        <w:rPr>
          <w:color w:val="auto"/>
          <w:sz w:val="22"/>
          <w:szCs w:val="22"/>
        </w:rPr>
        <w:t xml:space="preserve">this information </w:t>
      </w:r>
      <w:r w:rsidR="00E26E51" w:rsidRPr="00E26E51">
        <w:rPr>
          <w:color w:val="auto"/>
          <w:sz w:val="22"/>
          <w:szCs w:val="22"/>
        </w:rPr>
        <w:t xml:space="preserve">into account and to provide </w:t>
      </w:r>
      <w:r w:rsidR="00E26E51">
        <w:rPr>
          <w:color w:val="auto"/>
          <w:sz w:val="22"/>
          <w:szCs w:val="22"/>
        </w:rPr>
        <w:t xml:space="preserve">a </w:t>
      </w:r>
      <w:r w:rsidR="00E26E51" w:rsidRPr="00E26E51">
        <w:rPr>
          <w:color w:val="auto"/>
          <w:sz w:val="22"/>
          <w:szCs w:val="22"/>
        </w:rPr>
        <w:t xml:space="preserve">3GPP definition </w:t>
      </w:r>
      <w:proofErr w:type="gramStart"/>
      <w:r w:rsidR="00E26E51" w:rsidRPr="00E26E51">
        <w:rPr>
          <w:color w:val="auto"/>
          <w:sz w:val="22"/>
          <w:szCs w:val="22"/>
        </w:rPr>
        <w:t>of  “</w:t>
      </w:r>
      <w:proofErr w:type="gramEnd"/>
      <w:r w:rsidR="00E26E51" w:rsidRPr="00E26E51">
        <w:rPr>
          <w:color w:val="auto"/>
          <w:sz w:val="22"/>
          <w:szCs w:val="22"/>
        </w:rPr>
        <w:t>non-3GPP managed devices”</w:t>
      </w:r>
      <w:r w:rsidR="00E26E51" w:rsidRPr="00E26E51">
        <w:rPr>
          <w:color w:val="auto"/>
          <w:sz w:val="22"/>
          <w:szCs w:val="22"/>
        </w:rPr>
        <w:t>.</w:t>
      </w:r>
    </w:p>
    <w:p w14:paraId="34A41473" w14:textId="77777777" w:rsidR="00580ABC" w:rsidRDefault="00580ABC" w:rsidP="00580ABC">
      <w:pPr>
        <w:rPr>
          <w:rFonts w:ascii="Times New Roman" w:hAnsi="Times New Roman" w:cs="Times New Roman"/>
          <w:u w:val="single"/>
          <w:lang w:val="en-US"/>
        </w:rPr>
      </w:pPr>
      <w:r>
        <w:rPr>
          <w:rFonts w:ascii="Times New Roman" w:hAnsi="Times New Roman" w:cs="Times New Roman"/>
          <w:u w:val="single"/>
          <w:lang w:val="en-US"/>
        </w:rPr>
        <w:t>Section 4.2.2.1</w:t>
      </w:r>
    </w:p>
    <w:p w14:paraId="15B15400" w14:textId="205B28A7" w:rsidR="00580ABC" w:rsidRDefault="00580ABC" w:rsidP="00580ABC">
      <w:pPr>
        <w:pStyle w:val="EditorsNote"/>
      </w:pPr>
      <w:r>
        <w:t>Editor's note:</w:t>
      </w:r>
      <w:r w:rsidRPr="00811CCA">
        <w:tab/>
        <w:t>Impacts to architecture principles due to security requirements for wireline access are FFS and require input from BBF.</w:t>
      </w:r>
    </w:p>
    <w:p w14:paraId="53625595" w14:textId="3598401F" w:rsidR="006A5FDF" w:rsidRDefault="006A5FDF" w:rsidP="00E26E51">
      <w:pPr>
        <w:pStyle w:val="EditorsNote"/>
        <w:ind w:left="851"/>
        <w:rPr>
          <w:color w:val="auto"/>
          <w:sz w:val="22"/>
        </w:rPr>
      </w:pPr>
      <w:r>
        <w:rPr>
          <w:color w:val="auto"/>
          <w:sz w:val="22"/>
        </w:rPr>
        <w:t>We would observe that</w:t>
      </w:r>
      <w:r w:rsidR="00E26E51">
        <w:rPr>
          <w:color w:val="auto"/>
          <w:sz w:val="22"/>
        </w:rPr>
        <w:t xml:space="preserve"> a</w:t>
      </w:r>
      <w:r>
        <w:rPr>
          <w:color w:val="auto"/>
          <w:sz w:val="22"/>
        </w:rPr>
        <w:t xml:space="preserve"> 5G-RG itself would be subject to 3GPP security requirements. </w:t>
      </w:r>
    </w:p>
    <w:bookmarkEnd w:id="0"/>
    <w:p w14:paraId="4EF03DC5" w14:textId="77777777" w:rsidR="00580ABC" w:rsidRDefault="00580ABC" w:rsidP="00580ABC">
      <w:pPr>
        <w:rPr>
          <w:rFonts w:ascii="Times New Roman" w:hAnsi="Times New Roman" w:cs="Times New Roman"/>
          <w:u w:val="single"/>
          <w:lang w:val="en-US"/>
        </w:rPr>
      </w:pPr>
      <w:r>
        <w:rPr>
          <w:rFonts w:ascii="Times New Roman" w:hAnsi="Times New Roman" w:cs="Times New Roman"/>
          <w:u w:val="single"/>
          <w:lang w:val="en-US"/>
        </w:rPr>
        <w:t>Section 4.2.2.2</w:t>
      </w:r>
      <w:bookmarkStart w:id="1" w:name="_GoBack"/>
      <w:bookmarkEnd w:id="1"/>
    </w:p>
    <w:p w14:paraId="6D5ACFEB" w14:textId="027F1DD8" w:rsidR="00580ABC" w:rsidRDefault="00580ABC" w:rsidP="00580ABC">
      <w:pPr>
        <w:pStyle w:val="EditorsNote"/>
      </w:pPr>
      <w:r>
        <w:t>Editor's note:</w:t>
      </w:r>
      <w:r w:rsidRPr="00811CCA">
        <w:tab/>
        <w:t>Whether the scenario is applicable is FFS and require input from BBF.</w:t>
      </w:r>
    </w:p>
    <w:p w14:paraId="09603055" w14:textId="5F503BCD" w:rsidR="00A2594D" w:rsidRDefault="00053AA4" w:rsidP="006C750E">
      <w:pPr>
        <w:pStyle w:val="EditorsNote"/>
        <w:ind w:left="851"/>
        <w:rPr>
          <w:color w:val="auto"/>
          <w:sz w:val="22"/>
        </w:rPr>
      </w:pPr>
      <w:r>
        <w:rPr>
          <w:color w:val="auto"/>
          <w:sz w:val="22"/>
        </w:rPr>
        <w:t>S</w:t>
      </w:r>
      <w:r w:rsidR="006C750E">
        <w:rPr>
          <w:color w:val="auto"/>
          <w:sz w:val="22"/>
        </w:rPr>
        <w:t>uch scenarios do exist.</w:t>
      </w:r>
    </w:p>
    <w:p w14:paraId="73F3DB18" w14:textId="5D04B077" w:rsidR="00580ABC" w:rsidRDefault="00580ABC" w:rsidP="00580ABC">
      <w:pPr>
        <w:rPr>
          <w:rFonts w:ascii="Times New Roman" w:hAnsi="Times New Roman" w:cs="Times New Roman"/>
          <w:u w:val="single"/>
          <w:lang w:val="en-US"/>
        </w:rPr>
      </w:pPr>
      <w:r>
        <w:rPr>
          <w:rFonts w:ascii="Times New Roman" w:hAnsi="Times New Roman" w:cs="Times New Roman"/>
          <w:u w:val="single"/>
          <w:lang w:val="en-US"/>
        </w:rPr>
        <w:t>Section 4.2.2.5</w:t>
      </w:r>
    </w:p>
    <w:p w14:paraId="544B6A80" w14:textId="2C4ECBDE" w:rsidR="00580ABC" w:rsidRDefault="00580ABC" w:rsidP="00580ABC">
      <w:pPr>
        <w:pStyle w:val="EditorsNote"/>
      </w:pPr>
      <w:r>
        <w:t>Editor's note:</w:t>
      </w:r>
      <w:r w:rsidRPr="00811CCA">
        <w:tab/>
        <w:t>Whether the scenario is applicable is FFS and require input from BBF.</w:t>
      </w:r>
    </w:p>
    <w:p w14:paraId="65EFDBE9" w14:textId="77E17F63" w:rsidR="006C750E" w:rsidRPr="006C750E" w:rsidRDefault="006C750E" w:rsidP="006C750E">
      <w:pPr>
        <w:pStyle w:val="EditorsNote"/>
        <w:ind w:left="851"/>
        <w:rPr>
          <w:color w:val="auto"/>
          <w:sz w:val="22"/>
        </w:rPr>
      </w:pPr>
      <w:r>
        <w:rPr>
          <w:color w:val="auto"/>
          <w:sz w:val="22"/>
        </w:rPr>
        <w:t>The BBF considers the scenario of providing support for 5GC capable UEs connected via an FN-RG to be applicable.</w:t>
      </w:r>
    </w:p>
    <w:p w14:paraId="7091A375" w14:textId="77777777" w:rsidR="00580ABC" w:rsidRDefault="00580ABC" w:rsidP="00580ABC">
      <w:pPr>
        <w:rPr>
          <w:rFonts w:ascii="Times New Roman" w:hAnsi="Times New Roman" w:cs="Times New Roman"/>
          <w:u w:val="single"/>
          <w:lang w:val="en-US"/>
        </w:rPr>
      </w:pPr>
      <w:r>
        <w:rPr>
          <w:rFonts w:ascii="Times New Roman" w:hAnsi="Times New Roman" w:cs="Times New Roman"/>
          <w:u w:val="single"/>
          <w:lang w:val="en-US"/>
        </w:rPr>
        <w:t>Section 4.2.2.6</w:t>
      </w:r>
    </w:p>
    <w:p w14:paraId="2479D8AC" w14:textId="20E0F9B2" w:rsidR="00580ABC" w:rsidRDefault="00580ABC" w:rsidP="00580ABC">
      <w:pPr>
        <w:pStyle w:val="EditorsNote"/>
      </w:pPr>
      <w:r>
        <w:t>Editor's note:</w:t>
      </w:r>
      <w:r w:rsidRPr="00811CCA">
        <w:tab/>
        <w:t>Whether the scenario is applicable is FFS and require input from BBF.</w:t>
      </w:r>
    </w:p>
    <w:p w14:paraId="59F3B4ED" w14:textId="35F6D6F8" w:rsidR="006C750E" w:rsidRPr="006C750E" w:rsidRDefault="006C750E" w:rsidP="006C750E">
      <w:pPr>
        <w:pStyle w:val="EditorsNote"/>
        <w:ind w:left="851"/>
        <w:rPr>
          <w:color w:val="auto"/>
          <w:sz w:val="22"/>
        </w:rPr>
      </w:pPr>
      <w:r w:rsidRPr="006C750E">
        <w:rPr>
          <w:color w:val="auto"/>
          <w:sz w:val="22"/>
        </w:rPr>
        <w:t>The BBF considers the scenario of providing FN-RG access to the 5GC to be applicable</w:t>
      </w:r>
      <w:r>
        <w:rPr>
          <w:color w:val="auto"/>
          <w:sz w:val="22"/>
        </w:rPr>
        <w:t xml:space="preserve">, and that premises devices that are also not using 3GPP procedures will connect to a DN via </w:t>
      </w:r>
      <w:r w:rsidR="004371C6">
        <w:rPr>
          <w:color w:val="auto"/>
          <w:sz w:val="22"/>
        </w:rPr>
        <w:t xml:space="preserve">the connectivity established to support </w:t>
      </w:r>
      <w:r>
        <w:rPr>
          <w:color w:val="auto"/>
          <w:sz w:val="22"/>
        </w:rPr>
        <w:t>the FN-RG</w:t>
      </w:r>
      <w:r w:rsidR="004371C6">
        <w:rPr>
          <w:color w:val="auto"/>
          <w:sz w:val="22"/>
        </w:rPr>
        <w:t xml:space="preserve">. For wireline this is </w:t>
      </w:r>
      <w:r>
        <w:rPr>
          <w:color w:val="auto"/>
          <w:sz w:val="22"/>
        </w:rPr>
        <w:t>the high running use case for FN-RG support.</w:t>
      </w:r>
    </w:p>
    <w:p w14:paraId="7796F8DC" w14:textId="74E2CFDD" w:rsidR="0093718F" w:rsidRDefault="0093718F" w:rsidP="00580ABC">
      <w:pPr>
        <w:rPr>
          <w:rFonts w:ascii="Times New Roman" w:hAnsi="Times New Roman" w:cs="Times New Roman"/>
          <w:u w:val="single"/>
          <w:lang w:val="en-US"/>
        </w:rPr>
      </w:pPr>
      <w:r>
        <w:rPr>
          <w:rFonts w:ascii="Times New Roman" w:hAnsi="Times New Roman" w:cs="Times New Roman"/>
          <w:u w:val="single"/>
          <w:lang w:val="en-US"/>
        </w:rPr>
        <w:t>Section 6.1</w:t>
      </w:r>
    </w:p>
    <w:p w14:paraId="7C05881F" w14:textId="105FFADF" w:rsidR="0093718F" w:rsidRDefault="0093718F" w:rsidP="0093718F">
      <w:pPr>
        <w:pStyle w:val="EditorsNote"/>
      </w:pPr>
      <w:r>
        <w:t>Editor's note:</w:t>
      </w:r>
      <w:r w:rsidRPr="00811CCA">
        <w:tab/>
        <w:t>The definition of network element included in W-5GAN (e.g. Optical termination, BNG, etc) and functionalities needs to be agreed with BBF.</w:t>
      </w:r>
    </w:p>
    <w:p w14:paraId="4D27EDF0" w14:textId="7D31C016" w:rsidR="00262581" w:rsidRPr="00154314" w:rsidRDefault="00262581" w:rsidP="00262581">
      <w:pPr>
        <w:pStyle w:val="EditorsNote"/>
        <w:ind w:left="851"/>
        <w:rPr>
          <w:color w:val="auto"/>
          <w:sz w:val="22"/>
        </w:rPr>
      </w:pPr>
      <w:r w:rsidRPr="00154314">
        <w:rPr>
          <w:color w:val="auto"/>
          <w:sz w:val="22"/>
        </w:rPr>
        <w:lastRenderedPageBreak/>
        <w:t>There are significant variations in the equipment deployed in the W-5GAN. At this point we would not consider a BNG to be part of the W-5GAN. We would observe that there are two deployment scenarios that actually matter and are considered by the BBF:</w:t>
      </w:r>
    </w:p>
    <w:p w14:paraId="4CFF8271" w14:textId="4C950229" w:rsidR="00262581" w:rsidRPr="00154314" w:rsidRDefault="00262581" w:rsidP="00262581">
      <w:pPr>
        <w:pStyle w:val="EditorsNote"/>
        <w:numPr>
          <w:ilvl w:val="0"/>
          <w:numId w:val="7"/>
        </w:numPr>
        <w:rPr>
          <w:color w:val="auto"/>
          <w:sz w:val="22"/>
        </w:rPr>
      </w:pPr>
      <w:r w:rsidRPr="00154314">
        <w:rPr>
          <w:color w:val="auto"/>
          <w:sz w:val="22"/>
        </w:rPr>
        <w:t>Where there are already deployed access nodes (PON OLTs, DSLAMs etc.) which are not amenable to modification, and are specified in TR-101 or TR-178.  Older generation TR-59 ATM based equipment will not be addressed by the BBF for FMC.  This a-priori deployed equipment has capabilities that the BBF will specifically consider when specifying the protocol structure for UP and CP transport between the FAGF and the 5G-RG.</w:t>
      </w:r>
    </w:p>
    <w:p w14:paraId="42C2998E" w14:textId="5A8562DA" w:rsidR="00262581" w:rsidRPr="00154314" w:rsidRDefault="00262581" w:rsidP="00262581">
      <w:pPr>
        <w:pStyle w:val="EditorsNote"/>
        <w:numPr>
          <w:ilvl w:val="0"/>
          <w:numId w:val="7"/>
        </w:numPr>
        <w:rPr>
          <w:color w:val="auto"/>
          <w:sz w:val="22"/>
        </w:rPr>
      </w:pPr>
      <w:r w:rsidRPr="00154314">
        <w:rPr>
          <w:color w:val="auto"/>
          <w:sz w:val="22"/>
        </w:rPr>
        <w:t xml:space="preserve">Where access nodes that will support 3GPP procedures are deployed. This scenario of course permits some simplification </w:t>
      </w:r>
      <w:r w:rsidR="00154314">
        <w:rPr>
          <w:color w:val="auto"/>
          <w:sz w:val="22"/>
        </w:rPr>
        <w:t xml:space="preserve">to the internals to the W-5GAN </w:t>
      </w:r>
      <w:r w:rsidRPr="00154314">
        <w:rPr>
          <w:color w:val="auto"/>
          <w:sz w:val="22"/>
        </w:rPr>
        <w:t xml:space="preserve">as constraints are relaxed, but our intention would be that 5GC and 5G-RG implementations do not need </w:t>
      </w:r>
      <w:r w:rsidR="00154314">
        <w:rPr>
          <w:color w:val="auto"/>
          <w:sz w:val="22"/>
        </w:rPr>
        <w:t xml:space="preserve">any </w:t>
      </w:r>
      <w:r w:rsidRPr="00154314">
        <w:rPr>
          <w:color w:val="auto"/>
          <w:sz w:val="22"/>
        </w:rPr>
        <w:t>knowledge of the deployment scenario in order to operate correctly</w:t>
      </w:r>
      <w:r w:rsidR="00154314">
        <w:rPr>
          <w:color w:val="auto"/>
          <w:sz w:val="22"/>
        </w:rPr>
        <w:t>; it would be transparent to specified procedures.</w:t>
      </w:r>
    </w:p>
    <w:p w14:paraId="7B4404B2" w14:textId="11B9AF81" w:rsidR="0093718F" w:rsidRPr="00053AA4" w:rsidRDefault="0093718F" w:rsidP="0093718F">
      <w:pPr>
        <w:pStyle w:val="EditorsNote"/>
      </w:pPr>
      <w:r>
        <w:t>Editor's note:</w:t>
      </w:r>
      <w:r w:rsidRPr="00811CCA">
        <w:tab/>
        <w:t xml:space="preserve">For all figure above whether the UPF is equivalent to the BNG is FFS and needs to be verified </w:t>
      </w:r>
      <w:r w:rsidRPr="00053AA4">
        <w:t>with BBF.</w:t>
      </w:r>
    </w:p>
    <w:p w14:paraId="1B8E9293" w14:textId="530626CE" w:rsidR="00154314" w:rsidRDefault="00154314" w:rsidP="00154314">
      <w:pPr>
        <w:pStyle w:val="EditorsNote"/>
        <w:ind w:left="851"/>
        <w:rPr>
          <w:color w:val="auto"/>
          <w:sz w:val="22"/>
        </w:rPr>
      </w:pPr>
      <w:r w:rsidRPr="00053AA4">
        <w:rPr>
          <w:color w:val="auto"/>
          <w:sz w:val="22"/>
        </w:rPr>
        <w:t>We are not clear on what “equivalent to the BNG” means. In currently specified networks the BNG is a policy enforcement point and a home network gateway</w:t>
      </w:r>
      <w:r w:rsidR="00053AA4" w:rsidRPr="00053AA4">
        <w:rPr>
          <w:color w:val="auto"/>
          <w:sz w:val="22"/>
        </w:rPr>
        <w:t xml:space="preserve"> (in the 3GPP interpretation of the term ‘home’)</w:t>
      </w:r>
      <w:r w:rsidRPr="00053AA4">
        <w:rPr>
          <w:color w:val="auto"/>
          <w:sz w:val="22"/>
        </w:rPr>
        <w:t xml:space="preserve">, and therefore is logically analogous to a home UPF, and therefore could </w:t>
      </w:r>
      <w:proofErr w:type="gramStart"/>
      <w:r w:rsidRPr="00053AA4">
        <w:rPr>
          <w:color w:val="auto"/>
          <w:sz w:val="22"/>
        </w:rPr>
        <w:t>be considered to be</w:t>
      </w:r>
      <w:proofErr w:type="gramEnd"/>
      <w:r w:rsidRPr="00053AA4">
        <w:rPr>
          <w:color w:val="auto"/>
          <w:sz w:val="22"/>
        </w:rPr>
        <w:t xml:space="preserve"> equivalent.  There are also scenarios whereby it could be considered to be analogous to a visited UPF.</w:t>
      </w:r>
    </w:p>
    <w:p w14:paraId="4D7903E4" w14:textId="77777777" w:rsidR="00E917C5" w:rsidRPr="000463E1" w:rsidRDefault="00E917C5" w:rsidP="00E917C5">
      <w:pPr>
        <w:rPr>
          <w:rFonts w:ascii="Times New Roman" w:hAnsi="Times New Roman" w:cs="Times New Roman"/>
          <w:u w:val="single"/>
          <w:lang w:val="en-US"/>
        </w:rPr>
      </w:pPr>
      <w:r w:rsidRPr="000463E1">
        <w:rPr>
          <w:rFonts w:ascii="Times New Roman" w:hAnsi="Times New Roman" w:cs="Times New Roman"/>
          <w:u w:val="single"/>
          <w:lang w:val="en-US"/>
        </w:rPr>
        <w:t>Section 6.3.3</w:t>
      </w:r>
    </w:p>
    <w:p w14:paraId="369711A1" w14:textId="77777777" w:rsidR="00E917C5" w:rsidRDefault="00E917C5" w:rsidP="00E917C5">
      <w:pPr>
        <w:rPr>
          <w:rFonts w:ascii="Times New Roman" w:hAnsi="Times New Roman" w:cs="Times New Roman"/>
          <w:lang w:val="en-US"/>
        </w:rPr>
      </w:pPr>
      <w:r>
        <w:rPr>
          <w:rFonts w:ascii="Times New Roman" w:hAnsi="Times New Roman" w:cs="Times New Roman"/>
          <w:lang w:val="en-US"/>
        </w:rPr>
        <w:t xml:space="preserve">Re: </w:t>
      </w:r>
      <w:r w:rsidRPr="0073147A">
        <w:rPr>
          <w:rFonts w:ascii="Times New Roman" w:hAnsi="Times New Roman" w:cs="Times New Roman"/>
          <w:color w:val="FF0000"/>
          <w:lang w:val="en-US"/>
        </w:rPr>
        <w:t>Editor's note: BBF needs to provide feedback if multiple user plane connections are needed for QoS and what a FCP UP connection is (e.g., a separate VLAN identity).</w:t>
      </w:r>
    </w:p>
    <w:p w14:paraId="5C8C121F" w14:textId="4224BBBE" w:rsidR="00E917C5" w:rsidRDefault="00E917C5" w:rsidP="00E917C5">
      <w:pPr>
        <w:rPr>
          <w:rFonts w:ascii="Times New Roman" w:hAnsi="Times New Roman" w:cs="Times New Roman"/>
          <w:lang w:val="en-US"/>
        </w:rPr>
      </w:pPr>
      <w:r>
        <w:rPr>
          <w:rFonts w:ascii="Times New Roman" w:hAnsi="Times New Roman" w:cs="Times New Roman"/>
          <w:lang w:val="en-US"/>
        </w:rPr>
        <w:t>A minimum functionality in a deployed</w:t>
      </w:r>
      <w:r w:rsidR="00E26E51">
        <w:rPr>
          <w:rFonts w:ascii="Times New Roman" w:hAnsi="Times New Roman" w:cs="Times New Roman"/>
          <w:lang w:val="en-US"/>
        </w:rPr>
        <w:t>,</w:t>
      </w:r>
      <w:r>
        <w:rPr>
          <w:rFonts w:ascii="Times New Roman" w:hAnsi="Times New Roman" w:cs="Times New Roman"/>
          <w:lang w:val="en-US"/>
        </w:rPr>
        <w:t xml:space="preserve"> BBF specified wireline AN would be support for 802.1Q P-bit marking providing strict priority queuing of up to 8 traffic classes (with a minimum implementation of 4 queues). More sophisticated implementations will identify IETF </w:t>
      </w:r>
      <w:proofErr w:type="spellStart"/>
      <w:r>
        <w:rPr>
          <w:rFonts w:ascii="Times New Roman" w:hAnsi="Times New Roman" w:cs="Times New Roman"/>
          <w:lang w:val="en-US"/>
        </w:rPr>
        <w:t>Diffserv</w:t>
      </w:r>
      <w:proofErr w:type="spellEnd"/>
      <w:r>
        <w:rPr>
          <w:rFonts w:ascii="Times New Roman" w:hAnsi="Times New Roman" w:cs="Times New Roman"/>
          <w:lang w:val="en-US"/>
        </w:rPr>
        <w:t xml:space="preserve"> marking in packets and provide the appropriate behaviors.  Therefore it is expected that QFI mappings to differentiated packet marking would be supported in the context of a single session, hence multiple connections to provide QoS differentiation is not required.</w:t>
      </w:r>
    </w:p>
    <w:p w14:paraId="0CBD62C6" w14:textId="2E0B91EA" w:rsidR="00E917C5" w:rsidRDefault="00E917C5" w:rsidP="00E917C5">
      <w:pPr>
        <w:rPr>
          <w:rFonts w:ascii="Times New Roman" w:hAnsi="Times New Roman" w:cs="Times New Roman"/>
          <w:lang w:val="en-US"/>
        </w:rPr>
      </w:pPr>
      <w:r w:rsidRPr="00766D45">
        <w:rPr>
          <w:rFonts w:ascii="Times New Roman" w:hAnsi="Times New Roman" w:cs="Times New Roman"/>
          <w:lang w:val="en-US"/>
        </w:rPr>
        <w:t>The actual delineation of PDU sessions in BBF networks is still a topic for study. Hence we are not ready to comment on the relationship between VLANs and PDU sessions.</w:t>
      </w:r>
    </w:p>
    <w:p w14:paraId="379DCD21" w14:textId="5D068B96" w:rsidR="00580ABC" w:rsidRDefault="00580ABC" w:rsidP="00580ABC">
      <w:pPr>
        <w:rPr>
          <w:rFonts w:ascii="Times New Roman" w:hAnsi="Times New Roman" w:cs="Times New Roman"/>
          <w:u w:val="single"/>
          <w:lang w:val="en-US"/>
        </w:rPr>
      </w:pPr>
      <w:r w:rsidRPr="000507D0">
        <w:rPr>
          <w:rFonts w:ascii="Times New Roman" w:hAnsi="Times New Roman" w:cs="Times New Roman"/>
          <w:u w:val="single"/>
          <w:lang w:val="en-US"/>
        </w:rPr>
        <w:t>Section 6.19</w:t>
      </w:r>
    </w:p>
    <w:p w14:paraId="33CD81A3" w14:textId="413D1D95" w:rsidR="00580ABC" w:rsidRDefault="00580ABC" w:rsidP="00580ABC">
      <w:pPr>
        <w:pStyle w:val="EditorsNote"/>
      </w:pPr>
      <w:r>
        <w:t>Editor's note:</w:t>
      </w:r>
      <w:r>
        <w:tab/>
      </w:r>
      <w:r w:rsidRPr="00811CCA">
        <w:t xml:space="preserve">whether roaming scenario is applicable to FWA is </w:t>
      </w:r>
      <w:r w:rsidRPr="005343A3">
        <w:t>should be discussed in BBF</w:t>
      </w:r>
      <w:r w:rsidRPr="00811CCA">
        <w:t>.</w:t>
      </w:r>
    </w:p>
    <w:p w14:paraId="60A4BF22" w14:textId="34A1DFFD" w:rsidR="00154314" w:rsidRPr="00154314" w:rsidRDefault="00E61708" w:rsidP="00154314">
      <w:pPr>
        <w:pStyle w:val="EditorsNote"/>
        <w:ind w:left="851"/>
        <w:rPr>
          <w:color w:val="auto"/>
          <w:sz w:val="22"/>
        </w:rPr>
      </w:pPr>
      <w:r>
        <w:rPr>
          <w:color w:val="auto"/>
          <w:sz w:val="22"/>
        </w:rPr>
        <w:t>These items are still under discussion at BBF.</w:t>
      </w:r>
    </w:p>
    <w:p w14:paraId="6DF30FAC" w14:textId="77777777" w:rsidR="00580ABC" w:rsidRPr="00811CCA" w:rsidRDefault="00580ABC" w:rsidP="00580ABC">
      <w:pPr>
        <w:pStyle w:val="EditorsNote"/>
      </w:pPr>
      <w:r>
        <w:t>Editor's note:</w:t>
      </w:r>
      <w:r>
        <w:tab/>
      </w:r>
      <w:r w:rsidRPr="00811CCA">
        <w:t xml:space="preserve">Whether and how BBF wholesale model </w:t>
      </w:r>
      <w:r>
        <w:t xml:space="preserve">or 3GPP roaming model </w:t>
      </w:r>
      <w:r w:rsidRPr="00811CCA">
        <w:t xml:space="preserve">is applied to FWA is </w:t>
      </w:r>
      <w:r w:rsidRPr="005343A3">
        <w:t>should be discussed in BBF</w:t>
      </w:r>
      <w:r w:rsidRPr="00811CCA">
        <w:t>.</w:t>
      </w:r>
    </w:p>
    <w:p w14:paraId="20AD21F0" w14:textId="77777777" w:rsidR="00580ABC" w:rsidRDefault="00580ABC" w:rsidP="00580ABC">
      <w:pPr>
        <w:rPr>
          <w:rFonts w:ascii="Times New Roman" w:hAnsi="Times New Roman" w:cs="Times New Roman"/>
          <w:u w:val="single"/>
          <w:lang w:val="en-US"/>
        </w:rPr>
      </w:pPr>
      <w:r>
        <w:rPr>
          <w:rFonts w:ascii="Times New Roman" w:hAnsi="Times New Roman" w:cs="Times New Roman"/>
          <w:u w:val="single"/>
          <w:lang w:val="en-US"/>
        </w:rPr>
        <w:t>Section 6.20.1</w:t>
      </w:r>
    </w:p>
    <w:p w14:paraId="4E926876" w14:textId="6F9EB826" w:rsidR="00580ABC" w:rsidRDefault="00580ABC" w:rsidP="00580ABC">
      <w:pPr>
        <w:pStyle w:val="EditorsNote"/>
        <w:rPr>
          <w:lang w:eastAsia="zh-CN"/>
        </w:rPr>
      </w:pPr>
      <w:r>
        <w:t>Editor's note:</w:t>
      </w:r>
      <w:r w:rsidRPr="00811CCA">
        <w:rPr>
          <w:lang w:val="en-US"/>
        </w:rPr>
        <w:tab/>
      </w:r>
      <w:r w:rsidRPr="00811CCA">
        <w:rPr>
          <w:rFonts w:hint="eastAsia"/>
          <w:lang w:val="en-US" w:eastAsia="zh-CN"/>
        </w:rPr>
        <w:t>T</w:t>
      </w:r>
      <w:r w:rsidRPr="00811CCA">
        <w:rPr>
          <w:rFonts w:hint="eastAsia"/>
          <w:lang w:eastAsia="zh-CN"/>
        </w:rPr>
        <w:t xml:space="preserve">he ACS may also send QoS object to the RG including QoS policy (L2 and L3 marking, see details in BBF TR-198) to some specific flows. </w:t>
      </w:r>
      <w:r w:rsidRPr="00811CCA">
        <w:rPr>
          <w:lang w:eastAsia="zh-CN"/>
        </w:rPr>
        <w:t>W</w:t>
      </w:r>
      <w:r w:rsidRPr="00811CCA">
        <w:rPr>
          <w:rFonts w:hint="eastAsia"/>
          <w:lang w:eastAsia="zh-CN"/>
        </w:rPr>
        <w:t>hether the 5G-RG receives both the QoS object from the ACS and the QoS rule from the 5GC, and the coordination between them are FFS.</w:t>
      </w:r>
    </w:p>
    <w:p w14:paraId="370B7FE4" w14:textId="657B2445" w:rsidR="00154314" w:rsidRDefault="00766D45" w:rsidP="00154314">
      <w:pPr>
        <w:pStyle w:val="EditorsNote"/>
        <w:ind w:left="851"/>
        <w:rPr>
          <w:color w:val="auto"/>
          <w:sz w:val="22"/>
          <w:lang w:eastAsia="zh-CN"/>
        </w:rPr>
      </w:pPr>
      <w:r w:rsidRPr="00053AA4">
        <w:rPr>
          <w:color w:val="000000" w:themeColor="text1"/>
          <w:sz w:val="22"/>
          <w:lang w:eastAsia="zh-CN"/>
        </w:rPr>
        <w:lastRenderedPageBreak/>
        <w:t xml:space="preserve">BBF will study a solution that </w:t>
      </w:r>
      <w:r w:rsidR="00154314" w:rsidRPr="00053AA4">
        <w:rPr>
          <w:color w:val="000000" w:themeColor="text1"/>
          <w:sz w:val="22"/>
          <w:lang w:eastAsia="zh-CN"/>
        </w:rPr>
        <w:t xml:space="preserve">should ensure that coordination </w:t>
      </w:r>
      <w:r w:rsidRPr="00053AA4">
        <w:rPr>
          <w:color w:val="000000" w:themeColor="text1"/>
          <w:sz w:val="22"/>
          <w:lang w:eastAsia="zh-CN"/>
        </w:rPr>
        <w:t xml:space="preserve">between ACS operation and NAS </w:t>
      </w:r>
      <w:r w:rsidR="00154314" w:rsidRPr="00053AA4">
        <w:rPr>
          <w:color w:val="000000" w:themeColor="text1"/>
          <w:sz w:val="22"/>
          <w:lang w:eastAsia="zh-CN"/>
        </w:rPr>
        <w:t>would not be required; the RG would not receive conflicting information with respect to the same managed function from both NAS and the ACS.</w:t>
      </w:r>
    </w:p>
    <w:p w14:paraId="61BE5F8A" w14:textId="77777777" w:rsidR="00580ABC" w:rsidRDefault="00580ABC" w:rsidP="00580ABC">
      <w:pPr>
        <w:rPr>
          <w:rFonts w:ascii="Times New Roman" w:hAnsi="Times New Roman" w:cs="Times New Roman"/>
          <w:u w:val="single"/>
          <w:lang w:val="en-US"/>
        </w:rPr>
      </w:pPr>
      <w:r>
        <w:rPr>
          <w:rFonts w:ascii="Times New Roman" w:hAnsi="Times New Roman" w:cs="Times New Roman"/>
          <w:u w:val="single"/>
          <w:lang w:val="en-US"/>
        </w:rPr>
        <w:t>Section 6.22.1</w:t>
      </w:r>
    </w:p>
    <w:p w14:paraId="5F6427D1" w14:textId="2AC3FCA6" w:rsidR="00580ABC" w:rsidRDefault="00580ABC" w:rsidP="00580ABC">
      <w:pPr>
        <w:pStyle w:val="EditorsNote"/>
      </w:pPr>
      <w:bookmarkStart w:id="2" w:name="_Hlk526260106"/>
      <w:r>
        <w:t>Editor's note:</w:t>
      </w:r>
      <w:r>
        <w:tab/>
        <w:t>BBF terminology used in migration scenario may change, L-AGF (legacy AGF) is used as interim term for the AGF.</w:t>
      </w:r>
    </w:p>
    <w:p w14:paraId="3BC0295F" w14:textId="12B068AF" w:rsidR="00154314" w:rsidRPr="00154314" w:rsidRDefault="00BC4074" w:rsidP="00154314">
      <w:pPr>
        <w:pStyle w:val="EditorsNote"/>
        <w:ind w:left="0" w:firstLine="0"/>
        <w:rPr>
          <w:color w:val="auto"/>
          <w:sz w:val="22"/>
        </w:rPr>
      </w:pPr>
      <w:r>
        <w:rPr>
          <w:color w:val="auto"/>
          <w:sz w:val="22"/>
        </w:rPr>
        <w:t xml:space="preserve">We are in the process of clarifying our terminology with respect to FN-RG support. We will communicate this clarification as soon as possible. </w:t>
      </w:r>
    </w:p>
    <w:bookmarkEnd w:id="2"/>
    <w:p w14:paraId="2C0372D4" w14:textId="58B659F6" w:rsidR="0059617D" w:rsidRDefault="0059617D" w:rsidP="00580ABC">
      <w:pPr>
        <w:rPr>
          <w:rFonts w:ascii="Times New Roman" w:hAnsi="Times New Roman" w:cs="Times New Roman"/>
          <w:u w:val="single"/>
          <w:lang w:val="en-US"/>
        </w:rPr>
      </w:pPr>
      <w:r>
        <w:rPr>
          <w:rFonts w:ascii="Times New Roman" w:hAnsi="Times New Roman" w:cs="Times New Roman"/>
          <w:u w:val="single"/>
          <w:lang w:val="en-US"/>
        </w:rPr>
        <w:t>Section 6.23</w:t>
      </w:r>
    </w:p>
    <w:p w14:paraId="0A492947" w14:textId="059786C7" w:rsidR="0059617D" w:rsidRDefault="0059617D" w:rsidP="0059617D">
      <w:pPr>
        <w:pStyle w:val="EditorsNote"/>
      </w:pPr>
      <w:r>
        <w:t>Editor's note:</w:t>
      </w:r>
      <w:r>
        <w:tab/>
        <w:t>BBF terminology used in migration scenario may change, L-AGF (legacy AGF) is used as interim term for the AGF.</w:t>
      </w:r>
    </w:p>
    <w:p w14:paraId="211A4514" w14:textId="07E9EF2B" w:rsidR="00154314" w:rsidRPr="00154314" w:rsidRDefault="00154314" w:rsidP="00154314">
      <w:pPr>
        <w:pStyle w:val="EditorsNote"/>
        <w:ind w:left="851"/>
        <w:rPr>
          <w:color w:val="auto"/>
          <w:sz w:val="22"/>
        </w:rPr>
      </w:pPr>
      <w:r w:rsidRPr="00154314">
        <w:rPr>
          <w:color w:val="auto"/>
          <w:sz w:val="22"/>
        </w:rPr>
        <w:t>&lt;see 6.22.1&gt;</w:t>
      </w:r>
    </w:p>
    <w:p w14:paraId="20587257" w14:textId="1B590CAE" w:rsidR="00580ABC" w:rsidRDefault="00580ABC" w:rsidP="00580ABC">
      <w:pPr>
        <w:rPr>
          <w:rFonts w:ascii="Times New Roman" w:hAnsi="Times New Roman" w:cs="Times New Roman"/>
          <w:u w:val="single"/>
          <w:lang w:val="en-US"/>
        </w:rPr>
      </w:pPr>
      <w:r>
        <w:rPr>
          <w:rFonts w:ascii="Times New Roman" w:hAnsi="Times New Roman" w:cs="Times New Roman"/>
          <w:u w:val="single"/>
          <w:lang w:val="en-US"/>
        </w:rPr>
        <w:t>Section 6.24.2</w:t>
      </w:r>
    </w:p>
    <w:p w14:paraId="272EBBC2" w14:textId="77777777" w:rsidR="00154314" w:rsidRDefault="00154314" w:rsidP="00154314">
      <w:pPr>
        <w:pStyle w:val="EditorsNote"/>
      </w:pPr>
      <w:r>
        <w:t>Editor's note:</w:t>
      </w:r>
      <w:r>
        <w:tab/>
        <w:t>the disconnection of the FN-RG will trigger the FAGF to release the PDU session and de-register the FN-RG; however this shall be delayed to avoid unnecessary signalling for short disruptions in connectivity. It is FFS (in BBF), what timer value should be used for the PDU session release/de-registration. The timers used will influence whether the 5G-RG could be connected before these actions are executed.</w:t>
      </w:r>
    </w:p>
    <w:p w14:paraId="46E5BFD1" w14:textId="77777777" w:rsidR="00154314" w:rsidRDefault="00154314" w:rsidP="00154314">
      <w:pPr>
        <w:rPr>
          <w:rFonts w:ascii="Times New Roman" w:hAnsi="Times New Roman" w:cs="Times New Roman"/>
          <w:lang w:val="en-US"/>
        </w:rPr>
      </w:pPr>
      <w:r>
        <w:rPr>
          <w:rFonts w:ascii="Times New Roman" w:hAnsi="Times New Roman" w:cs="Times New Roman"/>
          <w:lang w:val="en-US"/>
        </w:rPr>
        <w:t>We suspect this is a moot point. The FAGF should be able to distinguish the equipment change irrespective of whether it occurs before or after the deregistration timer expires and invoke the appropriate procedures. Which is if the FN-RG was replaced with a 5G-RG all FAGF initiated sessions would be torn down, and 5G-RG initiated sessions would take their place.</w:t>
      </w:r>
    </w:p>
    <w:p w14:paraId="76FC938F" w14:textId="77777777" w:rsidR="00154314" w:rsidRDefault="00154314" w:rsidP="00154314">
      <w:pPr>
        <w:pStyle w:val="EditorsNote"/>
      </w:pPr>
      <w:r>
        <w:t>Editor's note:</w:t>
      </w:r>
      <w:r>
        <w:tab/>
        <w:t>It is FFS whether reverse migration to FN-RG mode shall be supported as well. This may be required where customers are allowed to use BYO device for RG and may (knowingly or unknowingly) revert to an FN-RG, after already using a 5G-RG. If reverse migration is to be supported, step 8 is not applicable and the procedure for the reverse migration itself is FFS.</w:t>
      </w:r>
    </w:p>
    <w:p w14:paraId="52B5BE99" w14:textId="77777777" w:rsidR="00154314" w:rsidRDefault="00154314" w:rsidP="00154314">
      <w:pPr>
        <w:rPr>
          <w:rFonts w:ascii="Times New Roman" w:hAnsi="Times New Roman" w:cs="Times New Roman"/>
          <w:lang w:val="en-US"/>
        </w:rPr>
      </w:pPr>
      <w:r>
        <w:rPr>
          <w:rFonts w:ascii="Times New Roman" w:hAnsi="Times New Roman" w:cs="Times New Roman"/>
          <w:lang w:val="en-US"/>
        </w:rPr>
        <w:t>We can also postulate additional scenarios where reverse migration on a specific line-ID (which does not change with a subscriber change on the same access facility) would need to be supported.</w:t>
      </w:r>
    </w:p>
    <w:p w14:paraId="215DD1EB" w14:textId="77777777" w:rsidR="00154314" w:rsidRPr="00D666AE" w:rsidRDefault="00154314" w:rsidP="00154314">
      <w:pPr>
        <w:rPr>
          <w:rFonts w:ascii="Times New Roman" w:hAnsi="Times New Roman" w:cs="Times New Roman"/>
          <w:u w:val="single"/>
          <w:lang w:val="en-US"/>
        </w:rPr>
      </w:pPr>
      <w:r w:rsidRPr="00D666AE">
        <w:rPr>
          <w:rFonts w:ascii="Times New Roman" w:hAnsi="Times New Roman" w:cs="Times New Roman"/>
          <w:u w:val="single"/>
          <w:lang w:val="en-US"/>
        </w:rPr>
        <w:t>Section 7.1</w:t>
      </w:r>
    </w:p>
    <w:p w14:paraId="274AF226" w14:textId="77777777" w:rsidR="00154314" w:rsidRDefault="00154314" w:rsidP="00154314">
      <w:pPr>
        <w:rPr>
          <w:rFonts w:ascii="Times New Roman" w:hAnsi="Times New Roman" w:cs="Times New Roman"/>
          <w:lang w:val="en-US"/>
        </w:rPr>
      </w:pPr>
      <w:r>
        <w:rPr>
          <w:rFonts w:ascii="Times New Roman" w:hAnsi="Times New Roman" w:cs="Times New Roman"/>
          <w:lang w:val="en-US"/>
        </w:rPr>
        <w:t>The BBF would like to understand the relationship between a TNAP and the W-5GAN. Is the TNAP simply a generalized form of the concept of wireline access to the 5GC?</w:t>
      </w:r>
    </w:p>
    <w:p w14:paraId="611D2EEB" w14:textId="77777777" w:rsidR="00580ABC" w:rsidRPr="00811CCA" w:rsidRDefault="00580ABC" w:rsidP="00580ABC">
      <w:pPr>
        <w:pStyle w:val="EditorsNote"/>
      </w:pPr>
    </w:p>
    <w:p w14:paraId="0E969034" w14:textId="77777777" w:rsidR="00970512" w:rsidRPr="00970512" w:rsidRDefault="00970512" w:rsidP="00E64EBF">
      <w:pPr>
        <w:rPr>
          <w:rFonts w:ascii="Times New Roman" w:hAnsi="Times New Roman" w:cs="Times New Roman"/>
          <w:lang w:val="en-US"/>
        </w:rPr>
      </w:pPr>
    </w:p>
    <w:sectPr w:rsidR="00970512" w:rsidRPr="0097051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A2AFF" w14:textId="77777777" w:rsidR="00CB6ED7" w:rsidRDefault="00CB6ED7" w:rsidP="002B1181">
      <w:pPr>
        <w:spacing w:after="0" w:line="240" w:lineRule="auto"/>
      </w:pPr>
      <w:r>
        <w:separator/>
      </w:r>
    </w:p>
  </w:endnote>
  <w:endnote w:type="continuationSeparator" w:id="0">
    <w:p w14:paraId="7C68CF2F" w14:textId="77777777" w:rsidR="00CB6ED7" w:rsidRDefault="00CB6ED7" w:rsidP="002B1181">
      <w:pPr>
        <w:spacing w:after="0" w:line="240" w:lineRule="auto"/>
      </w:pPr>
      <w:r>
        <w:continuationSeparator/>
      </w:r>
    </w:p>
  </w:endnote>
  <w:endnote w:type="continuationNotice" w:id="1">
    <w:p w14:paraId="6A5B8455" w14:textId="77777777" w:rsidR="00CB6ED7" w:rsidRDefault="00CB6E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4536E" w14:textId="77777777" w:rsidR="003C709B" w:rsidRDefault="003C7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56AC2" w14:textId="77777777" w:rsidR="00CB6ED7" w:rsidRDefault="00CB6ED7" w:rsidP="002B1181">
      <w:pPr>
        <w:spacing w:after="0" w:line="240" w:lineRule="auto"/>
      </w:pPr>
      <w:r>
        <w:separator/>
      </w:r>
    </w:p>
  </w:footnote>
  <w:footnote w:type="continuationSeparator" w:id="0">
    <w:p w14:paraId="2BBBBF6B" w14:textId="77777777" w:rsidR="00CB6ED7" w:rsidRDefault="00CB6ED7" w:rsidP="002B1181">
      <w:pPr>
        <w:spacing w:after="0" w:line="240" w:lineRule="auto"/>
      </w:pPr>
      <w:r>
        <w:continuationSeparator/>
      </w:r>
    </w:p>
  </w:footnote>
  <w:footnote w:type="continuationNotice" w:id="1">
    <w:p w14:paraId="31C666FB" w14:textId="77777777" w:rsidR="00CB6ED7" w:rsidRDefault="00CB6E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0BFC4" w14:textId="77777777" w:rsidR="003C709B" w:rsidRDefault="003C7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1D24"/>
    <w:multiLevelType w:val="hybridMultilevel"/>
    <w:tmpl w:val="3CF85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A202D"/>
    <w:multiLevelType w:val="hybridMultilevel"/>
    <w:tmpl w:val="D9FC4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01825"/>
    <w:multiLevelType w:val="hybridMultilevel"/>
    <w:tmpl w:val="5396F956"/>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98F17D0"/>
    <w:multiLevelType w:val="hybridMultilevel"/>
    <w:tmpl w:val="CF98A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41BA5"/>
    <w:multiLevelType w:val="hybridMultilevel"/>
    <w:tmpl w:val="CD12C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C80179"/>
    <w:multiLevelType w:val="hybridMultilevel"/>
    <w:tmpl w:val="6624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353DCB"/>
    <w:multiLevelType w:val="hybridMultilevel"/>
    <w:tmpl w:val="5E0EB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 w:numId="6">
    <w:abstractNumId w:val="5"/>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78C"/>
    <w:rsid w:val="00010AF7"/>
    <w:rsid w:val="00010C16"/>
    <w:rsid w:val="00013477"/>
    <w:rsid w:val="000143EB"/>
    <w:rsid w:val="00014D9C"/>
    <w:rsid w:val="00014F5C"/>
    <w:rsid w:val="00016AA1"/>
    <w:rsid w:val="0002236A"/>
    <w:rsid w:val="00025AEC"/>
    <w:rsid w:val="00032C01"/>
    <w:rsid w:val="000463E1"/>
    <w:rsid w:val="00046C14"/>
    <w:rsid w:val="000507D0"/>
    <w:rsid w:val="00053AA4"/>
    <w:rsid w:val="00063208"/>
    <w:rsid w:val="00063C21"/>
    <w:rsid w:val="0006648F"/>
    <w:rsid w:val="00073EAD"/>
    <w:rsid w:val="00086216"/>
    <w:rsid w:val="00093AA5"/>
    <w:rsid w:val="00097756"/>
    <w:rsid w:val="000A1128"/>
    <w:rsid w:val="000A2354"/>
    <w:rsid w:val="000B2FA3"/>
    <w:rsid w:val="000B45FE"/>
    <w:rsid w:val="000C3079"/>
    <w:rsid w:val="000C5E17"/>
    <w:rsid w:val="000E2404"/>
    <w:rsid w:val="000E3496"/>
    <w:rsid w:val="000E39F1"/>
    <w:rsid w:val="000E6DA6"/>
    <w:rsid w:val="000F2872"/>
    <w:rsid w:val="000F6ECD"/>
    <w:rsid w:val="00100C37"/>
    <w:rsid w:val="0010564B"/>
    <w:rsid w:val="00114E73"/>
    <w:rsid w:val="00130612"/>
    <w:rsid w:val="001434C7"/>
    <w:rsid w:val="001455EF"/>
    <w:rsid w:val="001464EF"/>
    <w:rsid w:val="00146F09"/>
    <w:rsid w:val="00147136"/>
    <w:rsid w:val="0015277E"/>
    <w:rsid w:val="00154314"/>
    <w:rsid w:val="00165C0E"/>
    <w:rsid w:val="00177882"/>
    <w:rsid w:val="00183E8C"/>
    <w:rsid w:val="00185535"/>
    <w:rsid w:val="00192545"/>
    <w:rsid w:val="00196BFB"/>
    <w:rsid w:val="001A2DB0"/>
    <w:rsid w:val="001A3C46"/>
    <w:rsid w:val="001A4C5F"/>
    <w:rsid w:val="001A6C6B"/>
    <w:rsid w:val="001A7D98"/>
    <w:rsid w:val="001A7EA4"/>
    <w:rsid w:val="001B3119"/>
    <w:rsid w:val="001C12A4"/>
    <w:rsid w:val="001C7CCE"/>
    <w:rsid w:val="001D0A92"/>
    <w:rsid w:val="001D3255"/>
    <w:rsid w:val="001D7DA2"/>
    <w:rsid w:val="001E5F8F"/>
    <w:rsid w:val="001F02AE"/>
    <w:rsid w:val="001F1F76"/>
    <w:rsid w:val="002015F5"/>
    <w:rsid w:val="002068C0"/>
    <w:rsid w:val="002079BF"/>
    <w:rsid w:val="00207D01"/>
    <w:rsid w:val="00213B9E"/>
    <w:rsid w:val="00215A1F"/>
    <w:rsid w:val="00225D01"/>
    <w:rsid w:val="00231007"/>
    <w:rsid w:val="00244916"/>
    <w:rsid w:val="00251D90"/>
    <w:rsid w:val="00262581"/>
    <w:rsid w:val="00277D78"/>
    <w:rsid w:val="00285073"/>
    <w:rsid w:val="00294A28"/>
    <w:rsid w:val="002A2926"/>
    <w:rsid w:val="002A78DA"/>
    <w:rsid w:val="002A7F7F"/>
    <w:rsid w:val="002B1181"/>
    <w:rsid w:val="002B1712"/>
    <w:rsid w:val="002C0C95"/>
    <w:rsid w:val="002C2E22"/>
    <w:rsid w:val="002C5454"/>
    <w:rsid w:val="002D7ED2"/>
    <w:rsid w:val="002E2BAF"/>
    <w:rsid w:val="002F2415"/>
    <w:rsid w:val="002F2598"/>
    <w:rsid w:val="002F452E"/>
    <w:rsid w:val="002F6C5C"/>
    <w:rsid w:val="002F7230"/>
    <w:rsid w:val="0030137D"/>
    <w:rsid w:val="00301D62"/>
    <w:rsid w:val="00304757"/>
    <w:rsid w:val="00313D34"/>
    <w:rsid w:val="00324B27"/>
    <w:rsid w:val="00331924"/>
    <w:rsid w:val="0033545E"/>
    <w:rsid w:val="00343D61"/>
    <w:rsid w:val="00343EDF"/>
    <w:rsid w:val="00352C2A"/>
    <w:rsid w:val="003736E3"/>
    <w:rsid w:val="00373EDB"/>
    <w:rsid w:val="0037715D"/>
    <w:rsid w:val="0038443F"/>
    <w:rsid w:val="00386842"/>
    <w:rsid w:val="00396F3D"/>
    <w:rsid w:val="003A1C27"/>
    <w:rsid w:val="003A664A"/>
    <w:rsid w:val="003B1C83"/>
    <w:rsid w:val="003B7A0A"/>
    <w:rsid w:val="003C5A17"/>
    <w:rsid w:val="003C709B"/>
    <w:rsid w:val="003D33E3"/>
    <w:rsid w:val="003D3B93"/>
    <w:rsid w:val="003D6556"/>
    <w:rsid w:val="003F6B9D"/>
    <w:rsid w:val="003F73E1"/>
    <w:rsid w:val="00405708"/>
    <w:rsid w:val="004137B9"/>
    <w:rsid w:val="00413D7F"/>
    <w:rsid w:val="00425D6E"/>
    <w:rsid w:val="0042645D"/>
    <w:rsid w:val="0043556D"/>
    <w:rsid w:val="00436088"/>
    <w:rsid w:val="004371C6"/>
    <w:rsid w:val="00446D89"/>
    <w:rsid w:val="004567E3"/>
    <w:rsid w:val="004739A7"/>
    <w:rsid w:val="00487124"/>
    <w:rsid w:val="00487EF9"/>
    <w:rsid w:val="00495346"/>
    <w:rsid w:val="00495CDB"/>
    <w:rsid w:val="004A2D9B"/>
    <w:rsid w:val="004A7CAB"/>
    <w:rsid w:val="004B27BD"/>
    <w:rsid w:val="004B6051"/>
    <w:rsid w:val="004C479E"/>
    <w:rsid w:val="004C4862"/>
    <w:rsid w:val="004C65F9"/>
    <w:rsid w:val="004C6D21"/>
    <w:rsid w:val="004C6E9A"/>
    <w:rsid w:val="004D3B77"/>
    <w:rsid w:val="004E1244"/>
    <w:rsid w:val="004E38EB"/>
    <w:rsid w:val="004F2339"/>
    <w:rsid w:val="005014D6"/>
    <w:rsid w:val="00512011"/>
    <w:rsid w:val="00532EF9"/>
    <w:rsid w:val="005340D4"/>
    <w:rsid w:val="00543DFF"/>
    <w:rsid w:val="0054654E"/>
    <w:rsid w:val="005476D8"/>
    <w:rsid w:val="005708C8"/>
    <w:rsid w:val="005777E5"/>
    <w:rsid w:val="00580ABC"/>
    <w:rsid w:val="005847A9"/>
    <w:rsid w:val="005874ED"/>
    <w:rsid w:val="0059115E"/>
    <w:rsid w:val="0059617D"/>
    <w:rsid w:val="005A277E"/>
    <w:rsid w:val="005B3B12"/>
    <w:rsid w:val="005B4CB3"/>
    <w:rsid w:val="005B7756"/>
    <w:rsid w:val="005C35F2"/>
    <w:rsid w:val="005D1A8F"/>
    <w:rsid w:val="005F29BB"/>
    <w:rsid w:val="005F5E0D"/>
    <w:rsid w:val="005F62C8"/>
    <w:rsid w:val="00600D0C"/>
    <w:rsid w:val="0061132C"/>
    <w:rsid w:val="00612BA5"/>
    <w:rsid w:val="00616D45"/>
    <w:rsid w:val="00617D3C"/>
    <w:rsid w:val="006203D9"/>
    <w:rsid w:val="00620B58"/>
    <w:rsid w:val="00622C64"/>
    <w:rsid w:val="00627CAA"/>
    <w:rsid w:val="00637F3A"/>
    <w:rsid w:val="00640BF8"/>
    <w:rsid w:val="00660623"/>
    <w:rsid w:val="006728E6"/>
    <w:rsid w:val="006740DE"/>
    <w:rsid w:val="006768EE"/>
    <w:rsid w:val="006775D5"/>
    <w:rsid w:val="0068135B"/>
    <w:rsid w:val="006956B3"/>
    <w:rsid w:val="006A5B72"/>
    <w:rsid w:val="006A5FDF"/>
    <w:rsid w:val="006C2868"/>
    <w:rsid w:val="006C4F9C"/>
    <w:rsid w:val="006C6944"/>
    <w:rsid w:val="006C750E"/>
    <w:rsid w:val="006D1BB1"/>
    <w:rsid w:val="006D28E0"/>
    <w:rsid w:val="006F099E"/>
    <w:rsid w:val="0070044D"/>
    <w:rsid w:val="00712E2E"/>
    <w:rsid w:val="007133FB"/>
    <w:rsid w:val="00720DA3"/>
    <w:rsid w:val="00723293"/>
    <w:rsid w:val="00730279"/>
    <w:rsid w:val="00730582"/>
    <w:rsid w:val="0073147A"/>
    <w:rsid w:val="00731908"/>
    <w:rsid w:val="00736547"/>
    <w:rsid w:val="007525AB"/>
    <w:rsid w:val="00761A45"/>
    <w:rsid w:val="00766230"/>
    <w:rsid w:val="00766D45"/>
    <w:rsid w:val="00772523"/>
    <w:rsid w:val="007779D1"/>
    <w:rsid w:val="00777CA5"/>
    <w:rsid w:val="00782E64"/>
    <w:rsid w:val="00783608"/>
    <w:rsid w:val="00790930"/>
    <w:rsid w:val="00791E50"/>
    <w:rsid w:val="00795E6C"/>
    <w:rsid w:val="00796371"/>
    <w:rsid w:val="007A69F4"/>
    <w:rsid w:val="007B2EEC"/>
    <w:rsid w:val="007B3720"/>
    <w:rsid w:val="007B3F72"/>
    <w:rsid w:val="007B4F80"/>
    <w:rsid w:val="007B7413"/>
    <w:rsid w:val="007C147B"/>
    <w:rsid w:val="007C303D"/>
    <w:rsid w:val="007C4CF5"/>
    <w:rsid w:val="007C626A"/>
    <w:rsid w:val="007C6BE0"/>
    <w:rsid w:val="007C74B2"/>
    <w:rsid w:val="007D0124"/>
    <w:rsid w:val="007D38B9"/>
    <w:rsid w:val="007E0829"/>
    <w:rsid w:val="007E4864"/>
    <w:rsid w:val="007F00BF"/>
    <w:rsid w:val="007F38CF"/>
    <w:rsid w:val="007F6398"/>
    <w:rsid w:val="007F78D0"/>
    <w:rsid w:val="00800443"/>
    <w:rsid w:val="00800AFF"/>
    <w:rsid w:val="008053CE"/>
    <w:rsid w:val="00811DB4"/>
    <w:rsid w:val="00812137"/>
    <w:rsid w:val="00816589"/>
    <w:rsid w:val="008238FD"/>
    <w:rsid w:val="00826DE4"/>
    <w:rsid w:val="00827976"/>
    <w:rsid w:val="00830B6C"/>
    <w:rsid w:val="00834A8A"/>
    <w:rsid w:val="00837A64"/>
    <w:rsid w:val="00840464"/>
    <w:rsid w:val="00841074"/>
    <w:rsid w:val="0084351A"/>
    <w:rsid w:val="008440B8"/>
    <w:rsid w:val="008442C5"/>
    <w:rsid w:val="00844E2E"/>
    <w:rsid w:val="00844EEB"/>
    <w:rsid w:val="00845A24"/>
    <w:rsid w:val="00845D8F"/>
    <w:rsid w:val="00852EE9"/>
    <w:rsid w:val="00853130"/>
    <w:rsid w:val="00855EAA"/>
    <w:rsid w:val="0086449F"/>
    <w:rsid w:val="008677C2"/>
    <w:rsid w:val="008716F1"/>
    <w:rsid w:val="00877C57"/>
    <w:rsid w:val="00880D50"/>
    <w:rsid w:val="00881CC3"/>
    <w:rsid w:val="00882667"/>
    <w:rsid w:val="008844FB"/>
    <w:rsid w:val="0088510F"/>
    <w:rsid w:val="008C0530"/>
    <w:rsid w:val="008C2B5B"/>
    <w:rsid w:val="008C3382"/>
    <w:rsid w:val="008C5C1A"/>
    <w:rsid w:val="008C6250"/>
    <w:rsid w:val="008C787D"/>
    <w:rsid w:val="008D5059"/>
    <w:rsid w:val="008D74AE"/>
    <w:rsid w:val="008E2E2F"/>
    <w:rsid w:val="008E3791"/>
    <w:rsid w:val="008E3FCC"/>
    <w:rsid w:val="008F0F72"/>
    <w:rsid w:val="008F3B39"/>
    <w:rsid w:val="008F7614"/>
    <w:rsid w:val="0090157C"/>
    <w:rsid w:val="00906754"/>
    <w:rsid w:val="009105C5"/>
    <w:rsid w:val="0091271F"/>
    <w:rsid w:val="009153DE"/>
    <w:rsid w:val="009246B7"/>
    <w:rsid w:val="0093276A"/>
    <w:rsid w:val="0093718F"/>
    <w:rsid w:val="00945366"/>
    <w:rsid w:val="00961D0A"/>
    <w:rsid w:val="00966D55"/>
    <w:rsid w:val="00970512"/>
    <w:rsid w:val="009707D0"/>
    <w:rsid w:val="009719CE"/>
    <w:rsid w:val="00971FEA"/>
    <w:rsid w:val="009738B7"/>
    <w:rsid w:val="009768F1"/>
    <w:rsid w:val="009779B4"/>
    <w:rsid w:val="009869A9"/>
    <w:rsid w:val="009870D3"/>
    <w:rsid w:val="00997320"/>
    <w:rsid w:val="009A13DE"/>
    <w:rsid w:val="009A1EC6"/>
    <w:rsid w:val="009A5B79"/>
    <w:rsid w:val="009B1BA9"/>
    <w:rsid w:val="009B7093"/>
    <w:rsid w:val="009B7CC4"/>
    <w:rsid w:val="009B7FD2"/>
    <w:rsid w:val="009C31EB"/>
    <w:rsid w:val="009C3B5E"/>
    <w:rsid w:val="009E3311"/>
    <w:rsid w:val="009E54AF"/>
    <w:rsid w:val="009F0010"/>
    <w:rsid w:val="009F1D87"/>
    <w:rsid w:val="009F73A5"/>
    <w:rsid w:val="00A01F2E"/>
    <w:rsid w:val="00A10AA8"/>
    <w:rsid w:val="00A1632D"/>
    <w:rsid w:val="00A16361"/>
    <w:rsid w:val="00A2594D"/>
    <w:rsid w:val="00A343FE"/>
    <w:rsid w:val="00A40285"/>
    <w:rsid w:val="00A43BAD"/>
    <w:rsid w:val="00A460E4"/>
    <w:rsid w:val="00A5575E"/>
    <w:rsid w:val="00A61ED9"/>
    <w:rsid w:val="00A649E8"/>
    <w:rsid w:val="00A750CF"/>
    <w:rsid w:val="00A755F6"/>
    <w:rsid w:val="00A84DF0"/>
    <w:rsid w:val="00A94375"/>
    <w:rsid w:val="00A946CB"/>
    <w:rsid w:val="00AA033A"/>
    <w:rsid w:val="00AA221F"/>
    <w:rsid w:val="00AA4C7D"/>
    <w:rsid w:val="00AA6400"/>
    <w:rsid w:val="00AC339B"/>
    <w:rsid w:val="00AD03FB"/>
    <w:rsid w:val="00AF765E"/>
    <w:rsid w:val="00B003CA"/>
    <w:rsid w:val="00B04E9E"/>
    <w:rsid w:val="00B078E1"/>
    <w:rsid w:val="00B10155"/>
    <w:rsid w:val="00B1345B"/>
    <w:rsid w:val="00B15CB9"/>
    <w:rsid w:val="00B164E5"/>
    <w:rsid w:val="00B20782"/>
    <w:rsid w:val="00B21011"/>
    <w:rsid w:val="00B232AF"/>
    <w:rsid w:val="00B334C9"/>
    <w:rsid w:val="00B34137"/>
    <w:rsid w:val="00B37155"/>
    <w:rsid w:val="00B373F7"/>
    <w:rsid w:val="00B42B05"/>
    <w:rsid w:val="00B45F3C"/>
    <w:rsid w:val="00B469AB"/>
    <w:rsid w:val="00B47330"/>
    <w:rsid w:val="00B57B01"/>
    <w:rsid w:val="00B728C2"/>
    <w:rsid w:val="00B92251"/>
    <w:rsid w:val="00B970BE"/>
    <w:rsid w:val="00BA3344"/>
    <w:rsid w:val="00BA382B"/>
    <w:rsid w:val="00BB1513"/>
    <w:rsid w:val="00BB24B4"/>
    <w:rsid w:val="00BC38BA"/>
    <w:rsid w:val="00BC4074"/>
    <w:rsid w:val="00BC6E73"/>
    <w:rsid w:val="00BD5D5F"/>
    <w:rsid w:val="00BD6300"/>
    <w:rsid w:val="00BE6621"/>
    <w:rsid w:val="00BF0A5D"/>
    <w:rsid w:val="00BF2150"/>
    <w:rsid w:val="00C00EB6"/>
    <w:rsid w:val="00C02620"/>
    <w:rsid w:val="00C050BC"/>
    <w:rsid w:val="00C05575"/>
    <w:rsid w:val="00C10A85"/>
    <w:rsid w:val="00C21F60"/>
    <w:rsid w:val="00C21FA7"/>
    <w:rsid w:val="00C35D71"/>
    <w:rsid w:val="00C42135"/>
    <w:rsid w:val="00C45B90"/>
    <w:rsid w:val="00C4722B"/>
    <w:rsid w:val="00C61434"/>
    <w:rsid w:val="00C63B2F"/>
    <w:rsid w:val="00C72156"/>
    <w:rsid w:val="00C73241"/>
    <w:rsid w:val="00C749D2"/>
    <w:rsid w:val="00C82850"/>
    <w:rsid w:val="00C8373F"/>
    <w:rsid w:val="00CA0265"/>
    <w:rsid w:val="00CA0388"/>
    <w:rsid w:val="00CA4C3C"/>
    <w:rsid w:val="00CA4F66"/>
    <w:rsid w:val="00CA599B"/>
    <w:rsid w:val="00CB2326"/>
    <w:rsid w:val="00CB6ED7"/>
    <w:rsid w:val="00CC3FDC"/>
    <w:rsid w:val="00CC48BD"/>
    <w:rsid w:val="00CD4058"/>
    <w:rsid w:val="00CE054F"/>
    <w:rsid w:val="00CE140A"/>
    <w:rsid w:val="00CE5E31"/>
    <w:rsid w:val="00D0550C"/>
    <w:rsid w:val="00D15E0F"/>
    <w:rsid w:val="00D167D6"/>
    <w:rsid w:val="00D2037F"/>
    <w:rsid w:val="00D22C62"/>
    <w:rsid w:val="00D24AD1"/>
    <w:rsid w:val="00D3153C"/>
    <w:rsid w:val="00D3283B"/>
    <w:rsid w:val="00D362FA"/>
    <w:rsid w:val="00D41AFE"/>
    <w:rsid w:val="00D46D80"/>
    <w:rsid w:val="00D6493E"/>
    <w:rsid w:val="00D65BB1"/>
    <w:rsid w:val="00D65E94"/>
    <w:rsid w:val="00D666AE"/>
    <w:rsid w:val="00D70E0D"/>
    <w:rsid w:val="00D77141"/>
    <w:rsid w:val="00D83B69"/>
    <w:rsid w:val="00D85EF7"/>
    <w:rsid w:val="00D902D8"/>
    <w:rsid w:val="00D91394"/>
    <w:rsid w:val="00D9556A"/>
    <w:rsid w:val="00DA4C1D"/>
    <w:rsid w:val="00DB386E"/>
    <w:rsid w:val="00DC204E"/>
    <w:rsid w:val="00DD2D86"/>
    <w:rsid w:val="00DD48A8"/>
    <w:rsid w:val="00DE1E55"/>
    <w:rsid w:val="00DE3C57"/>
    <w:rsid w:val="00DE6A3A"/>
    <w:rsid w:val="00DF44E0"/>
    <w:rsid w:val="00DF64DC"/>
    <w:rsid w:val="00E02556"/>
    <w:rsid w:val="00E054F7"/>
    <w:rsid w:val="00E17396"/>
    <w:rsid w:val="00E2078C"/>
    <w:rsid w:val="00E26E51"/>
    <w:rsid w:val="00E33A6C"/>
    <w:rsid w:val="00E54B4D"/>
    <w:rsid w:val="00E61708"/>
    <w:rsid w:val="00E64EBF"/>
    <w:rsid w:val="00E66337"/>
    <w:rsid w:val="00E67FEE"/>
    <w:rsid w:val="00E720F0"/>
    <w:rsid w:val="00E81052"/>
    <w:rsid w:val="00E86D6E"/>
    <w:rsid w:val="00E917C5"/>
    <w:rsid w:val="00EA3A4B"/>
    <w:rsid w:val="00EB0382"/>
    <w:rsid w:val="00EC46D3"/>
    <w:rsid w:val="00EE22CC"/>
    <w:rsid w:val="00EE235F"/>
    <w:rsid w:val="00EE512E"/>
    <w:rsid w:val="00EF0D64"/>
    <w:rsid w:val="00EF195D"/>
    <w:rsid w:val="00EF6FCD"/>
    <w:rsid w:val="00F01666"/>
    <w:rsid w:val="00F02128"/>
    <w:rsid w:val="00F10FD4"/>
    <w:rsid w:val="00F26B05"/>
    <w:rsid w:val="00F27DE9"/>
    <w:rsid w:val="00F41847"/>
    <w:rsid w:val="00F45267"/>
    <w:rsid w:val="00F47AD3"/>
    <w:rsid w:val="00F549AE"/>
    <w:rsid w:val="00F74B24"/>
    <w:rsid w:val="00F801A4"/>
    <w:rsid w:val="00F844EB"/>
    <w:rsid w:val="00F867F3"/>
    <w:rsid w:val="00F91FA9"/>
    <w:rsid w:val="00F95CEA"/>
    <w:rsid w:val="00FB5B67"/>
    <w:rsid w:val="00FB7F3F"/>
    <w:rsid w:val="00FC38C6"/>
    <w:rsid w:val="00FD0C0E"/>
    <w:rsid w:val="00FD1A90"/>
    <w:rsid w:val="00FD7828"/>
    <w:rsid w:val="00FE0FF4"/>
    <w:rsid w:val="00FE48CC"/>
    <w:rsid w:val="00FE7481"/>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A9BC96"/>
  <w15:docId w15:val="{27A8E425-F8E0-42C7-B71C-212388FEC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41074"/>
    <w:rPr>
      <w:color w:val="0000FF"/>
      <w:u w:val="single"/>
    </w:rPr>
  </w:style>
  <w:style w:type="paragraph" w:styleId="ListParagraph">
    <w:name w:val="List Paragraph"/>
    <w:basedOn w:val="Normal"/>
    <w:uiPriority w:val="34"/>
    <w:qFormat/>
    <w:rsid w:val="00CE140A"/>
    <w:pPr>
      <w:ind w:left="720"/>
      <w:contextualSpacing/>
    </w:pPr>
  </w:style>
  <w:style w:type="paragraph" w:styleId="BalloonText">
    <w:name w:val="Balloon Text"/>
    <w:basedOn w:val="Normal"/>
    <w:link w:val="BalloonTextChar"/>
    <w:uiPriority w:val="99"/>
    <w:semiHidden/>
    <w:unhideWhenUsed/>
    <w:rsid w:val="001A6C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6B"/>
    <w:rPr>
      <w:rFonts w:ascii="Tahoma" w:hAnsi="Tahoma" w:cs="Tahoma"/>
      <w:sz w:val="16"/>
      <w:szCs w:val="16"/>
    </w:rPr>
  </w:style>
  <w:style w:type="paragraph" w:customStyle="1" w:styleId="Default">
    <w:name w:val="Default"/>
    <w:rsid w:val="00025AEC"/>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eGrid">
    <w:name w:val="Table Grid"/>
    <w:basedOn w:val="TableNormal"/>
    <w:uiPriority w:val="59"/>
    <w:rsid w:val="00025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025AEC"/>
    <w:pPr>
      <w:adjustRightInd w:val="0"/>
      <w:snapToGrid w:val="0"/>
      <w:spacing w:after="0" w:line="240" w:lineRule="auto"/>
    </w:pPr>
    <w:rPr>
      <w:rFonts w:ascii="Times New Roman" w:eastAsia="Times" w:hAnsi="Times New Roman" w:cs="Times New Roman"/>
      <w:sz w:val="24"/>
      <w:szCs w:val="20"/>
      <w:lang w:val="x-none" w:eastAsia="x-none"/>
    </w:rPr>
  </w:style>
  <w:style w:type="character" w:customStyle="1" w:styleId="BodyTextChar">
    <w:name w:val="Body Text Char"/>
    <w:basedOn w:val="DefaultParagraphFont"/>
    <w:link w:val="BodyText"/>
    <w:rsid w:val="00025AEC"/>
    <w:rPr>
      <w:rFonts w:ascii="Times New Roman" w:eastAsia="Times" w:hAnsi="Times New Roman" w:cs="Times New Roman"/>
      <w:sz w:val="24"/>
      <w:szCs w:val="20"/>
      <w:lang w:val="x-none" w:eastAsia="x-none"/>
    </w:rPr>
  </w:style>
  <w:style w:type="paragraph" w:styleId="FootnoteText">
    <w:name w:val="footnote text"/>
    <w:basedOn w:val="Normal"/>
    <w:link w:val="FootnoteTextChar"/>
    <w:uiPriority w:val="99"/>
    <w:semiHidden/>
    <w:unhideWhenUsed/>
    <w:rsid w:val="002B11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1181"/>
    <w:rPr>
      <w:sz w:val="20"/>
      <w:szCs w:val="20"/>
    </w:rPr>
  </w:style>
  <w:style w:type="character" w:styleId="FootnoteReference">
    <w:name w:val="footnote reference"/>
    <w:basedOn w:val="DefaultParagraphFont"/>
    <w:uiPriority w:val="99"/>
    <w:semiHidden/>
    <w:unhideWhenUsed/>
    <w:rsid w:val="002B1181"/>
    <w:rPr>
      <w:vertAlign w:val="superscript"/>
    </w:rPr>
  </w:style>
  <w:style w:type="paragraph" w:styleId="Header">
    <w:name w:val="header"/>
    <w:basedOn w:val="Normal"/>
    <w:link w:val="HeaderChar"/>
    <w:uiPriority w:val="99"/>
    <w:unhideWhenUsed/>
    <w:rsid w:val="00014D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D9C"/>
  </w:style>
  <w:style w:type="paragraph" w:styleId="Footer">
    <w:name w:val="footer"/>
    <w:basedOn w:val="Normal"/>
    <w:link w:val="FooterChar"/>
    <w:uiPriority w:val="99"/>
    <w:unhideWhenUsed/>
    <w:rsid w:val="00014D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D9C"/>
  </w:style>
  <w:style w:type="paragraph" w:styleId="Revision">
    <w:name w:val="Revision"/>
    <w:hidden/>
    <w:uiPriority w:val="99"/>
    <w:semiHidden/>
    <w:rsid w:val="00014D9C"/>
    <w:pPr>
      <w:spacing w:after="0" w:line="240" w:lineRule="auto"/>
    </w:pPr>
  </w:style>
  <w:style w:type="character" w:styleId="CommentReference">
    <w:name w:val="annotation reference"/>
    <w:basedOn w:val="DefaultParagraphFont"/>
    <w:uiPriority w:val="99"/>
    <w:semiHidden/>
    <w:unhideWhenUsed/>
    <w:rsid w:val="00CA4C3C"/>
    <w:rPr>
      <w:sz w:val="18"/>
      <w:szCs w:val="18"/>
    </w:rPr>
  </w:style>
  <w:style w:type="paragraph" w:styleId="CommentText">
    <w:name w:val="annotation text"/>
    <w:basedOn w:val="Normal"/>
    <w:link w:val="CommentTextChar"/>
    <w:uiPriority w:val="99"/>
    <w:semiHidden/>
    <w:unhideWhenUsed/>
    <w:rsid w:val="00CA4C3C"/>
    <w:pPr>
      <w:spacing w:line="240" w:lineRule="auto"/>
    </w:pPr>
    <w:rPr>
      <w:sz w:val="24"/>
      <w:szCs w:val="24"/>
    </w:rPr>
  </w:style>
  <w:style w:type="character" w:customStyle="1" w:styleId="CommentTextChar">
    <w:name w:val="Comment Text Char"/>
    <w:basedOn w:val="DefaultParagraphFont"/>
    <w:link w:val="CommentText"/>
    <w:uiPriority w:val="99"/>
    <w:semiHidden/>
    <w:rsid w:val="00CA4C3C"/>
    <w:rPr>
      <w:sz w:val="24"/>
      <w:szCs w:val="24"/>
    </w:rPr>
  </w:style>
  <w:style w:type="paragraph" w:styleId="CommentSubject">
    <w:name w:val="annotation subject"/>
    <w:basedOn w:val="CommentText"/>
    <w:next w:val="CommentText"/>
    <w:link w:val="CommentSubjectChar"/>
    <w:uiPriority w:val="99"/>
    <w:semiHidden/>
    <w:unhideWhenUsed/>
    <w:rsid w:val="00CA4C3C"/>
    <w:rPr>
      <w:b/>
      <w:bCs/>
      <w:sz w:val="20"/>
      <w:szCs w:val="20"/>
    </w:rPr>
  </w:style>
  <w:style w:type="character" w:customStyle="1" w:styleId="CommentSubjectChar">
    <w:name w:val="Comment Subject Char"/>
    <w:basedOn w:val="CommentTextChar"/>
    <w:link w:val="CommentSubject"/>
    <w:uiPriority w:val="99"/>
    <w:semiHidden/>
    <w:rsid w:val="00CA4C3C"/>
    <w:rPr>
      <w:b/>
      <w:bCs/>
      <w:sz w:val="20"/>
      <w:szCs w:val="20"/>
    </w:rPr>
  </w:style>
  <w:style w:type="paragraph" w:styleId="EndnoteText">
    <w:name w:val="endnote text"/>
    <w:basedOn w:val="Normal"/>
    <w:link w:val="EndnoteTextChar"/>
    <w:uiPriority w:val="99"/>
    <w:semiHidden/>
    <w:unhideWhenUsed/>
    <w:rsid w:val="001A7EA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7EA4"/>
    <w:rPr>
      <w:sz w:val="20"/>
      <w:szCs w:val="20"/>
    </w:rPr>
  </w:style>
  <w:style w:type="character" w:styleId="EndnoteReference">
    <w:name w:val="endnote reference"/>
    <w:basedOn w:val="DefaultParagraphFont"/>
    <w:uiPriority w:val="99"/>
    <w:semiHidden/>
    <w:unhideWhenUsed/>
    <w:rsid w:val="001A7EA4"/>
    <w:rPr>
      <w:vertAlign w:val="superscript"/>
    </w:rPr>
  </w:style>
  <w:style w:type="paragraph" w:styleId="HTMLPreformatted">
    <w:name w:val="HTML Preformatted"/>
    <w:basedOn w:val="Normal"/>
    <w:link w:val="HTMLPreformattedChar"/>
    <w:uiPriority w:val="99"/>
    <w:unhideWhenUsed/>
    <w:rsid w:val="00E0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en-US"/>
    </w:rPr>
  </w:style>
  <w:style w:type="character" w:customStyle="1" w:styleId="HTMLPreformattedChar">
    <w:name w:val="HTML Preformatted Char"/>
    <w:basedOn w:val="DefaultParagraphFont"/>
    <w:link w:val="HTMLPreformatted"/>
    <w:uiPriority w:val="99"/>
    <w:rsid w:val="00E054F7"/>
    <w:rPr>
      <w:rFonts w:ascii="Courier New" w:eastAsia="Times New Roman" w:hAnsi="Courier New" w:cs="Courier New"/>
      <w:sz w:val="24"/>
      <w:szCs w:val="24"/>
      <w:lang w:val="en-US"/>
    </w:rPr>
  </w:style>
  <w:style w:type="paragraph" w:styleId="NormalWeb">
    <w:name w:val="Normal (Web)"/>
    <w:basedOn w:val="Normal"/>
    <w:uiPriority w:val="99"/>
    <w:semiHidden/>
    <w:unhideWhenUsed/>
    <w:rsid w:val="009246B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71FEA"/>
    <w:rPr>
      <w:b/>
      <w:bCs/>
    </w:rPr>
  </w:style>
  <w:style w:type="paragraph" w:customStyle="1" w:styleId="EditorsNote">
    <w:name w:val="Editor's Note"/>
    <w:basedOn w:val="Normal"/>
    <w:link w:val="EditorsNoteChar"/>
    <w:rsid w:val="005C35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x-none"/>
    </w:rPr>
  </w:style>
  <w:style w:type="character" w:customStyle="1" w:styleId="EditorsNoteChar">
    <w:name w:val="Editor's Note Char"/>
    <w:aliases w:val="EN Char"/>
    <w:link w:val="EditorsNote"/>
    <w:rsid w:val="005C35F2"/>
    <w:rPr>
      <w:rFonts w:ascii="Times New Roman" w:eastAsia="Times New Roman" w:hAnsi="Times New Roman" w:cs="Times New Roman"/>
      <w:color w:val="FF000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120215">
      <w:bodyDiv w:val="1"/>
      <w:marLeft w:val="0"/>
      <w:marRight w:val="0"/>
      <w:marTop w:val="0"/>
      <w:marBottom w:val="0"/>
      <w:divBdr>
        <w:top w:val="none" w:sz="0" w:space="0" w:color="auto"/>
        <w:left w:val="none" w:sz="0" w:space="0" w:color="auto"/>
        <w:bottom w:val="none" w:sz="0" w:space="0" w:color="auto"/>
        <w:right w:val="none" w:sz="0" w:space="0" w:color="auto"/>
      </w:divBdr>
      <w:divsChild>
        <w:div w:id="1448964900">
          <w:marLeft w:val="835"/>
          <w:marRight w:val="0"/>
          <w:marTop w:val="77"/>
          <w:marBottom w:val="0"/>
          <w:divBdr>
            <w:top w:val="none" w:sz="0" w:space="0" w:color="auto"/>
            <w:left w:val="none" w:sz="0" w:space="0" w:color="auto"/>
            <w:bottom w:val="none" w:sz="0" w:space="0" w:color="auto"/>
            <w:right w:val="none" w:sz="0" w:space="0" w:color="auto"/>
          </w:divBdr>
        </w:div>
        <w:div w:id="2030332935">
          <w:marLeft w:val="835"/>
          <w:marRight w:val="0"/>
          <w:marTop w:val="77"/>
          <w:marBottom w:val="0"/>
          <w:divBdr>
            <w:top w:val="none" w:sz="0" w:space="0" w:color="auto"/>
            <w:left w:val="none" w:sz="0" w:space="0" w:color="auto"/>
            <w:bottom w:val="none" w:sz="0" w:space="0" w:color="auto"/>
            <w:right w:val="none" w:sz="0" w:space="0" w:color="auto"/>
          </w:divBdr>
        </w:div>
        <w:div w:id="464005090">
          <w:marLeft w:val="835"/>
          <w:marRight w:val="0"/>
          <w:marTop w:val="77"/>
          <w:marBottom w:val="0"/>
          <w:divBdr>
            <w:top w:val="none" w:sz="0" w:space="0" w:color="auto"/>
            <w:left w:val="none" w:sz="0" w:space="0" w:color="auto"/>
            <w:bottom w:val="none" w:sz="0" w:space="0" w:color="auto"/>
            <w:right w:val="none" w:sz="0" w:space="0" w:color="auto"/>
          </w:divBdr>
        </w:div>
      </w:divsChild>
    </w:div>
    <w:div w:id="427392678">
      <w:bodyDiv w:val="1"/>
      <w:marLeft w:val="0"/>
      <w:marRight w:val="0"/>
      <w:marTop w:val="0"/>
      <w:marBottom w:val="0"/>
      <w:divBdr>
        <w:top w:val="none" w:sz="0" w:space="0" w:color="auto"/>
        <w:left w:val="none" w:sz="0" w:space="0" w:color="auto"/>
        <w:bottom w:val="none" w:sz="0" w:space="0" w:color="auto"/>
        <w:right w:val="none" w:sz="0" w:space="0" w:color="auto"/>
      </w:divBdr>
    </w:div>
    <w:div w:id="447968553">
      <w:bodyDiv w:val="1"/>
      <w:marLeft w:val="0"/>
      <w:marRight w:val="0"/>
      <w:marTop w:val="0"/>
      <w:marBottom w:val="0"/>
      <w:divBdr>
        <w:top w:val="none" w:sz="0" w:space="0" w:color="auto"/>
        <w:left w:val="none" w:sz="0" w:space="0" w:color="auto"/>
        <w:bottom w:val="none" w:sz="0" w:space="0" w:color="auto"/>
        <w:right w:val="none" w:sz="0" w:space="0" w:color="auto"/>
      </w:divBdr>
    </w:div>
    <w:div w:id="565069767">
      <w:bodyDiv w:val="1"/>
      <w:marLeft w:val="0"/>
      <w:marRight w:val="0"/>
      <w:marTop w:val="0"/>
      <w:marBottom w:val="0"/>
      <w:divBdr>
        <w:top w:val="none" w:sz="0" w:space="0" w:color="auto"/>
        <w:left w:val="none" w:sz="0" w:space="0" w:color="auto"/>
        <w:bottom w:val="none" w:sz="0" w:space="0" w:color="auto"/>
        <w:right w:val="none" w:sz="0" w:space="0" w:color="auto"/>
      </w:divBdr>
    </w:div>
    <w:div w:id="608657020">
      <w:bodyDiv w:val="1"/>
      <w:marLeft w:val="0"/>
      <w:marRight w:val="0"/>
      <w:marTop w:val="0"/>
      <w:marBottom w:val="0"/>
      <w:divBdr>
        <w:top w:val="none" w:sz="0" w:space="0" w:color="auto"/>
        <w:left w:val="none" w:sz="0" w:space="0" w:color="auto"/>
        <w:bottom w:val="none" w:sz="0" w:space="0" w:color="auto"/>
        <w:right w:val="none" w:sz="0" w:space="0" w:color="auto"/>
      </w:divBdr>
      <w:divsChild>
        <w:div w:id="264533016">
          <w:marLeft w:val="1166"/>
          <w:marRight w:val="0"/>
          <w:marTop w:val="0"/>
          <w:marBottom w:val="0"/>
          <w:divBdr>
            <w:top w:val="none" w:sz="0" w:space="0" w:color="auto"/>
            <w:left w:val="none" w:sz="0" w:space="0" w:color="auto"/>
            <w:bottom w:val="none" w:sz="0" w:space="0" w:color="auto"/>
            <w:right w:val="none" w:sz="0" w:space="0" w:color="auto"/>
          </w:divBdr>
        </w:div>
        <w:div w:id="1113986364">
          <w:marLeft w:val="2016"/>
          <w:marRight w:val="0"/>
          <w:marTop w:val="0"/>
          <w:marBottom w:val="0"/>
          <w:divBdr>
            <w:top w:val="none" w:sz="0" w:space="0" w:color="auto"/>
            <w:left w:val="none" w:sz="0" w:space="0" w:color="auto"/>
            <w:bottom w:val="none" w:sz="0" w:space="0" w:color="auto"/>
            <w:right w:val="none" w:sz="0" w:space="0" w:color="auto"/>
          </w:divBdr>
        </w:div>
        <w:div w:id="672218511">
          <w:marLeft w:val="2016"/>
          <w:marRight w:val="0"/>
          <w:marTop w:val="0"/>
          <w:marBottom w:val="0"/>
          <w:divBdr>
            <w:top w:val="none" w:sz="0" w:space="0" w:color="auto"/>
            <w:left w:val="none" w:sz="0" w:space="0" w:color="auto"/>
            <w:bottom w:val="none" w:sz="0" w:space="0" w:color="auto"/>
            <w:right w:val="none" w:sz="0" w:space="0" w:color="auto"/>
          </w:divBdr>
        </w:div>
      </w:divsChild>
    </w:div>
    <w:div w:id="764181906">
      <w:bodyDiv w:val="1"/>
      <w:marLeft w:val="0"/>
      <w:marRight w:val="0"/>
      <w:marTop w:val="0"/>
      <w:marBottom w:val="0"/>
      <w:divBdr>
        <w:top w:val="none" w:sz="0" w:space="0" w:color="auto"/>
        <w:left w:val="none" w:sz="0" w:space="0" w:color="auto"/>
        <w:bottom w:val="none" w:sz="0" w:space="0" w:color="auto"/>
        <w:right w:val="none" w:sz="0" w:space="0" w:color="auto"/>
      </w:divBdr>
      <w:divsChild>
        <w:div w:id="586619593">
          <w:marLeft w:val="1166"/>
          <w:marRight w:val="0"/>
          <w:marTop w:val="0"/>
          <w:marBottom w:val="0"/>
          <w:divBdr>
            <w:top w:val="none" w:sz="0" w:space="0" w:color="auto"/>
            <w:left w:val="none" w:sz="0" w:space="0" w:color="auto"/>
            <w:bottom w:val="none" w:sz="0" w:space="0" w:color="auto"/>
            <w:right w:val="none" w:sz="0" w:space="0" w:color="auto"/>
          </w:divBdr>
        </w:div>
      </w:divsChild>
    </w:div>
    <w:div w:id="965351808">
      <w:bodyDiv w:val="1"/>
      <w:marLeft w:val="0"/>
      <w:marRight w:val="0"/>
      <w:marTop w:val="0"/>
      <w:marBottom w:val="0"/>
      <w:divBdr>
        <w:top w:val="none" w:sz="0" w:space="0" w:color="auto"/>
        <w:left w:val="none" w:sz="0" w:space="0" w:color="auto"/>
        <w:bottom w:val="none" w:sz="0" w:space="0" w:color="auto"/>
        <w:right w:val="none" w:sz="0" w:space="0" w:color="auto"/>
      </w:divBdr>
    </w:div>
    <w:div w:id="966815304">
      <w:bodyDiv w:val="1"/>
      <w:marLeft w:val="0"/>
      <w:marRight w:val="0"/>
      <w:marTop w:val="0"/>
      <w:marBottom w:val="0"/>
      <w:divBdr>
        <w:top w:val="none" w:sz="0" w:space="0" w:color="auto"/>
        <w:left w:val="none" w:sz="0" w:space="0" w:color="auto"/>
        <w:bottom w:val="none" w:sz="0" w:space="0" w:color="auto"/>
        <w:right w:val="none" w:sz="0" w:space="0" w:color="auto"/>
      </w:divBdr>
    </w:div>
    <w:div w:id="1183125534">
      <w:bodyDiv w:val="1"/>
      <w:marLeft w:val="0"/>
      <w:marRight w:val="0"/>
      <w:marTop w:val="0"/>
      <w:marBottom w:val="0"/>
      <w:divBdr>
        <w:top w:val="none" w:sz="0" w:space="0" w:color="auto"/>
        <w:left w:val="none" w:sz="0" w:space="0" w:color="auto"/>
        <w:bottom w:val="none" w:sz="0" w:space="0" w:color="auto"/>
        <w:right w:val="none" w:sz="0" w:space="0" w:color="auto"/>
      </w:divBdr>
    </w:div>
    <w:div w:id="1274750807">
      <w:bodyDiv w:val="1"/>
      <w:marLeft w:val="0"/>
      <w:marRight w:val="0"/>
      <w:marTop w:val="0"/>
      <w:marBottom w:val="0"/>
      <w:divBdr>
        <w:top w:val="none" w:sz="0" w:space="0" w:color="auto"/>
        <w:left w:val="none" w:sz="0" w:space="0" w:color="auto"/>
        <w:bottom w:val="none" w:sz="0" w:space="0" w:color="auto"/>
        <w:right w:val="none" w:sz="0" w:space="0" w:color="auto"/>
      </w:divBdr>
    </w:div>
    <w:div w:id="1284966464">
      <w:bodyDiv w:val="1"/>
      <w:marLeft w:val="0"/>
      <w:marRight w:val="0"/>
      <w:marTop w:val="0"/>
      <w:marBottom w:val="0"/>
      <w:divBdr>
        <w:top w:val="none" w:sz="0" w:space="0" w:color="auto"/>
        <w:left w:val="none" w:sz="0" w:space="0" w:color="auto"/>
        <w:bottom w:val="none" w:sz="0" w:space="0" w:color="auto"/>
        <w:right w:val="none" w:sz="0" w:space="0" w:color="auto"/>
      </w:divBdr>
    </w:div>
    <w:div w:id="1430468761">
      <w:bodyDiv w:val="1"/>
      <w:marLeft w:val="0"/>
      <w:marRight w:val="0"/>
      <w:marTop w:val="0"/>
      <w:marBottom w:val="0"/>
      <w:divBdr>
        <w:top w:val="none" w:sz="0" w:space="0" w:color="auto"/>
        <w:left w:val="none" w:sz="0" w:space="0" w:color="auto"/>
        <w:bottom w:val="none" w:sz="0" w:space="0" w:color="auto"/>
        <w:right w:val="none" w:sz="0" w:space="0" w:color="auto"/>
      </w:divBdr>
      <w:divsChild>
        <w:div w:id="1899827829">
          <w:marLeft w:val="1166"/>
          <w:marRight w:val="0"/>
          <w:marTop w:val="0"/>
          <w:marBottom w:val="0"/>
          <w:divBdr>
            <w:top w:val="none" w:sz="0" w:space="0" w:color="auto"/>
            <w:left w:val="none" w:sz="0" w:space="0" w:color="auto"/>
            <w:bottom w:val="none" w:sz="0" w:space="0" w:color="auto"/>
            <w:right w:val="none" w:sz="0" w:space="0" w:color="auto"/>
          </w:divBdr>
        </w:div>
        <w:div w:id="944649728">
          <w:marLeft w:val="1555"/>
          <w:marRight w:val="0"/>
          <w:marTop w:val="0"/>
          <w:marBottom w:val="0"/>
          <w:divBdr>
            <w:top w:val="none" w:sz="0" w:space="0" w:color="auto"/>
            <w:left w:val="none" w:sz="0" w:space="0" w:color="auto"/>
            <w:bottom w:val="none" w:sz="0" w:space="0" w:color="auto"/>
            <w:right w:val="none" w:sz="0" w:space="0" w:color="auto"/>
          </w:divBdr>
        </w:div>
        <w:div w:id="1443185471">
          <w:marLeft w:val="1555"/>
          <w:marRight w:val="0"/>
          <w:marTop w:val="0"/>
          <w:marBottom w:val="0"/>
          <w:divBdr>
            <w:top w:val="none" w:sz="0" w:space="0" w:color="auto"/>
            <w:left w:val="none" w:sz="0" w:space="0" w:color="auto"/>
            <w:bottom w:val="none" w:sz="0" w:space="0" w:color="auto"/>
            <w:right w:val="none" w:sz="0" w:space="0" w:color="auto"/>
          </w:divBdr>
        </w:div>
        <w:div w:id="761725312">
          <w:marLeft w:val="1555"/>
          <w:marRight w:val="0"/>
          <w:marTop w:val="0"/>
          <w:marBottom w:val="0"/>
          <w:divBdr>
            <w:top w:val="none" w:sz="0" w:space="0" w:color="auto"/>
            <w:left w:val="none" w:sz="0" w:space="0" w:color="auto"/>
            <w:bottom w:val="none" w:sz="0" w:space="0" w:color="auto"/>
            <w:right w:val="none" w:sz="0" w:space="0" w:color="auto"/>
          </w:divBdr>
        </w:div>
        <w:div w:id="1160391338">
          <w:marLeft w:val="1555"/>
          <w:marRight w:val="0"/>
          <w:marTop w:val="0"/>
          <w:marBottom w:val="0"/>
          <w:divBdr>
            <w:top w:val="none" w:sz="0" w:space="0" w:color="auto"/>
            <w:left w:val="none" w:sz="0" w:space="0" w:color="auto"/>
            <w:bottom w:val="none" w:sz="0" w:space="0" w:color="auto"/>
            <w:right w:val="none" w:sz="0" w:space="0" w:color="auto"/>
          </w:divBdr>
        </w:div>
        <w:div w:id="569080782">
          <w:marLeft w:val="1555"/>
          <w:marRight w:val="0"/>
          <w:marTop w:val="0"/>
          <w:marBottom w:val="0"/>
          <w:divBdr>
            <w:top w:val="none" w:sz="0" w:space="0" w:color="auto"/>
            <w:left w:val="none" w:sz="0" w:space="0" w:color="auto"/>
            <w:bottom w:val="none" w:sz="0" w:space="0" w:color="auto"/>
            <w:right w:val="none" w:sz="0" w:space="0" w:color="auto"/>
          </w:divBdr>
        </w:div>
        <w:div w:id="229704896">
          <w:marLeft w:val="1555"/>
          <w:marRight w:val="0"/>
          <w:marTop w:val="0"/>
          <w:marBottom w:val="0"/>
          <w:divBdr>
            <w:top w:val="none" w:sz="0" w:space="0" w:color="auto"/>
            <w:left w:val="none" w:sz="0" w:space="0" w:color="auto"/>
            <w:bottom w:val="none" w:sz="0" w:space="0" w:color="auto"/>
            <w:right w:val="none" w:sz="0" w:space="0" w:color="auto"/>
          </w:divBdr>
        </w:div>
      </w:divsChild>
    </w:div>
    <w:div w:id="1830561909">
      <w:bodyDiv w:val="1"/>
      <w:marLeft w:val="0"/>
      <w:marRight w:val="0"/>
      <w:marTop w:val="0"/>
      <w:marBottom w:val="0"/>
      <w:divBdr>
        <w:top w:val="none" w:sz="0" w:space="0" w:color="auto"/>
        <w:left w:val="none" w:sz="0" w:space="0" w:color="auto"/>
        <w:bottom w:val="none" w:sz="0" w:space="0" w:color="auto"/>
        <w:right w:val="none" w:sz="0" w:space="0" w:color="auto"/>
      </w:divBdr>
      <w:divsChild>
        <w:div w:id="208763595">
          <w:marLeft w:val="0"/>
          <w:marRight w:val="0"/>
          <w:marTop w:val="0"/>
          <w:marBottom w:val="0"/>
          <w:divBdr>
            <w:top w:val="none" w:sz="0" w:space="0" w:color="auto"/>
            <w:left w:val="none" w:sz="0" w:space="0" w:color="auto"/>
            <w:bottom w:val="none" w:sz="0" w:space="0" w:color="auto"/>
            <w:right w:val="none" w:sz="0" w:space="0" w:color="auto"/>
          </w:divBdr>
        </w:div>
      </w:divsChild>
    </w:div>
    <w:div w:id="199899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75198-AE2D-457B-8848-E93EB63E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David Allan I</cp:lastModifiedBy>
  <cp:revision>2</cp:revision>
  <dcterms:created xsi:type="dcterms:W3CDTF">2018-10-03T17:13:00Z</dcterms:created>
  <dcterms:modified xsi:type="dcterms:W3CDTF">2018-10-03T17:13:00Z</dcterms:modified>
</cp:coreProperties>
</file>