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6AD00562" w:rsidR="002A47E4" w:rsidRPr="00511EEA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</w:t>
      </w:r>
      <w:r w:rsidRPr="00511EEA">
        <w:rPr>
          <w:rFonts w:ascii="Arial" w:hAnsi="Arial" w:cs="Arial"/>
          <w:b/>
          <w:bCs/>
          <w:sz w:val="22"/>
        </w:rPr>
        <w:t>TSG-RAN WG4 Meeting #9</w:t>
      </w:r>
      <w:r w:rsidR="003C134D">
        <w:rPr>
          <w:rFonts w:ascii="Arial" w:hAnsi="Arial" w:cs="Arial"/>
          <w:b/>
          <w:bCs/>
          <w:sz w:val="22"/>
        </w:rPr>
        <w:t>5</w:t>
      </w:r>
      <w:bookmarkStart w:id="0" w:name="_GoBack"/>
      <w:bookmarkEnd w:id="0"/>
      <w:r w:rsidR="000B0C5F">
        <w:rPr>
          <w:rFonts w:ascii="Arial" w:hAnsi="Arial" w:cs="Arial"/>
          <w:b/>
          <w:bCs/>
          <w:sz w:val="22"/>
        </w:rPr>
        <w:t>-e</w:t>
      </w:r>
      <w:r w:rsidRPr="00511EEA">
        <w:rPr>
          <w:rFonts w:ascii="Arial" w:hAnsi="Arial" w:cs="Arial" w:hint="eastAsia"/>
          <w:b/>
          <w:bCs/>
          <w:sz w:val="22"/>
        </w:rPr>
        <w:tab/>
      </w:r>
      <w:r w:rsidR="008B16FB" w:rsidRPr="00511EEA">
        <w:rPr>
          <w:rFonts w:ascii="Arial" w:hAnsi="Arial" w:cs="Arial"/>
          <w:b/>
          <w:bCs/>
          <w:sz w:val="22"/>
        </w:rPr>
        <w:t>R4-</w:t>
      </w:r>
      <w:r w:rsidR="00327E3D" w:rsidRPr="004C41B9">
        <w:rPr>
          <w:rFonts w:ascii="Arial" w:hAnsi="Arial" w:cs="Arial"/>
          <w:b/>
          <w:bCs/>
          <w:sz w:val="22"/>
        </w:rPr>
        <w:t>200</w:t>
      </w:r>
      <w:r w:rsidR="00AD587A">
        <w:rPr>
          <w:rFonts w:ascii="Arial" w:hAnsi="Arial" w:cs="Arial"/>
          <w:b/>
          <w:bCs/>
          <w:sz w:val="22"/>
        </w:rPr>
        <w:t>9121</w:t>
      </w:r>
    </w:p>
    <w:p w14:paraId="576ACD5C" w14:textId="75E39977" w:rsidR="002A47E4" w:rsidRPr="002A47E4" w:rsidRDefault="000B0C5F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2A47E4" w:rsidRPr="00511EEA">
        <w:rPr>
          <w:rFonts w:ascii="Arial" w:hAnsi="Arial" w:cs="Arial"/>
          <w:b/>
          <w:bCs/>
          <w:sz w:val="22"/>
        </w:rPr>
        <w:t xml:space="preserve">, </w:t>
      </w:r>
      <w:r w:rsidR="007D7556">
        <w:rPr>
          <w:rFonts w:ascii="Arial" w:hAnsi="Arial" w:cs="Arial"/>
          <w:b/>
          <w:bCs/>
          <w:sz w:val="22"/>
        </w:rPr>
        <w:t>May</w:t>
      </w:r>
      <w:r w:rsidR="00FA0874">
        <w:rPr>
          <w:rFonts w:ascii="Arial" w:hAnsi="Arial" w:cs="Arial"/>
          <w:b/>
          <w:bCs/>
          <w:sz w:val="22"/>
        </w:rPr>
        <w:t xml:space="preserve"> 2</w:t>
      </w:r>
      <w:r w:rsidR="007D7556">
        <w:rPr>
          <w:rFonts w:ascii="Arial" w:hAnsi="Arial" w:cs="Arial"/>
          <w:b/>
          <w:bCs/>
          <w:sz w:val="22"/>
        </w:rPr>
        <w:t>5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FA0874">
        <w:rPr>
          <w:rFonts w:ascii="Arial" w:hAnsi="Arial" w:cs="Arial"/>
          <w:b/>
          <w:bCs/>
          <w:sz w:val="22"/>
        </w:rPr>
        <w:t xml:space="preserve"> – </w:t>
      </w:r>
      <w:r w:rsidR="007D7556">
        <w:rPr>
          <w:rFonts w:ascii="Arial" w:hAnsi="Arial" w:cs="Arial"/>
          <w:b/>
          <w:bCs/>
          <w:sz w:val="22"/>
        </w:rPr>
        <w:t>June</w:t>
      </w:r>
      <w:r w:rsidR="00FA0874">
        <w:rPr>
          <w:rFonts w:ascii="Arial" w:hAnsi="Arial" w:cs="Arial"/>
          <w:b/>
          <w:bCs/>
          <w:sz w:val="22"/>
        </w:rPr>
        <w:t xml:space="preserve"> </w:t>
      </w:r>
      <w:r w:rsidR="007D7556">
        <w:rPr>
          <w:rFonts w:ascii="Arial" w:hAnsi="Arial" w:cs="Arial"/>
          <w:b/>
          <w:bCs/>
          <w:sz w:val="22"/>
        </w:rPr>
        <w:t>5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511EEA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8F5691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24A9F" w:rsidRPr="006B2878">
        <w:rPr>
          <w:rFonts w:ascii="Arial" w:hAnsi="Arial" w:cs="Arial"/>
        </w:rPr>
        <w:t>LS to RAN</w:t>
      </w:r>
      <w:r w:rsidR="00A24A9F">
        <w:rPr>
          <w:rFonts w:ascii="Arial" w:hAnsi="Arial" w:cs="Arial"/>
        </w:rPr>
        <w:t>2</w:t>
      </w:r>
      <w:r w:rsidR="00A24A9F" w:rsidRPr="006B2878">
        <w:rPr>
          <w:rFonts w:ascii="Arial" w:hAnsi="Arial" w:cs="Arial"/>
        </w:rPr>
        <w:t xml:space="preserve"> on RRM </w:t>
      </w:r>
      <w:r w:rsidR="007D7556">
        <w:rPr>
          <w:rFonts w:ascii="Arial" w:hAnsi="Arial" w:cs="Arial"/>
        </w:rPr>
        <w:t>Enhanced Measurement Reporting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524AA">
        <w:rPr>
          <w:rFonts w:ascii="Arial" w:hAnsi="Arial" w:cs="Arial"/>
          <w:bCs/>
        </w:rPr>
        <w:t>6</w:t>
      </w:r>
    </w:p>
    <w:p w14:paraId="7FD76092" w14:textId="0956C9C4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D7556" w:rsidRPr="007D7556">
        <w:rPr>
          <w:rFonts w:ascii="Arial" w:hAnsi="Arial" w:cs="Arial"/>
        </w:rPr>
        <w:t>LTE_NR_DC_CA_enh-Core</w:t>
      </w:r>
    </w:p>
    <w:p w14:paraId="04A0B555" w14:textId="358AB6A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940E69" w14:textId="5A53BD79" w:rsidR="007D7556" w:rsidRDefault="007D7556" w:rsidP="007844CD">
      <w:pPr>
        <w:jc w:val="both"/>
      </w:pPr>
      <w:r>
        <w:t>RAN4 has been discussing measurement for early measurement reporting (EMR) and the related UE measurement requirements.</w:t>
      </w:r>
    </w:p>
    <w:p w14:paraId="5998A29F" w14:textId="4FA39B88" w:rsidR="007D7556" w:rsidRDefault="007D7556" w:rsidP="007844CD">
      <w:pPr>
        <w:jc w:val="both"/>
      </w:pPr>
    </w:p>
    <w:p w14:paraId="52928E37" w14:textId="76155C61" w:rsidR="007D7556" w:rsidRDefault="007D7556" w:rsidP="007844CD">
      <w:pPr>
        <w:jc w:val="both"/>
      </w:pPr>
      <w:r>
        <w:t>Considering measurement for EMR RAN2 has agreed following notes in 38.331</w:t>
      </w:r>
      <w:r w:rsidR="0081222C">
        <w:t xml:space="preserve"> concerning the search thresholds s-NonIntraSerach</w:t>
      </w:r>
      <w:r>
        <w:t>:</w:t>
      </w:r>
    </w:p>
    <w:p w14:paraId="3F827E96" w14:textId="2127F042" w:rsidR="007D7556" w:rsidRDefault="007D7556" w:rsidP="007844CD">
      <w:pPr>
        <w:jc w:val="both"/>
      </w:pPr>
    </w:p>
    <w:p w14:paraId="1438E534" w14:textId="32C85D7A" w:rsidR="007D7556" w:rsidRDefault="007D7556" w:rsidP="007D7556">
      <w:pPr>
        <w:ind w:left="720"/>
        <w:jc w:val="both"/>
        <w:rPr>
          <w:rFonts w:eastAsia="Times New Roman"/>
          <w:lang w:eastAsia="ja-JP"/>
        </w:rPr>
      </w:pPr>
      <w:r w:rsidRPr="007D7556">
        <w:rPr>
          <w:rFonts w:eastAsia="Times New Roman"/>
          <w:lang w:eastAsia="ja-JP"/>
        </w:rPr>
        <w:t>NOTE 1:</w:t>
      </w:r>
      <w:r>
        <w:rPr>
          <w:rFonts w:eastAsia="Times New Roman"/>
          <w:lang w:eastAsia="ja-JP"/>
        </w:rPr>
        <w:t xml:space="preserve"> </w:t>
      </w:r>
      <w:r w:rsidRPr="007D7556">
        <w:rPr>
          <w:rFonts w:eastAsia="Times New Roman"/>
          <w:lang w:eastAsia="ja-JP"/>
        </w:rPr>
        <w:t xml:space="preserve">The fields </w:t>
      </w:r>
      <w:r w:rsidRPr="007D7556">
        <w:rPr>
          <w:rFonts w:eastAsia="Times New Roman"/>
          <w:i/>
          <w:lang w:eastAsia="ja-JP"/>
        </w:rPr>
        <w:t>s-NonIntraSearchP</w:t>
      </w:r>
      <w:r w:rsidRPr="007D7556">
        <w:rPr>
          <w:rFonts w:eastAsia="Times New Roman"/>
          <w:lang w:eastAsia="ja-JP"/>
        </w:rPr>
        <w:t xml:space="preserve"> and </w:t>
      </w:r>
      <w:r w:rsidRPr="007D7556">
        <w:rPr>
          <w:rFonts w:eastAsia="Times New Roman"/>
          <w:i/>
          <w:lang w:eastAsia="ja-JP"/>
        </w:rPr>
        <w:t>s-NonIntraSearchQ</w:t>
      </w:r>
      <w:r w:rsidRPr="007D7556">
        <w:rPr>
          <w:rFonts w:eastAsia="Times New Roman"/>
          <w:lang w:eastAsia="ja-JP"/>
        </w:rPr>
        <w:t xml:space="preserve"> in </w:t>
      </w:r>
      <w:r w:rsidRPr="007D7556">
        <w:rPr>
          <w:rFonts w:eastAsia="Times New Roman"/>
          <w:i/>
          <w:lang w:eastAsia="ja-JP"/>
        </w:rPr>
        <w:t>SIB2</w:t>
      </w:r>
      <w:r w:rsidRPr="007D7556">
        <w:rPr>
          <w:rFonts w:eastAsia="Times New Roman"/>
          <w:lang w:eastAsia="ja-JP"/>
        </w:rPr>
        <w:t xml:space="preserve"> do not affect the idle/inactive UE measurement procedures. How the UE performs idle/inactive measurements is up to UE implementation </w:t>
      </w:r>
      <w:proofErr w:type="gramStart"/>
      <w:r w:rsidRPr="007D7556">
        <w:rPr>
          <w:rFonts w:eastAsia="Times New Roman"/>
          <w:lang w:eastAsia="ja-JP"/>
        </w:rPr>
        <w:t>as long as</w:t>
      </w:r>
      <w:proofErr w:type="gramEnd"/>
      <w:r w:rsidRPr="007D7556">
        <w:rPr>
          <w:rFonts w:eastAsia="Times New Roman"/>
          <w:lang w:eastAsia="ja-JP"/>
        </w:rPr>
        <w:t xml:space="preserve"> the requirements in TS 38.133 [14] are met for measurement reporting.</w:t>
      </w:r>
    </w:p>
    <w:p w14:paraId="48220606" w14:textId="570905C2" w:rsidR="007D7556" w:rsidRDefault="007D7556" w:rsidP="007844CD">
      <w:pPr>
        <w:jc w:val="both"/>
      </w:pPr>
    </w:p>
    <w:p w14:paraId="102EC44A" w14:textId="200DA6A8" w:rsidR="007D7556" w:rsidRDefault="0081222C" w:rsidP="007844CD">
      <w:pPr>
        <w:jc w:val="both"/>
      </w:pPr>
      <w:r>
        <w:t>However, the intention of the RAN2 note is not clear to RAN4 and therefore RAN4 would like to ask RAN2 whether option 1 or option 2 contradict the RAN2 agreement:</w:t>
      </w:r>
    </w:p>
    <w:p w14:paraId="7DC0B85A" w14:textId="77777777" w:rsidR="0081222C" w:rsidRDefault="0081222C" w:rsidP="007844CD">
      <w:pPr>
        <w:jc w:val="both"/>
      </w:pPr>
    </w:p>
    <w:p w14:paraId="519500FE" w14:textId="5640BD3B" w:rsidR="0081222C" w:rsidRDefault="0081222C" w:rsidP="0081222C">
      <w:pPr>
        <w:pStyle w:val="ListParagraph"/>
        <w:numPr>
          <w:ilvl w:val="0"/>
          <w:numId w:val="31"/>
        </w:numPr>
        <w:jc w:val="both"/>
      </w:pPr>
      <w:r w:rsidRPr="0081222C">
        <w:t xml:space="preserve">Search thresholds </w:t>
      </w:r>
      <w:r>
        <w:t>(</w:t>
      </w:r>
      <w:r w:rsidRPr="007D7556">
        <w:rPr>
          <w:rFonts w:eastAsia="Times New Roman"/>
          <w:i/>
          <w:lang w:eastAsia="ja-JP"/>
        </w:rPr>
        <w:t>s-NonIntraSearchP</w:t>
      </w:r>
      <w:r w:rsidRPr="007D7556">
        <w:rPr>
          <w:rFonts w:eastAsia="Times New Roman"/>
          <w:lang w:eastAsia="ja-JP"/>
        </w:rPr>
        <w:t xml:space="preserve"> and </w:t>
      </w:r>
      <w:r w:rsidRPr="007D7556">
        <w:rPr>
          <w:rFonts w:eastAsia="Times New Roman"/>
          <w:i/>
          <w:lang w:eastAsia="ja-JP"/>
        </w:rPr>
        <w:t>s-NonIntraSearchQ</w:t>
      </w:r>
      <w:r>
        <w:t xml:space="preserve">) </w:t>
      </w:r>
      <w:r w:rsidRPr="0081222C">
        <w:t>do not apply to carriers configured for EMR measurements</w:t>
      </w:r>
      <w:r>
        <w:t>.</w:t>
      </w:r>
    </w:p>
    <w:p w14:paraId="0CA86058" w14:textId="69BD3248" w:rsidR="0081222C" w:rsidRDefault="0081222C" w:rsidP="0081222C">
      <w:pPr>
        <w:pStyle w:val="ListParagraph"/>
        <w:numPr>
          <w:ilvl w:val="0"/>
          <w:numId w:val="31"/>
        </w:numPr>
        <w:jc w:val="both"/>
      </w:pPr>
      <w:r w:rsidRPr="0081222C">
        <w:t xml:space="preserve">Search thresholds </w:t>
      </w:r>
      <w:r>
        <w:t>(</w:t>
      </w:r>
      <w:r w:rsidRPr="007D7556">
        <w:rPr>
          <w:rFonts w:eastAsia="Times New Roman"/>
          <w:i/>
          <w:lang w:eastAsia="ja-JP"/>
        </w:rPr>
        <w:t>s-NonIntraSearchP</w:t>
      </w:r>
      <w:r w:rsidRPr="007D7556">
        <w:rPr>
          <w:rFonts w:eastAsia="Times New Roman"/>
          <w:lang w:eastAsia="ja-JP"/>
        </w:rPr>
        <w:t xml:space="preserve"> and </w:t>
      </w:r>
      <w:r w:rsidRPr="007D7556">
        <w:rPr>
          <w:rFonts w:eastAsia="Times New Roman"/>
          <w:i/>
          <w:lang w:eastAsia="ja-JP"/>
        </w:rPr>
        <w:t>s-NonIntraSearchQ</w:t>
      </w:r>
      <w:r>
        <w:t xml:space="preserve">) </w:t>
      </w:r>
      <w:r w:rsidRPr="0081222C">
        <w:t>do not affect measurement procedures to carriers configured for EMR measurements, but the search thresholds are used to define the EMR measurement requirements</w:t>
      </w:r>
    </w:p>
    <w:p w14:paraId="43B62B56" w14:textId="3EA94A2C" w:rsidR="0081222C" w:rsidRDefault="0081222C" w:rsidP="007844CD">
      <w:pPr>
        <w:jc w:val="both"/>
      </w:pPr>
    </w:p>
    <w:p w14:paraId="2C7C8FB3" w14:textId="1C9E61C4" w:rsidR="0081222C" w:rsidRDefault="0081222C" w:rsidP="007844CD">
      <w:pPr>
        <w:jc w:val="both"/>
      </w:pPr>
    </w:p>
    <w:p w14:paraId="6D71F3AD" w14:textId="2FCF7E3E" w:rsidR="007E18A1" w:rsidRDefault="007E18A1" w:rsidP="007844CD">
      <w:pPr>
        <w:jc w:val="both"/>
      </w:pPr>
      <w:r>
        <w:t xml:space="preserve">RAN4 kindly requests RAN2 </w:t>
      </w:r>
      <w:r w:rsidR="009D0BA7">
        <w:t>to</w:t>
      </w:r>
      <w:r w:rsidR="0081222C">
        <w:t xml:space="preserve"> provide RAN4 guidance related to above question </w:t>
      </w:r>
      <w:r w:rsidR="0081222C">
        <w:t>whether option 1 or option 2 contradict the RAN2 agreement</w:t>
      </w:r>
      <w:r>
        <w:t>.</w:t>
      </w: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C845A96" w14:textId="781FFB70" w:rsidR="000B0C5F" w:rsidRDefault="00463675" w:rsidP="000B0C5F">
      <w:pPr>
        <w:jc w:val="both"/>
      </w:pPr>
      <w:r>
        <w:rPr>
          <w:rFonts w:ascii="Arial" w:hAnsi="Arial" w:cs="Arial"/>
          <w:b/>
        </w:rPr>
        <w:t xml:space="preserve">ACTION: </w:t>
      </w:r>
      <w:r w:rsidR="000B0C5F">
        <w:t xml:space="preserve">RAN4 kindly requests RAN2 </w:t>
      </w:r>
      <w:r w:rsidR="0081222C">
        <w:t>to provide RAN4 guidance related to above question</w:t>
      </w:r>
      <w:r w:rsidR="0081222C" w:rsidRPr="0081222C">
        <w:t xml:space="preserve"> </w:t>
      </w:r>
      <w:r w:rsidR="0081222C">
        <w:t>whether option 1 or option 2 contradict the RAN2 agreement</w:t>
      </w:r>
      <w:r w:rsidR="000B0C5F">
        <w:t>.</w:t>
      </w:r>
    </w:p>
    <w:p w14:paraId="09FDD4A7" w14:textId="69FEBC22" w:rsidR="00B412D4" w:rsidRPr="007E18A1" w:rsidRDefault="007844CD" w:rsidP="00B412D4">
      <w:pPr>
        <w:spacing w:after="120"/>
        <w:ind w:left="993" w:hanging="993"/>
      </w:pPr>
      <w:r w:rsidRPr="007E18A1">
        <w:t>.</w:t>
      </w: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2615556F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81222C">
        <w:rPr>
          <w:rFonts w:ascii="Arial" w:hAnsi="Arial" w:cs="Arial"/>
        </w:rPr>
        <w:t>6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AC7B4E">
        <w:rPr>
          <w:rFonts w:ascii="Arial" w:hAnsi="Arial" w:cs="Arial"/>
        </w:rPr>
        <w:t>4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AC7B4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A</w:t>
      </w:r>
      <w:r w:rsidR="00AC7B4E">
        <w:rPr>
          <w:rFonts w:ascii="Arial" w:hAnsi="Arial" w:cs="Arial"/>
        </w:rPr>
        <w:t>ug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FA0874">
        <w:rPr>
          <w:rFonts w:ascii="Arial" w:hAnsi="Arial" w:cs="Arial"/>
        </w:rPr>
        <w:t>E-meeting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3B6C3D54" w14:textId="00E5A17E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AC7B4E">
        <w:rPr>
          <w:rFonts w:ascii="Arial" w:hAnsi="Arial" w:cs="Arial"/>
        </w:rPr>
        <w:t>6</w:t>
      </w:r>
      <w:proofErr w:type="gramStart"/>
      <w:r w:rsidR="00AC7B4E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AC7B4E">
        <w:rPr>
          <w:rFonts w:ascii="Arial" w:hAnsi="Arial" w:cs="Arial"/>
        </w:rPr>
        <w:t>12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="00AC7B4E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</w:t>
      </w:r>
      <w:r w:rsidR="00AC7B4E">
        <w:rPr>
          <w:rFonts w:ascii="Arial" w:hAnsi="Arial" w:cs="Arial"/>
        </w:rPr>
        <w:t>Oct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="00AC7B4E">
        <w:rPr>
          <w:rFonts w:ascii="Arial" w:hAnsi="Arial" w:cs="Arial"/>
        </w:rPr>
        <w:t xml:space="preserve"> 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</w:t>
      </w:r>
      <w:r w:rsidR="00FA0874">
        <w:rPr>
          <w:rFonts w:ascii="Arial" w:hAnsi="Arial" w:cs="Arial"/>
        </w:rPr>
        <w:t>E-meeting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B85C" w14:textId="77777777" w:rsidR="003C655B" w:rsidRDefault="003C655B">
      <w:r>
        <w:separator/>
      </w:r>
    </w:p>
  </w:endnote>
  <w:endnote w:type="continuationSeparator" w:id="0">
    <w:p w14:paraId="1909D582" w14:textId="77777777" w:rsidR="003C655B" w:rsidRDefault="003C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C79D7" w14:textId="77777777" w:rsidR="003C655B" w:rsidRDefault="003C655B">
      <w:r>
        <w:separator/>
      </w:r>
    </w:p>
  </w:footnote>
  <w:footnote w:type="continuationSeparator" w:id="0">
    <w:p w14:paraId="6EFCBBC4" w14:textId="77777777" w:rsidR="003C655B" w:rsidRDefault="003C6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51A5"/>
    <w:multiLevelType w:val="hybridMultilevel"/>
    <w:tmpl w:val="1CCAEF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45E00"/>
    <w:multiLevelType w:val="hybridMultilevel"/>
    <w:tmpl w:val="21481914"/>
    <w:lvl w:ilvl="0" w:tplc="08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03180"/>
    <w:multiLevelType w:val="hybridMultilevel"/>
    <w:tmpl w:val="068A40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1"/>
  </w:num>
  <w:num w:numId="4">
    <w:abstractNumId w:val="2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4"/>
  </w:num>
  <w:num w:numId="9">
    <w:abstractNumId w:val="14"/>
  </w:num>
  <w:num w:numId="10">
    <w:abstractNumId w:val="13"/>
  </w:num>
  <w:num w:numId="11">
    <w:abstractNumId w:val="9"/>
  </w:num>
  <w:num w:numId="12">
    <w:abstractNumId w:val="27"/>
  </w:num>
  <w:num w:numId="13">
    <w:abstractNumId w:val="12"/>
  </w:num>
  <w:num w:numId="14">
    <w:abstractNumId w:val="19"/>
  </w:num>
  <w:num w:numId="15">
    <w:abstractNumId w:val="20"/>
  </w:num>
  <w:num w:numId="16">
    <w:abstractNumId w:val="18"/>
  </w:num>
  <w:num w:numId="17">
    <w:abstractNumId w:val="12"/>
  </w:num>
  <w:num w:numId="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  <w:num w:numId="20">
    <w:abstractNumId w:val="8"/>
  </w:num>
  <w:num w:numId="21">
    <w:abstractNumId w:val="6"/>
  </w:num>
  <w:num w:numId="22">
    <w:abstractNumId w:val="26"/>
  </w:num>
  <w:num w:numId="23">
    <w:abstractNumId w:val="22"/>
  </w:num>
  <w:num w:numId="24">
    <w:abstractNumId w:val="1"/>
  </w:num>
  <w:num w:numId="25">
    <w:abstractNumId w:val="10"/>
  </w:num>
  <w:num w:numId="26">
    <w:abstractNumId w:val="5"/>
  </w:num>
  <w:num w:numId="27">
    <w:abstractNumId w:val="16"/>
  </w:num>
  <w:num w:numId="28">
    <w:abstractNumId w:val="0"/>
  </w:num>
  <w:num w:numId="29">
    <w:abstractNumId w:val="3"/>
  </w:num>
  <w:num w:numId="30">
    <w:abstractNumId w:val="25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64739"/>
    <w:rsid w:val="000B0C5F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0F35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30138D"/>
    <w:rsid w:val="0030356A"/>
    <w:rsid w:val="003100EB"/>
    <w:rsid w:val="00315132"/>
    <w:rsid w:val="0032096D"/>
    <w:rsid w:val="003221D8"/>
    <w:rsid w:val="00324418"/>
    <w:rsid w:val="0032760F"/>
    <w:rsid w:val="003277A4"/>
    <w:rsid w:val="00327E3D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A306F"/>
    <w:rsid w:val="003B117D"/>
    <w:rsid w:val="003B23F9"/>
    <w:rsid w:val="003B5D6F"/>
    <w:rsid w:val="003C134D"/>
    <w:rsid w:val="003C3065"/>
    <w:rsid w:val="003C44A3"/>
    <w:rsid w:val="003C4B48"/>
    <w:rsid w:val="003C655B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11EEA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D7556"/>
    <w:rsid w:val="007E18A1"/>
    <w:rsid w:val="007F293C"/>
    <w:rsid w:val="007F4E4D"/>
    <w:rsid w:val="00801677"/>
    <w:rsid w:val="00806E3A"/>
    <w:rsid w:val="008079EE"/>
    <w:rsid w:val="0081222C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0BA7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24A9F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233A"/>
    <w:rsid w:val="00A8524C"/>
    <w:rsid w:val="00AA637B"/>
    <w:rsid w:val="00AC4A54"/>
    <w:rsid w:val="00AC7B4E"/>
    <w:rsid w:val="00AC7BBC"/>
    <w:rsid w:val="00AD1DE5"/>
    <w:rsid w:val="00AD587A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6DC6"/>
    <w:rsid w:val="00E34A9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A0874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9D0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8A3952-36B5-4533-B42E-C4B89D2FE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3</cp:revision>
  <cp:lastPrinted>2002-04-23T00:10:00Z</cp:lastPrinted>
  <dcterms:created xsi:type="dcterms:W3CDTF">2020-06-05T13:43:00Z</dcterms:created>
  <dcterms:modified xsi:type="dcterms:W3CDTF">2020-06-05T13:44:00Z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