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0B6750" w:rsidRPr="000B6750">
        <w:trPr>
          <w:cantSplit/>
        </w:trPr>
        <w:tc>
          <w:tcPr>
            <w:tcW w:w="1417" w:type="dxa"/>
            <w:vMerge w:val="restart"/>
          </w:tcPr>
          <w:p w:rsidR="000B6750" w:rsidRPr="000B6750" w:rsidRDefault="000B6750" w:rsidP="000B6750">
            <w:bookmarkStart w:id="0" w:name="InsertLogo"/>
            <w:bookmarkStart w:id="1" w:name="dnum" w:colFirst="2" w:colLast="2"/>
            <w:bookmarkStart w:id="2" w:name="dtableau"/>
            <w:bookmarkEnd w:id="0"/>
            <w:r w:rsidRPr="000B6750">
              <w:rPr>
                <w:b/>
                <w:noProof/>
                <w:sz w:val="36"/>
                <w:lang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0B6750" w:rsidRPr="000B6750" w:rsidRDefault="000B6750" w:rsidP="000B6750">
            <w:pPr>
              <w:rPr>
                <w:sz w:val="20"/>
              </w:rPr>
            </w:pPr>
            <w:r w:rsidRPr="000B6750">
              <w:rPr>
                <w:sz w:val="20"/>
              </w:rPr>
              <w:t>INTERNATIONAL TELECOMMUNICATION UNION</w:t>
            </w:r>
          </w:p>
        </w:tc>
        <w:tc>
          <w:tcPr>
            <w:tcW w:w="3345" w:type="dxa"/>
          </w:tcPr>
          <w:p w:rsidR="000B6750" w:rsidRPr="000B6750" w:rsidRDefault="000B6750" w:rsidP="000B6750">
            <w:pPr>
              <w:jc w:val="right"/>
              <w:rPr>
                <w:b/>
                <w:sz w:val="28"/>
              </w:rPr>
            </w:pPr>
            <w:r>
              <w:rPr>
                <w:b/>
                <w:sz w:val="28"/>
              </w:rPr>
              <w:t>COM 15 – LS 305 – E</w:t>
            </w:r>
          </w:p>
        </w:tc>
      </w:tr>
      <w:tr w:rsidR="000B6750" w:rsidRPr="000B6750">
        <w:trPr>
          <w:cantSplit/>
          <w:trHeight w:val="355"/>
        </w:trPr>
        <w:tc>
          <w:tcPr>
            <w:tcW w:w="1417" w:type="dxa"/>
            <w:vMerge/>
          </w:tcPr>
          <w:p w:rsidR="000B6750" w:rsidRPr="000B6750" w:rsidRDefault="000B6750" w:rsidP="000B6750">
            <w:bookmarkStart w:id="3" w:name="ddate" w:colFirst="2" w:colLast="2"/>
            <w:bookmarkEnd w:id="1"/>
          </w:p>
        </w:tc>
        <w:tc>
          <w:tcPr>
            <w:tcW w:w="4040" w:type="dxa"/>
            <w:gridSpan w:val="3"/>
            <w:vMerge w:val="restart"/>
          </w:tcPr>
          <w:p w:rsidR="000B6750" w:rsidRPr="000B6750" w:rsidRDefault="000B6750" w:rsidP="000B6750">
            <w:pPr>
              <w:rPr>
                <w:b/>
                <w:bCs/>
                <w:sz w:val="26"/>
              </w:rPr>
            </w:pPr>
            <w:r w:rsidRPr="000B6750">
              <w:rPr>
                <w:b/>
                <w:bCs/>
                <w:sz w:val="26"/>
              </w:rPr>
              <w:t>TELECOMMUNICATION</w:t>
            </w:r>
            <w:r w:rsidRPr="000B6750">
              <w:rPr>
                <w:b/>
                <w:bCs/>
                <w:sz w:val="26"/>
              </w:rPr>
              <w:br/>
              <w:t>STANDARDIZATION SECTOR</w:t>
            </w:r>
          </w:p>
          <w:p w:rsidR="000B6750" w:rsidRPr="000B6750" w:rsidRDefault="000B6750" w:rsidP="000B6750">
            <w:pPr>
              <w:rPr>
                <w:smallCaps/>
                <w:sz w:val="20"/>
              </w:rPr>
            </w:pPr>
            <w:r w:rsidRPr="000B6750">
              <w:rPr>
                <w:sz w:val="20"/>
              </w:rPr>
              <w:t xml:space="preserve">STUDY PERIOD </w:t>
            </w:r>
            <w:r>
              <w:rPr>
                <w:sz w:val="20"/>
              </w:rPr>
              <w:t>2009-2012</w:t>
            </w:r>
          </w:p>
        </w:tc>
        <w:tc>
          <w:tcPr>
            <w:tcW w:w="4466" w:type="dxa"/>
            <w:gridSpan w:val="2"/>
          </w:tcPr>
          <w:p w:rsidR="000B6750" w:rsidRPr="000B6750" w:rsidRDefault="000B6750" w:rsidP="000B6750">
            <w:pPr>
              <w:jc w:val="right"/>
              <w:rPr>
                <w:b/>
                <w:bCs/>
              </w:rPr>
            </w:pPr>
          </w:p>
        </w:tc>
      </w:tr>
      <w:tr w:rsidR="000B6750" w:rsidRPr="000B6750">
        <w:trPr>
          <w:cantSplit/>
          <w:trHeight w:val="780"/>
        </w:trPr>
        <w:tc>
          <w:tcPr>
            <w:tcW w:w="1417" w:type="dxa"/>
            <w:vMerge/>
            <w:tcBorders>
              <w:bottom w:val="single" w:sz="12" w:space="0" w:color="auto"/>
            </w:tcBorders>
          </w:tcPr>
          <w:p w:rsidR="000B6750" w:rsidRPr="000B6750" w:rsidRDefault="000B6750" w:rsidP="000B6750">
            <w:bookmarkStart w:id="4" w:name="dorlang" w:colFirst="2" w:colLast="2"/>
            <w:bookmarkEnd w:id="3"/>
          </w:p>
        </w:tc>
        <w:tc>
          <w:tcPr>
            <w:tcW w:w="4040" w:type="dxa"/>
            <w:gridSpan w:val="3"/>
            <w:vMerge/>
            <w:tcBorders>
              <w:bottom w:val="single" w:sz="12" w:space="0" w:color="auto"/>
            </w:tcBorders>
          </w:tcPr>
          <w:p w:rsidR="000B6750" w:rsidRPr="000B6750" w:rsidRDefault="000B6750" w:rsidP="000B6750">
            <w:pPr>
              <w:rPr>
                <w:b/>
                <w:bCs/>
                <w:sz w:val="26"/>
              </w:rPr>
            </w:pPr>
          </w:p>
        </w:tc>
        <w:tc>
          <w:tcPr>
            <w:tcW w:w="4466" w:type="dxa"/>
            <w:gridSpan w:val="2"/>
            <w:tcBorders>
              <w:bottom w:val="single" w:sz="12" w:space="0" w:color="auto"/>
            </w:tcBorders>
            <w:vAlign w:val="center"/>
          </w:tcPr>
          <w:p w:rsidR="000B6750" w:rsidRDefault="000B6750" w:rsidP="000B6750">
            <w:pPr>
              <w:jc w:val="right"/>
              <w:rPr>
                <w:b/>
                <w:bCs/>
                <w:sz w:val="28"/>
              </w:rPr>
            </w:pPr>
            <w:r>
              <w:rPr>
                <w:b/>
                <w:bCs/>
                <w:sz w:val="28"/>
              </w:rPr>
              <w:t>English only</w:t>
            </w:r>
          </w:p>
          <w:p w:rsidR="000B6750" w:rsidRPr="000B6750" w:rsidRDefault="000B6750" w:rsidP="000B6750">
            <w:pPr>
              <w:jc w:val="right"/>
              <w:rPr>
                <w:b/>
                <w:bCs/>
                <w:sz w:val="28"/>
              </w:rPr>
            </w:pPr>
            <w:r>
              <w:rPr>
                <w:b/>
                <w:bCs/>
                <w:sz w:val="28"/>
              </w:rPr>
              <w:t>Original: English</w:t>
            </w:r>
          </w:p>
        </w:tc>
      </w:tr>
      <w:tr w:rsidR="000B6750" w:rsidRPr="000B6750">
        <w:trPr>
          <w:cantSplit/>
          <w:trHeight w:val="357"/>
        </w:trPr>
        <w:tc>
          <w:tcPr>
            <w:tcW w:w="1617" w:type="dxa"/>
            <w:gridSpan w:val="2"/>
          </w:tcPr>
          <w:p w:rsidR="000B6750" w:rsidRPr="000B6750" w:rsidRDefault="000B6750" w:rsidP="000B6750">
            <w:pPr>
              <w:rPr>
                <w:b/>
                <w:bCs/>
              </w:rPr>
            </w:pPr>
            <w:bookmarkStart w:id="5" w:name="dmeeting" w:colFirst="2" w:colLast="2"/>
            <w:bookmarkStart w:id="6" w:name="dbluepink" w:colFirst="1" w:colLast="1"/>
            <w:bookmarkEnd w:id="4"/>
            <w:r w:rsidRPr="000B6750">
              <w:rPr>
                <w:b/>
                <w:bCs/>
              </w:rPr>
              <w:t>Question(s):</w:t>
            </w:r>
          </w:p>
        </w:tc>
        <w:tc>
          <w:tcPr>
            <w:tcW w:w="3360" w:type="dxa"/>
          </w:tcPr>
          <w:p w:rsidR="000B6750" w:rsidRPr="000B6750" w:rsidRDefault="000B6750" w:rsidP="000B6750">
            <w:r w:rsidRPr="000B6750">
              <w:t>13</w:t>
            </w:r>
            <w:r>
              <w:t>/15</w:t>
            </w:r>
          </w:p>
        </w:tc>
        <w:tc>
          <w:tcPr>
            <w:tcW w:w="4946" w:type="dxa"/>
            <w:gridSpan w:val="3"/>
          </w:tcPr>
          <w:p w:rsidR="000B6750" w:rsidRPr="000B6750" w:rsidRDefault="000B6750" w:rsidP="000B6750">
            <w:pPr>
              <w:jc w:val="right"/>
            </w:pPr>
          </w:p>
        </w:tc>
      </w:tr>
      <w:tr w:rsidR="000B6750" w:rsidRPr="000B6750">
        <w:trPr>
          <w:cantSplit/>
          <w:trHeight w:val="357"/>
        </w:trPr>
        <w:tc>
          <w:tcPr>
            <w:tcW w:w="9923" w:type="dxa"/>
            <w:gridSpan w:val="6"/>
          </w:tcPr>
          <w:p w:rsidR="000B6750" w:rsidRPr="000B6750" w:rsidRDefault="000B6750" w:rsidP="000B6750">
            <w:pPr>
              <w:jc w:val="center"/>
              <w:rPr>
                <w:b/>
                <w:bCs/>
              </w:rPr>
            </w:pPr>
            <w:bookmarkStart w:id="7" w:name="dtitle" w:colFirst="0" w:colLast="0"/>
            <w:bookmarkEnd w:id="5"/>
            <w:bookmarkEnd w:id="6"/>
            <w:r w:rsidRPr="000B6750">
              <w:rPr>
                <w:b/>
                <w:bCs/>
              </w:rPr>
              <w:t>LIAISON STATEMENT</w:t>
            </w:r>
          </w:p>
        </w:tc>
      </w:tr>
      <w:tr w:rsidR="000B6750" w:rsidRPr="000B6750">
        <w:trPr>
          <w:cantSplit/>
          <w:trHeight w:val="357"/>
        </w:trPr>
        <w:tc>
          <w:tcPr>
            <w:tcW w:w="1617" w:type="dxa"/>
            <w:gridSpan w:val="2"/>
          </w:tcPr>
          <w:p w:rsidR="000B6750" w:rsidRPr="000B6750" w:rsidRDefault="000B6750" w:rsidP="000B6750">
            <w:pPr>
              <w:rPr>
                <w:b/>
                <w:bCs/>
              </w:rPr>
            </w:pPr>
            <w:bookmarkStart w:id="8" w:name="dsource" w:colFirst="1" w:colLast="1"/>
            <w:bookmarkEnd w:id="7"/>
            <w:r w:rsidRPr="000B6750">
              <w:rPr>
                <w:b/>
                <w:bCs/>
              </w:rPr>
              <w:t>Source:</w:t>
            </w:r>
          </w:p>
        </w:tc>
        <w:tc>
          <w:tcPr>
            <w:tcW w:w="8306" w:type="dxa"/>
            <w:gridSpan w:val="4"/>
          </w:tcPr>
          <w:p w:rsidR="000B6750" w:rsidRPr="000B6750" w:rsidRDefault="000B6750" w:rsidP="000B6750">
            <w:r>
              <w:t>ITU-T Study Group 15</w:t>
            </w:r>
          </w:p>
        </w:tc>
      </w:tr>
      <w:tr w:rsidR="000B6750" w:rsidRPr="000B6750">
        <w:trPr>
          <w:cantSplit/>
          <w:trHeight w:val="357"/>
        </w:trPr>
        <w:tc>
          <w:tcPr>
            <w:tcW w:w="1617" w:type="dxa"/>
            <w:gridSpan w:val="2"/>
            <w:tcBorders>
              <w:bottom w:val="single" w:sz="12" w:space="0" w:color="auto"/>
            </w:tcBorders>
          </w:tcPr>
          <w:p w:rsidR="000B6750" w:rsidRPr="000B6750" w:rsidRDefault="000B6750" w:rsidP="000B6750">
            <w:pPr>
              <w:spacing w:after="120"/>
            </w:pPr>
            <w:bookmarkStart w:id="9" w:name="dtitle1" w:colFirst="1" w:colLast="1"/>
            <w:bookmarkEnd w:id="8"/>
            <w:r w:rsidRPr="000B6750">
              <w:rPr>
                <w:b/>
                <w:bCs/>
              </w:rPr>
              <w:t>Title:</w:t>
            </w:r>
          </w:p>
        </w:tc>
        <w:tc>
          <w:tcPr>
            <w:tcW w:w="8306" w:type="dxa"/>
            <w:gridSpan w:val="4"/>
            <w:tcBorders>
              <w:bottom w:val="single" w:sz="12" w:space="0" w:color="auto"/>
            </w:tcBorders>
          </w:tcPr>
          <w:p w:rsidR="000B6750" w:rsidRPr="000B6750" w:rsidRDefault="000B6750" w:rsidP="000B6750">
            <w:pPr>
              <w:spacing w:after="120"/>
            </w:pPr>
            <w:r w:rsidRPr="000B6750">
              <w:t>Response to Liaison “NGMN coordination between ITU-T and 3GPP on synchronization topic”</w:t>
            </w:r>
          </w:p>
        </w:tc>
      </w:tr>
      <w:bookmarkEnd w:id="2"/>
      <w:bookmarkEnd w:id="9"/>
    </w:tbl>
    <w:p w:rsidR="00B7785E" w:rsidRPr="000B6750" w:rsidRDefault="00B7785E" w:rsidP="00B7785E">
      <w:pPr>
        <w:rPr>
          <w:lang w:val="en-US"/>
        </w:rPr>
      </w:pPr>
    </w:p>
    <w:tbl>
      <w:tblPr>
        <w:tblW w:w="9923" w:type="dxa"/>
        <w:tblLayout w:type="fixed"/>
        <w:tblCellMar>
          <w:left w:w="57" w:type="dxa"/>
          <w:right w:w="57" w:type="dxa"/>
        </w:tblCellMar>
        <w:tblLook w:val="0000"/>
      </w:tblPr>
      <w:tblGrid>
        <w:gridCol w:w="1617"/>
        <w:gridCol w:w="567"/>
        <w:gridCol w:w="2835"/>
        <w:gridCol w:w="4904"/>
      </w:tblGrid>
      <w:tr w:rsidR="00B7785E" w:rsidTr="004D0D4B">
        <w:tblPrEx>
          <w:tblCellMar>
            <w:top w:w="0" w:type="dxa"/>
            <w:bottom w:w="0" w:type="dxa"/>
          </w:tblCellMar>
        </w:tblPrEx>
        <w:trPr>
          <w:cantSplit/>
          <w:trHeight w:val="357"/>
        </w:trPr>
        <w:tc>
          <w:tcPr>
            <w:tcW w:w="9923" w:type="dxa"/>
            <w:gridSpan w:val="4"/>
            <w:tcBorders>
              <w:top w:val="single" w:sz="12" w:space="0" w:color="auto"/>
            </w:tcBorders>
          </w:tcPr>
          <w:p w:rsidR="00B7785E" w:rsidRDefault="00B7785E" w:rsidP="004D0D4B">
            <w:pPr>
              <w:jc w:val="center"/>
              <w:rPr>
                <w:b/>
              </w:rPr>
            </w:pPr>
            <w:r>
              <w:rPr>
                <w:b/>
              </w:rPr>
              <w:t>LIAISON STATEMENT</w:t>
            </w:r>
          </w:p>
        </w:tc>
      </w:tr>
      <w:tr w:rsidR="00B7785E" w:rsidTr="004D0D4B">
        <w:tblPrEx>
          <w:tblCellMar>
            <w:top w:w="0" w:type="dxa"/>
            <w:bottom w:w="0" w:type="dxa"/>
          </w:tblCellMar>
        </w:tblPrEx>
        <w:trPr>
          <w:cantSplit/>
          <w:trHeight w:val="357"/>
        </w:trPr>
        <w:tc>
          <w:tcPr>
            <w:tcW w:w="2184" w:type="dxa"/>
            <w:gridSpan w:val="2"/>
          </w:tcPr>
          <w:p w:rsidR="00B7785E" w:rsidRPr="003869CD" w:rsidRDefault="00B7785E" w:rsidP="004D0D4B">
            <w:pPr>
              <w:rPr>
                <w:rFonts w:hint="eastAsia"/>
                <w:b/>
                <w:bCs/>
                <w:lang w:eastAsia="ja-JP"/>
              </w:rPr>
            </w:pPr>
            <w:r w:rsidRPr="003869CD">
              <w:rPr>
                <w:b/>
                <w:bCs/>
              </w:rPr>
              <w:t>For action to:</w:t>
            </w:r>
          </w:p>
        </w:tc>
        <w:tc>
          <w:tcPr>
            <w:tcW w:w="7739" w:type="dxa"/>
            <w:gridSpan w:val="2"/>
          </w:tcPr>
          <w:p w:rsidR="00B7785E" w:rsidRDefault="00B7785E" w:rsidP="004D0D4B">
            <w:pPr>
              <w:pStyle w:val="LSForAction"/>
            </w:pPr>
            <w:r>
              <w:rPr>
                <w:b w:val="0"/>
                <w:bCs w:val="0"/>
              </w:rPr>
              <w:t xml:space="preserve"> </w:t>
            </w:r>
            <w:r w:rsidR="000B6750">
              <w:rPr>
                <w:b w:val="0"/>
                <w:bCs w:val="0"/>
              </w:rPr>
              <w:t>-</w:t>
            </w:r>
          </w:p>
        </w:tc>
      </w:tr>
      <w:tr w:rsidR="00B7785E" w:rsidTr="004D0D4B">
        <w:tblPrEx>
          <w:tblCellMar>
            <w:top w:w="0" w:type="dxa"/>
            <w:bottom w:w="0" w:type="dxa"/>
          </w:tblCellMar>
        </w:tblPrEx>
        <w:trPr>
          <w:cantSplit/>
          <w:trHeight w:val="357"/>
        </w:trPr>
        <w:tc>
          <w:tcPr>
            <w:tcW w:w="2184" w:type="dxa"/>
            <w:gridSpan w:val="2"/>
          </w:tcPr>
          <w:p w:rsidR="00B7785E" w:rsidRPr="003869CD" w:rsidRDefault="00B7785E" w:rsidP="004D0D4B">
            <w:pPr>
              <w:rPr>
                <w:b/>
                <w:bCs/>
              </w:rPr>
            </w:pPr>
            <w:r w:rsidRPr="003869CD">
              <w:rPr>
                <w:b/>
                <w:bCs/>
              </w:rPr>
              <w:t>For comment to:</w:t>
            </w:r>
          </w:p>
        </w:tc>
        <w:tc>
          <w:tcPr>
            <w:tcW w:w="7739" w:type="dxa"/>
            <w:gridSpan w:val="2"/>
          </w:tcPr>
          <w:p w:rsidR="00B7785E" w:rsidRDefault="000B6750" w:rsidP="004D0D4B">
            <w:pPr>
              <w:pStyle w:val="LSForComment"/>
            </w:pPr>
            <w:r>
              <w:t>-</w:t>
            </w:r>
          </w:p>
        </w:tc>
      </w:tr>
      <w:tr w:rsidR="00B7785E" w:rsidRPr="000D4A1D" w:rsidTr="004D0D4B">
        <w:tblPrEx>
          <w:tblCellMar>
            <w:top w:w="0" w:type="dxa"/>
            <w:bottom w:w="0" w:type="dxa"/>
          </w:tblCellMar>
        </w:tblPrEx>
        <w:trPr>
          <w:cantSplit/>
          <w:trHeight w:val="357"/>
        </w:trPr>
        <w:tc>
          <w:tcPr>
            <w:tcW w:w="2184" w:type="dxa"/>
            <w:gridSpan w:val="2"/>
          </w:tcPr>
          <w:p w:rsidR="00B7785E" w:rsidRPr="003869CD" w:rsidRDefault="00B7785E" w:rsidP="004D0D4B">
            <w:pPr>
              <w:rPr>
                <w:b/>
                <w:bCs/>
              </w:rPr>
            </w:pPr>
            <w:r w:rsidRPr="003869CD">
              <w:rPr>
                <w:b/>
                <w:bCs/>
              </w:rPr>
              <w:t>For information to:</w:t>
            </w:r>
          </w:p>
        </w:tc>
        <w:tc>
          <w:tcPr>
            <w:tcW w:w="7739" w:type="dxa"/>
            <w:gridSpan w:val="2"/>
          </w:tcPr>
          <w:p w:rsidR="00B7785E" w:rsidRPr="000D4A1D" w:rsidRDefault="00B7785E" w:rsidP="004D0D4B">
            <w:pPr>
              <w:pStyle w:val="LSForInfo"/>
              <w:rPr>
                <w:b w:val="0"/>
                <w:bCs w:val="0"/>
                <w:lang w:val="en-US"/>
              </w:rPr>
            </w:pPr>
            <w:r w:rsidRPr="000D4A1D">
              <w:rPr>
                <w:b w:val="0"/>
                <w:bCs w:val="0"/>
                <w:lang w:val="en-US"/>
              </w:rPr>
              <w:t>NGMN P-OSB</w:t>
            </w:r>
            <w:r w:rsidRPr="008A570D">
              <w:rPr>
                <w:b w:val="0"/>
                <w:bCs w:val="0"/>
                <w:lang w:val="en-US"/>
              </w:rPr>
              <w:t>, 3GPP RAN 1, RAN 3, RAN 4</w:t>
            </w:r>
          </w:p>
        </w:tc>
      </w:tr>
      <w:tr w:rsidR="000B6750" w:rsidTr="004D0D4B">
        <w:tblPrEx>
          <w:tblCellMar>
            <w:top w:w="0" w:type="dxa"/>
            <w:bottom w:w="0" w:type="dxa"/>
          </w:tblCellMar>
        </w:tblPrEx>
        <w:trPr>
          <w:cantSplit/>
          <w:trHeight w:val="357"/>
        </w:trPr>
        <w:tc>
          <w:tcPr>
            <w:tcW w:w="2184" w:type="dxa"/>
            <w:gridSpan w:val="2"/>
          </w:tcPr>
          <w:p w:rsidR="000B6750" w:rsidRPr="00513495" w:rsidRDefault="000B6750" w:rsidP="004D0D4B">
            <w:pPr>
              <w:rPr>
                <w:rFonts w:hint="eastAsia"/>
                <w:b/>
                <w:bCs/>
                <w:lang w:eastAsia="ja-JP"/>
              </w:rPr>
            </w:pPr>
            <w:r>
              <w:rPr>
                <w:b/>
                <w:bCs/>
              </w:rPr>
              <w:t>Approval:</w:t>
            </w:r>
          </w:p>
        </w:tc>
        <w:tc>
          <w:tcPr>
            <w:tcW w:w="7739" w:type="dxa"/>
            <w:gridSpan w:val="2"/>
          </w:tcPr>
          <w:p w:rsidR="000B6750" w:rsidRPr="00A12E0B" w:rsidRDefault="000B6750" w:rsidP="004D0D4B">
            <w:r>
              <w:t xml:space="preserve">Agreed to at </w:t>
            </w:r>
            <w:r>
              <w:t xml:space="preserve">ITU-T </w:t>
            </w:r>
            <w:r>
              <w:t>Q13/15 Interim Meeting (Indianapolis, 2-6 May 2011)</w:t>
            </w:r>
          </w:p>
        </w:tc>
      </w:tr>
      <w:tr w:rsidR="00B7785E" w:rsidTr="004D0D4B">
        <w:tblPrEx>
          <w:tblCellMar>
            <w:top w:w="0" w:type="dxa"/>
            <w:bottom w:w="0" w:type="dxa"/>
          </w:tblCellMar>
        </w:tblPrEx>
        <w:trPr>
          <w:cantSplit/>
          <w:trHeight w:val="357"/>
        </w:trPr>
        <w:tc>
          <w:tcPr>
            <w:tcW w:w="2184" w:type="dxa"/>
            <w:gridSpan w:val="2"/>
            <w:tcBorders>
              <w:bottom w:val="single" w:sz="12" w:space="0" w:color="auto"/>
            </w:tcBorders>
          </w:tcPr>
          <w:p w:rsidR="00B7785E" w:rsidRDefault="00B7785E" w:rsidP="004D0D4B">
            <w:pPr>
              <w:rPr>
                <w:rFonts w:hint="eastAsia"/>
                <w:b/>
                <w:bCs/>
                <w:lang w:eastAsia="ja-JP"/>
              </w:rPr>
            </w:pPr>
            <w:r>
              <w:rPr>
                <w:b/>
                <w:bCs/>
              </w:rPr>
              <w:t>Deadline:</w:t>
            </w:r>
          </w:p>
        </w:tc>
        <w:tc>
          <w:tcPr>
            <w:tcW w:w="7739" w:type="dxa"/>
            <w:gridSpan w:val="2"/>
            <w:tcBorders>
              <w:bottom w:val="single" w:sz="12" w:space="0" w:color="auto"/>
            </w:tcBorders>
          </w:tcPr>
          <w:p w:rsidR="00B7785E" w:rsidRDefault="000B6750" w:rsidP="004D0D4B">
            <w:pPr>
              <w:pStyle w:val="LSDeadline"/>
            </w:pPr>
            <w:r>
              <w:rPr>
                <w:b w:val="0"/>
                <w:bCs w:val="0"/>
              </w:rPr>
              <w:t>-</w:t>
            </w:r>
          </w:p>
        </w:tc>
      </w:tr>
      <w:tr w:rsidR="000B6750" w:rsidTr="000B6750">
        <w:tblPrEx>
          <w:tblCellMar>
            <w:top w:w="0" w:type="dxa"/>
            <w:bottom w:w="0" w:type="dxa"/>
          </w:tblCellMar>
        </w:tblPrEx>
        <w:trPr>
          <w:cantSplit/>
          <w:trHeight w:val="204"/>
        </w:trPr>
        <w:tc>
          <w:tcPr>
            <w:tcW w:w="1617" w:type="dxa"/>
            <w:tcBorders>
              <w:top w:val="single" w:sz="12" w:space="0" w:color="auto"/>
            </w:tcBorders>
          </w:tcPr>
          <w:p w:rsidR="000B6750" w:rsidRDefault="000B6750" w:rsidP="004D0D4B">
            <w:pPr>
              <w:rPr>
                <w:b/>
                <w:bCs/>
              </w:rPr>
            </w:pPr>
            <w:r>
              <w:rPr>
                <w:b/>
                <w:bCs/>
              </w:rPr>
              <w:t>Contact:</w:t>
            </w:r>
          </w:p>
        </w:tc>
        <w:tc>
          <w:tcPr>
            <w:tcW w:w="3402" w:type="dxa"/>
            <w:gridSpan w:val="2"/>
            <w:tcBorders>
              <w:top w:val="single" w:sz="12" w:space="0" w:color="auto"/>
            </w:tcBorders>
          </w:tcPr>
          <w:p w:rsidR="000B6750" w:rsidRPr="000B6750" w:rsidRDefault="000B6750" w:rsidP="004D0D4B">
            <w:pPr>
              <w:rPr>
                <w:lang w:val="fr-CH"/>
              </w:rPr>
            </w:pPr>
            <w:r w:rsidRPr="000B6750">
              <w:rPr>
                <w:lang w:val="fr-CH"/>
              </w:rPr>
              <w:t>Jean-Loup ferrant</w:t>
            </w:r>
          </w:p>
          <w:p w:rsidR="000B6750" w:rsidRPr="000B6750" w:rsidRDefault="000B6750" w:rsidP="004D0D4B">
            <w:pPr>
              <w:spacing w:before="0"/>
              <w:rPr>
                <w:lang w:val="fr-CH"/>
              </w:rPr>
            </w:pPr>
            <w:r w:rsidRPr="000B6750">
              <w:rPr>
                <w:lang w:val="fr-CH"/>
              </w:rPr>
              <w:t>Q13/15 Rapporteur</w:t>
            </w:r>
          </w:p>
        </w:tc>
        <w:tc>
          <w:tcPr>
            <w:tcW w:w="4904" w:type="dxa"/>
            <w:tcBorders>
              <w:top w:val="single" w:sz="12" w:space="0" w:color="auto"/>
            </w:tcBorders>
          </w:tcPr>
          <w:p w:rsidR="000B6750" w:rsidRDefault="000B6750" w:rsidP="004D0D4B">
            <w:pPr>
              <w:rPr>
                <w:lang w:val="fr-CH"/>
              </w:rPr>
            </w:pPr>
            <w:r w:rsidRPr="00A12E0B">
              <w:rPr>
                <w:lang w:val="en-US"/>
              </w:rPr>
              <w:t xml:space="preserve">Email: </w:t>
            </w:r>
            <w:hyperlink r:id="rId8" w:history="1">
              <w:r w:rsidRPr="00A12E0B">
                <w:rPr>
                  <w:rStyle w:val="Hyperlink"/>
                  <w:lang w:val="fr-CH"/>
                </w:rPr>
                <w:t>jean-loup.ferrant@calnexsol.com</w:t>
              </w:r>
            </w:hyperlink>
          </w:p>
        </w:tc>
      </w:tr>
      <w:tr w:rsidR="000B6750" w:rsidTr="000B6750">
        <w:tblPrEx>
          <w:tblCellMar>
            <w:top w:w="0" w:type="dxa"/>
            <w:bottom w:w="0" w:type="dxa"/>
          </w:tblCellMar>
        </w:tblPrEx>
        <w:trPr>
          <w:cantSplit/>
          <w:trHeight w:val="204"/>
        </w:trPr>
        <w:tc>
          <w:tcPr>
            <w:tcW w:w="1617" w:type="dxa"/>
            <w:tcBorders>
              <w:top w:val="single" w:sz="12" w:space="0" w:color="auto"/>
            </w:tcBorders>
          </w:tcPr>
          <w:p w:rsidR="000B6750" w:rsidRDefault="000B6750" w:rsidP="004D0D4B">
            <w:pPr>
              <w:rPr>
                <w:b/>
                <w:bCs/>
                <w:lang w:val="fr-CH"/>
              </w:rPr>
            </w:pPr>
            <w:r>
              <w:rPr>
                <w:b/>
                <w:bCs/>
                <w:lang w:val="fr-CH"/>
              </w:rPr>
              <w:t>Contact:</w:t>
            </w:r>
          </w:p>
        </w:tc>
        <w:tc>
          <w:tcPr>
            <w:tcW w:w="3402" w:type="dxa"/>
            <w:gridSpan w:val="2"/>
            <w:tcBorders>
              <w:top w:val="single" w:sz="12" w:space="0" w:color="auto"/>
            </w:tcBorders>
          </w:tcPr>
          <w:p w:rsidR="000B6750" w:rsidRPr="000B6750" w:rsidRDefault="000B6750" w:rsidP="004D0D4B">
            <w:pPr>
              <w:rPr>
                <w:lang w:val="fr-CH"/>
              </w:rPr>
            </w:pPr>
            <w:r w:rsidRPr="000B6750">
              <w:rPr>
                <w:lang w:val="fr-CH"/>
              </w:rPr>
              <w:t>Stefano Ruffini</w:t>
            </w:r>
          </w:p>
          <w:p w:rsidR="000B6750" w:rsidRPr="000B6750" w:rsidRDefault="000B6750" w:rsidP="004D0D4B">
            <w:pPr>
              <w:spacing w:before="0"/>
              <w:rPr>
                <w:lang w:val="fr-CH"/>
              </w:rPr>
            </w:pPr>
            <w:r w:rsidRPr="000B6750">
              <w:rPr>
                <w:lang w:val="fr-CH"/>
              </w:rPr>
              <w:t>Associate Rapporteur Q13/15</w:t>
            </w:r>
          </w:p>
        </w:tc>
        <w:tc>
          <w:tcPr>
            <w:tcW w:w="4904" w:type="dxa"/>
            <w:tcBorders>
              <w:top w:val="single" w:sz="12" w:space="0" w:color="auto"/>
            </w:tcBorders>
          </w:tcPr>
          <w:p w:rsidR="000B6750" w:rsidRDefault="000B6750" w:rsidP="004D0D4B">
            <w:r>
              <w:t xml:space="preserve">Email: </w:t>
            </w:r>
            <w:hyperlink r:id="rId9" w:history="1">
              <w:r w:rsidRPr="00A12E0B">
                <w:rPr>
                  <w:rStyle w:val="Hyperlink"/>
                </w:rPr>
                <w:t>stefano.ruffini@ericsson.com</w:t>
              </w:r>
            </w:hyperlink>
          </w:p>
        </w:tc>
      </w:tr>
      <w:tr w:rsidR="00B7785E" w:rsidTr="004D0D4B">
        <w:tblPrEx>
          <w:tblCellMar>
            <w:top w:w="0" w:type="dxa"/>
            <w:bottom w:w="0" w:type="dxa"/>
          </w:tblCellMar>
        </w:tblPrEx>
        <w:trPr>
          <w:cantSplit/>
          <w:trHeight w:val="204"/>
        </w:trPr>
        <w:tc>
          <w:tcPr>
            <w:tcW w:w="9923" w:type="dxa"/>
            <w:gridSpan w:val="4"/>
            <w:tcBorders>
              <w:top w:val="single" w:sz="12" w:space="0" w:color="auto"/>
            </w:tcBorders>
          </w:tcPr>
          <w:p w:rsidR="00B7785E" w:rsidRDefault="00B7785E" w:rsidP="004D0D4B">
            <w:pPr>
              <w:spacing w:before="0"/>
              <w:rPr>
                <w:sz w:val="18"/>
              </w:rPr>
            </w:pPr>
          </w:p>
        </w:tc>
      </w:tr>
    </w:tbl>
    <w:p w:rsidR="00B7785E" w:rsidRDefault="00B7785E" w:rsidP="00B7785E"/>
    <w:p w:rsidR="00B7785E" w:rsidRDefault="00B7785E" w:rsidP="00B7785E">
      <w:r>
        <w:t>ITU-T Question 13/15 thanks you for your liaison titled “</w:t>
      </w:r>
      <w:smartTag w:uri="urn:schemas-microsoft-com:office:smarttags" w:element="PersonName">
        <w:r w:rsidRPr="00A212DA">
          <w:t>NGMN</w:t>
        </w:r>
      </w:smartTag>
      <w:r w:rsidRPr="00A212DA">
        <w:t xml:space="preserve"> coordination between ITU-T and 3GPP on synchronization </w:t>
      </w:r>
      <w:r>
        <w:t>topic</w:t>
      </w:r>
      <w:r>
        <w:rPr>
          <w:rFonts w:eastAsia="Calibri"/>
          <w:szCs w:val="24"/>
          <w:lang w:val="en-US" w:eastAsia="zh-CN"/>
        </w:rPr>
        <w:t>”. T</w:t>
      </w:r>
      <w:r>
        <w:t>he liaison has been reviewed during the Indianapolis interim meeting, May 2 - 6, 2011.</w:t>
      </w:r>
    </w:p>
    <w:p w:rsidR="00B7785E" w:rsidRDefault="00B7785E" w:rsidP="00B7785E">
      <w:r>
        <w:t>ITU-T Question 13/15 is indeed currently working on the specification of synchronization solutions based on the IEEE1588-2008 protocol in order to support the needs of mobile networks.</w:t>
      </w:r>
    </w:p>
    <w:p w:rsidR="00B7785E" w:rsidRDefault="00B7785E" w:rsidP="00B7785E">
      <w:r>
        <w:t>In response to your Liaison, Q13/15 would like to take the opportunity to share the current work plan:</w:t>
      </w:r>
    </w:p>
    <w:p w:rsidR="00B7785E" w:rsidRDefault="00B7785E" w:rsidP="00B7785E">
      <w:pPr>
        <w:numPr>
          <w:ilvl w:val="0"/>
          <w:numId w:val="2"/>
        </w:numPr>
      </w:pPr>
      <w:r>
        <w:t>A first general work item is the study of the performance aspects of packet slave clocks (e.g. PTPv2 slaves) for frequency synchronization when using packet based methods, such as those based on the PTP telecom profile specified in the Rec. G.8265 / G.8265.1. This study includes the definition of relevant Packet Delay Variation (PDV) metrics, as well as network PDV accumulation and PDV network limits. It also includes the definition of the expected performance to be achieved by packet slave clocks. The work is currently ongoing and it is expected to be completed by the end of 2011.</w:t>
      </w:r>
    </w:p>
    <w:p w:rsidR="00B7785E" w:rsidRDefault="00B7785E" w:rsidP="00B7785E">
      <w:pPr>
        <w:numPr>
          <w:ilvl w:val="0"/>
          <w:numId w:val="2"/>
        </w:numPr>
      </w:pPr>
      <w:r>
        <w:t xml:space="preserve">A second general work item is the specification of a second PTP telecom profile for delivering accurate phase/time synchronization mainly for mobile networks needs, as well as </w:t>
      </w:r>
      <w:r>
        <w:lastRenderedPageBreak/>
        <w:t>related performance aspects. The initial simulation work assumes full timing support using Synchronous Ethernet from the network and is based on a IEEE1588 Boundary Clock function. This will result in the specification of a Telecom Boundary Clock. The work is at a preliminary stage at the moment.</w:t>
      </w:r>
    </w:p>
    <w:p w:rsidR="00B7785E" w:rsidRDefault="00B7785E" w:rsidP="00B7785E">
      <w:pPr>
        <w:ind w:left="720"/>
        <w:rPr>
          <w:lang w:val="en-US"/>
        </w:rPr>
      </w:pPr>
      <w:r>
        <w:rPr>
          <w:lang w:val="en-US"/>
        </w:rPr>
        <w:t>In particular the following recommendations are being developed, many of them are planned to be consented at the next SG15 plenary (December 2011):</w:t>
      </w:r>
    </w:p>
    <w:p w:rsidR="00B7785E" w:rsidRDefault="00B7785E" w:rsidP="00B7785E">
      <w:pPr>
        <w:numPr>
          <w:ilvl w:val="0"/>
          <w:numId w:val="1"/>
        </w:numPr>
        <w:rPr>
          <w:lang w:val="en-US"/>
        </w:rPr>
      </w:pPr>
      <w:r>
        <w:rPr>
          <w:lang w:val="en-US"/>
        </w:rPr>
        <w:t>ITU-T G.8260 revision including PDV metrics</w:t>
      </w:r>
    </w:p>
    <w:p w:rsidR="00B7785E" w:rsidRDefault="00B7785E" w:rsidP="00B7785E">
      <w:pPr>
        <w:numPr>
          <w:ilvl w:val="0"/>
          <w:numId w:val="1"/>
        </w:numPr>
        <w:rPr>
          <w:lang w:val="en-US"/>
        </w:rPr>
      </w:pPr>
      <w:r w:rsidRPr="000A21CF">
        <w:rPr>
          <w:lang w:val="en-US"/>
        </w:rPr>
        <w:t xml:space="preserve">ITU-T G.8263 defines the packet </w:t>
      </w:r>
      <w:r>
        <w:rPr>
          <w:lang w:val="en-US"/>
        </w:rPr>
        <w:t xml:space="preserve">slave </w:t>
      </w:r>
      <w:r w:rsidRPr="000A21CF">
        <w:rPr>
          <w:lang w:val="en-US"/>
        </w:rPr>
        <w:t xml:space="preserve">clock </w:t>
      </w:r>
    </w:p>
    <w:p w:rsidR="00B7785E" w:rsidRPr="000A21CF" w:rsidRDefault="00B7785E" w:rsidP="00B7785E">
      <w:pPr>
        <w:numPr>
          <w:ilvl w:val="0"/>
          <w:numId w:val="1"/>
        </w:numPr>
        <w:rPr>
          <w:lang w:val="en-US"/>
        </w:rPr>
      </w:pPr>
      <w:r w:rsidRPr="000A21CF">
        <w:rPr>
          <w:lang w:val="en-US"/>
        </w:rPr>
        <w:t>ITU-T G.8261.1 defines the PDV network limits</w:t>
      </w:r>
      <w:r>
        <w:rPr>
          <w:lang w:val="en-US"/>
        </w:rPr>
        <w:t xml:space="preserve"> </w:t>
      </w:r>
      <w:r w:rsidRPr="000A21CF">
        <w:rPr>
          <w:lang w:val="en-US"/>
        </w:rPr>
        <w:t xml:space="preserve"> </w:t>
      </w:r>
    </w:p>
    <w:p w:rsidR="00B7785E" w:rsidRDefault="00B7785E" w:rsidP="00B7785E">
      <w:pPr>
        <w:numPr>
          <w:ilvl w:val="0"/>
          <w:numId w:val="1"/>
        </w:numPr>
        <w:rPr>
          <w:lang w:val="en-US"/>
        </w:rPr>
      </w:pPr>
      <w:r w:rsidRPr="000A21CF">
        <w:rPr>
          <w:lang w:val="en-US"/>
        </w:rPr>
        <w:t>ITU-T G.8271 defines the Time and Phase synchronization requirements and network limits.</w:t>
      </w:r>
    </w:p>
    <w:p w:rsidR="00B7785E" w:rsidRDefault="00B7785E" w:rsidP="00B7785E">
      <w:pPr>
        <w:numPr>
          <w:ilvl w:val="0"/>
          <w:numId w:val="1"/>
        </w:numPr>
        <w:rPr>
          <w:lang w:val="en-US"/>
        </w:rPr>
      </w:pPr>
      <w:r>
        <w:rPr>
          <w:lang w:val="en-US"/>
        </w:rPr>
        <w:t xml:space="preserve">ITU-T G.8272 defines the PRTC (Primary Reference Time Clock). </w:t>
      </w:r>
    </w:p>
    <w:p w:rsidR="00B7785E" w:rsidRPr="000A21CF" w:rsidRDefault="00B7785E" w:rsidP="00B7785E">
      <w:pPr>
        <w:numPr>
          <w:ilvl w:val="0"/>
          <w:numId w:val="1"/>
        </w:numPr>
        <w:rPr>
          <w:lang w:val="en-US"/>
        </w:rPr>
      </w:pPr>
      <w:r>
        <w:rPr>
          <w:lang w:val="en-US"/>
        </w:rPr>
        <w:t>ITU-T G.8273 defines the</w:t>
      </w:r>
      <w:r w:rsidRPr="000A21CF">
        <w:rPr>
          <w:lang w:val="en-US"/>
        </w:rPr>
        <w:t xml:space="preserve"> framework for the G.8273 clocks</w:t>
      </w:r>
      <w:r>
        <w:rPr>
          <w:lang w:val="en-US"/>
        </w:rPr>
        <w:t xml:space="preserve">. </w:t>
      </w:r>
    </w:p>
    <w:p w:rsidR="00B7785E" w:rsidRDefault="00B7785E" w:rsidP="00B7785E">
      <w:pPr>
        <w:numPr>
          <w:ilvl w:val="0"/>
          <w:numId w:val="1"/>
        </w:numPr>
        <w:rPr>
          <w:lang w:val="en-US"/>
        </w:rPr>
      </w:pPr>
      <w:r>
        <w:rPr>
          <w:lang w:val="en-US"/>
        </w:rPr>
        <w:t>ITU-T G.8273.1</w:t>
      </w:r>
      <w:r w:rsidRPr="0089004C">
        <w:rPr>
          <w:lang w:val="en-US"/>
        </w:rPr>
        <w:t xml:space="preserve"> </w:t>
      </w:r>
      <w:r>
        <w:rPr>
          <w:lang w:val="en-US"/>
        </w:rPr>
        <w:t xml:space="preserve">defines the Packet Master (Grandmaster) requirements. </w:t>
      </w:r>
    </w:p>
    <w:p w:rsidR="00B7785E" w:rsidRDefault="00B7785E" w:rsidP="00B7785E">
      <w:pPr>
        <w:numPr>
          <w:ilvl w:val="0"/>
          <w:numId w:val="1"/>
        </w:numPr>
        <w:rPr>
          <w:lang w:val="en-US"/>
        </w:rPr>
      </w:pPr>
      <w:r>
        <w:rPr>
          <w:lang w:val="en-US"/>
        </w:rPr>
        <w:t>ITU-T G.8273.2</w:t>
      </w:r>
      <w:r w:rsidRPr="0089004C">
        <w:rPr>
          <w:lang w:val="en-US"/>
        </w:rPr>
        <w:t xml:space="preserve"> </w:t>
      </w:r>
      <w:r>
        <w:rPr>
          <w:lang w:val="en-US"/>
        </w:rPr>
        <w:t xml:space="preserve">defines the Telecom Boundary Clock requirements. </w:t>
      </w:r>
    </w:p>
    <w:p w:rsidR="00B7785E" w:rsidRPr="004325C3" w:rsidRDefault="00B7785E" w:rsidP="00B7785E">
      <w:pPr>
        <w:numPr>
          <w:ilvl w:val="0"/>
          <w:numId w:val="1"/>
        </w:numPr>
        <w:rPr>
          <w:lang w:val="en-US"/>
        </w:rPr>
      </w:pPr>
      <w:r>
        <w:rPr>
          <w:lang w:val="en-US"/>
        </w:rPr>
        <w:t xml:space="preserve">ITU-T G.8275 </w:t>
      </w:r>
      <w:r>
        <w:t xml:space="preserve">describes the general architecture of phase and time distribution using packet based methods. </w:t>
      </w:r>
    </w:p>
    <w:p w:rsidR="00B7785E" w:rsidRDefault="00B7785E" w:rsidP="00B7785E">
      <w:pPr>
        <w:numPr>
          <w:ilvl w:val="0"/>
          <w:numId w:val="1"/>
        </w:numPr>
        <w:rPr>
          <w:lang w:val="en-US"/>
        </w:rPr>
      </w:pPr>
      <w:r>
        <w:rPr>
          <w:lang w:val="en-US"/>
        </w:rPr>
        <w:t xml:space="preserve">ITU-TG.8275.1 describes the use of IEEE™1588 (“telecom” profile for IEEE™1588 Version 2) for the time sync distribution. </w:t>
      </w:r>
    </w:p>
    <w:p w:rsidR="00B7785E" w:rsidRPr="002839FD" w:rsidRDefault="00B7785E" w:rsidP="00B7785E">
      <w:pPr>
        <w:tabs>
          <w:tab w:val="clear" w:pos="794"/>
          <w:tab w:val="clear" w:pos="1191"/>
          <w:tab w:val="clear" w:pos="1588"/>
          <w:tab w:val="clear" w:pos="1985"/>
        </w:tabs>
        <w:overflowPunct/>
        <w:spacing w:before="0"/>
        <w:textAlignment w:val="auto"/>
      </w:pPr>
    </w:p>
    <w:p w:rsidR="00B7785E" w:rsidRDefault="00B7785E" w:rsidP="00B7785E">
      <w:r>
        <w:t>Finally, Q13</w:t>
      </w:r>
      <w:r w:rsidR="000B6750">
        <w:t>/15</w:t>
      </w:r>
      <w:r>
        <w:t xml:space="preserve"> would like to share some Rec. recently approved:</w:t>
      </w:r>
    </w:p>
    <w:p w:rsidR="00B7785E" w:rsidRDefault="00B7785E" w:rsidP="00B7785E">
      <w:pPr>
        <w:numPr>
          <w:ilvl w:val="0"/>
          <w:numId w:val="2"/>
        </w:numPr>
      </w:pPr>
      <w:r>
        <w:t>G.8265 / G.8265.1: first PTP telecom profile for frequency synchronization of a network without timing support (e.g. no Boundary Clock or Transparent Clock)</w:t>
      </w:r>
    </w:p>
    <w:p w:rsidR="00B7785E" w:rsidRDefault="00B7785E" w:rsidP="00B7785E">
      <w:pPr>
        <w:tabs>
          <w:tab w:val="clear" w:pos="794"/>
          <w:tab w:val="clear" w:pos="1191"/>
          <w:tab w:val="clear" w:pos="1588"/>
          <w:tab w:val="clear" w:pos="1985"/>
        </w:tabs>
        <w:overflowPunct/>
        <w:spacing w:before="0"/>
        <w:textAlignment w:val="auto"/>
        <w:rPr>
          <w:lang w:val="en-US"/>
        </w:rPr>
      </w:pPr>
    </w:p>
    <w:p w:rsidR="00B7785E" w:rsidRDefault="00B7785E" w:rsidP="00B7785E">
      <w:r>
        <w:t>Q13</w:t>
      </w:r>
      <w:r w:rsidR="000B6750">
        <w:t>/15</w:t>
      </w:r>
      <w:r>
        <w:t xml:space="preserve"> is looking forward to continue receiving information about the NGMN discussions related to synchronization.</w:t>
      </w:r>
    </w:p>
    <w:p w:rsidR="000B6750" w:rsidRDefault="000B6750" w:rsidP="00B7785E"/>
    <w:p w:rsidR="000B6750" w:rsidRDefault="000B6750" w:rsidP="00B7785E"/>
    <w:p w:rsidR="000B6750" w:rsidRDefault="000B6750" w:rsidP="00B7785E">
      <w:r>
        <w:t xml:space="preserve">Recommendation ITU-T G.8265 is available at: </w:t>
      </w:r>
      <w:hyperlink r:id="rId10" w:history="1">
        <w:r w:rsidRPr="003C77E8">
          <w:rPr>
            <w:rStyle w:val="Hyperlink"/>
          </w:rPr>
          <w:t>http://www.itu.int/rec/T-REC-G.8265</w:t>
        </w:r>
      </w:hyperlink>
      <w:r>
        <w:t>.</w:t>
      </w:r>
    </w:p>
    <w:p w:rsidR="00B7785E" w:rsidRPr="009062A2" w:rsidRDefault="000B6750" w:rsidP="00B7785E">
      <w:r>
        <w:t xml:space="preserve">Recommendation ITU-T G.8265.1 is available at: </w:t>
      </w:r>
      <w:hyperlink r:id="rId11" w:history="1">
        <w:r w:rsidRPr="003C77E8">
          <w:rPr>
            <w:rStyle w:val="Hyperlink"/>
          </w:rPr>
          <w:t>http://www.itu.int/rec/T-REC-G.8265.1</w:t>
        </w:r>
      </w:hyperlink>
      <w:r>
        <w:t xml:space="preserve">.  </w:t>
      </w:r>
    </w:p>
    <w:p w:rsidR="002D7F60" w:rsidRDefault="002D7F60">
      <w:pPr>
        <w:rPr>
          <w:lang w:val="en-US"/>
        </w:rPr>
      </w:pPr>
    </w:p>
    <w:p w:rsidR="000B6750" w:rsidRDefault="000B6750" w:rsidP="000B6750">
      <w:pPr>
        <w:jc w:val="center"/>
      </w:pPr>
      <w:r>
        <w:rPr>
          <w:lang w:val="en-US"/>
        </w:rPr>
        <w:t>________________</w:t>
      </w:r>
    </w:p>
    <w:sectPr w:rsidR="000B6750" w:rsidSect="000B6750">
      <w:headerReference w:type="default" r:id="rId12"/>
      <w:footerReference w:type="default" r:id="rId13"/>
      <w:footerReference w:type="first" r:id="rId14"/>
      <w:pgSz w:w="11906" w:h="16838"/>
      <w:pgMar w:top="1417" w:right="1134" w:bottom="1417"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750" w:rsidRDefault="000B6750" w:rsidP="000B6750">
      <w:pPr>
        <w:spacing w:before="0"/>
      </w:pPr>
      <w:r>
        <w:separator/>
      </w:r>
    </w:p>
  </w:endnote>
  <w:endnote w:type="continuationSeparator" w:id="0">
    <w:p w:rsidR="000B6750" w:rsidRDefault="000B6750" w:rsidP="000B675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750" w:rsidRPr="000B6750" w:rsidRDefault="000B6750" w:rsidP="000B6750">
    <w:pPr>
      <w:pStyle w:val="Footer"/>
      <w:rPr>
        <w:sz w:val="16"/>
        <w:lang w:val="fr-CH"/>
      </w:rPr>
    </w:pPr>
    <w:r w:rsidRPr="000B6750">
      <w:rPr>
        <w:sz w:val="16"/>
        <w:lang w:val="fr-CH"/>
      </w:rPr>
      <w:t>ITU-T\COM-T\COM15\LS\305E.DOC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0B6750" w:rsidRPr="000B6750">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B6750" w:rsidRPr="000B6750" w:rsidRDefault="000B6750" w:rsidP="000B6750">
          <w:pPr>
            <w:spacing w:before="0"/>
            <w:rPr>
              <w:sz w:val="18"/>
            </w:rPr>
          </w:pPr>
          <w:r w:rsidRPr="000B6750">
            <w:rPr>
              <w:b/>
              <w:bCs/>
              <w:sz w:val="18"/>
            </w:rPr>
            <w:t>Attention:</w:t>
          </w:r>
          <w:r w:rsidRPr="000B6750">
            <w:rPr>
              <w:sz w:val="18"/>
            </w:rPr>
            <w:t xml:space="preserve"> Some or all of the material attached to this liaison statement may be subject to ITU copyright. In such a case this will be indicated in the individual document. </w:t>
          </w:r>
        </w:p>
        <w:p w:rsidR="000B6750" w:rsidRPr="000B6750" w:rsidRDefault="000B6750" w:rsidP="000B6750">
          <w:pPr>
            <w:spacing w:before="0"/>
            <w:rPr>
              <w:sz w:val="18"/>
            </w:rPr>
          </w:pPr>
          <w:r w:rsidRPr="000B6750">
            <w:rPr>
              <w:sz w:val="18"/>
            </w:rPr>
            <w:t>Such a copyright does not prevent the use of the material for its intended purpose, but it prevents the reproduction of all or part of it in a publication without the authorization of ITU.</w:t>
          </w:r>
        </w:p>
      </w:tc>
    </w:tr>
  </w:tbl>
  <w:p w:rsidR="000B6750" w:rsidRPr="000B6750" w:rsidRDefault="000B6750" w:rsidP="000B6750">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750" w:rsidRDefault="000B6750" w:rsidP="000B6750">
      <w:pPr>
        <w:spacing w:before="0"/>
      </w:pPr>
      <w:r>
        <w:separator/>
      </w:r>
    </w:p>
  </w:footnote>
  <w:footnote w:type="continuationSeparator" w:id="0">
    <w:p w:rsidR="000B6750" w:rsidRDefault="000B6750" w:rsidP="000B6750">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750" w:rsidRPr="000B6750" w:rsidRDefault="000B6750" w:rsidP="000B6750">
    <w:pPr>
      <w:pStyle w:val="Header"/>
      <w:jc w:val="center"/>
      <w:rPr>
        <w:sz w:val="18"/>
      </w:rPr>
    </w:pPr>
    <w:r w:rsidRPr="000B6750">
      <w:rPr>
        <w:sz w:val="18"/>
      </w:rPr>
      <w:t xml:space="preserve">- </w:t>
    </w:r>
    <w:r w:rsidRPr="000B6750">
      <w:rPr>
        <w:sz w:val="18"/>
      </w:rPr>
      <w:fldChar w:fldCharType="begin"/>
    </w:r>
    <w:r w:rsidRPr="000B6750">
      <w:rPr>
        <w:sz w:val="18"/>
      </w:rPr>
      <w:instrText xml:space="preserve"> PAGE  \* MERGEFORMAT </w:instrText>
    </w:r>
    <w:r w:rsidRPr="000B6750">
      <w:rPr>
        <w:sz w:val="18"/>
      </w:rPr>
      <w:fldChar w:fldCharType="separate"/>
    </w:r>
    <w:r>
      <w:rPr>
        <w:noProof/>
        <w:sz w:val="18"/>
      </w:rPr>
      <w:t>2</w:t>
    </w:r>
    <w:r w:rsidRPr="000B6750">
      <w:rPr>
        <w:sz w:val="18"/>
      </w:rPr>
      <w:fldChar w:fldCharType="end"/>
    </w:r>
    <w:r w:rsidRPr="000B6750">
      <w:rPr>
        <w:sz w:val="18"/>
      </w:rPr>
      <w:t xml:space="preserve"> -</w:t>
    </w:r>
  </w:p>
  <w:p w:rsidR="000B6750" w:rsidRPr="000B6750" w:rsidRDefault="000B6750" w:rsidP="000B6750">
    <w:pPr>
      <w:pStyle w:val="Header"/>
      <w:spacing w:after="240"/>
      <w:jc w:val="center"/>
      <w:rPr>
        <w:sz w:val="18"/>
      </w:rPr>
    </w:pPr>
    <w:r w:rsidRPr="000B6750">
      <w:rPr>
        <w:sz w:val="18"/>
      </w:rPr>
      <w:t>COM 15 – LS 305 –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E1BE3"/>
    <w:multiLevelType w:val="hybridMultilevel"/>
    <w:tmpl w:val="DCD69F38"/>
    <w:lvl w:ilvl="0" w:tplc="68C49ACA">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B906B40"/>
    <w:multiLevelType w:val="hybridMultilevel"/>
    <w:tmpl w:val="726E6B10"/>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4"/>
  <w:displayBackgroundShape/>
  <w:defaultTabStop w:val="720"/>
  <w:drawingGridHorizontalSpacing w:val="120"/>
  <w:displayHorizontalDrawingGridEvery w:val="2"/>
  <w:characterSpacingControl w:val="doNotCompress"/>
  <w:footnotePr>
    <w:footnote w:id="-1"/>
    <w:footnote w:id="0"/>
  </w:footnotePr>
  <w:endnotePr>
    <w:endnote w:id="-1"/>
    <w:endnote w:id="0"/>
  </w:endnotePr>
  <w:compat>
    <w:useFELayout/>
  </w:compat>
  <w:rsids>
    <w:rsidRoot w:val="00B7785E"/>
    <w:rsid w:val="000B6750"/>
    <w:rsid w:val="002D7F60"/>
    <w:rsid w:val="003F4C99"/>
    <w:rsid w:val="00670C7F"/>
    <w:rsid w:val="006F540B"/>
    <w:rsid w:val="009866BD"/>
    <w:rsid w:val="00B7785E"/>
    <w:rsid w:val="00D31FF8"/>
    <w:rsid w:val="00F31CC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85E"/>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rsid w:val="00B7785E"/>
    <w:rPr>
      <w:b/>
      <w:bCs/>
    </w:rPr>
  </w:style>
  <w:style w:type="paragraph" w:customStyle="1" w:styleId="LSForAction">
    <w:name w:val="LSForAction"/>
    <w:basedOn w:val="Normal"/>
    <w:rsid w:val="00B7785E"/>
    <w:rPr>
      <w:b/>
      <w:bCs/>
    </w:rPr>
  </w:style>
  <w:style w:type="paragraph" w:customStyle="1" w:styleId="LSSource">
    <w:name w:val="LSSource"/>
    <w:basedOn w:val="Normal"/>
    <w:rsid w:val="00B7785E"/>
    <w:rPr>
      <w:b/>
      <w:bCs/>
    </w:rPr>
  </w:style>
  <w:style w:type="paragraph" w:customStyle="1" w:styleId="LSTitle">
    <w:name w:val="LSTitle"/>
    <w:basedOn w:val="Normal"/>
    <w:rsid w:val="00B7785E"/>
    <w:rPr>
      <w:b/>
      <w:bCs/>
    </w:rPr>
  </w:style>
  <w:style w:type="paragraph" w:customStyle="1" w:styleId="LSForInfo">
    <w:name w:val="LSForInfo"/>
    <w:basedOn w:val="LSForAction"/>
    <w:rsid w:val="00B7785E"/>
  </w:style>
  <w:style w:type="paragraph" w:customStyle="1" w:styleId="LSForComment">
    <w:name w:val="LSForComment"/>
    <w:basedOn w:val="LSForAction"/>
    <w:rsid w:val="00B7785E"/>
  </w:style>
  <w:style w:type="paragraph" w:styleId="Header">
    <w:name w:val="header"/>
    <w:basedOn w:val="Normal"/>
    <w:link w:val="HeaderChar"/>
    <w:uiPriority w:val="99"/>
    <w:semiHidden/>
    <w:unhideWhenUsed/>
    <w:rsid w:val="000B6750"/>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semiHidden/>
    <w:rsid w:val="000B6750"/>
    <w:rPr>
      <w:rFonts w:ascii="Times New Roman" w:eastAsia="Times New Roman" w:hAnsi="Times New Roman" w:cs="Times New Roman"/>
      <w:sz w:val="24"/>
      <w:szCs w:val="20"/>
      <w:lang w:eastAsia="en-US"/>
    </w:rPr>
  </w:style>
  <w:style w:type="paragraph" w:styleId="Footer">
    <w:name w:val="footer"/>
    <w:basedOn w:val="Normal"/>
    <w:link w:val="FooterChar"/>
    <w:uiPriority w:val="99"/>
    <w:unhideWhenUsed/>
    <w:rsid w:val="000B6750"/>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0B6750"/>
    <w:rPr>
      <w:rFonts w:ascii="Times New Roman" w:eastAsia="Times New Roman" w:hAnsi="Times New Roman" w:cs="Times New Roman"/>
      <w:sz w:val="24"/>
      <w:szCs w:val="20"/>
      <w:lang w:eastAsia="en-US"/>
    </w:rPr>
  </w:style>
  <w:style w:type="character" w:styleId="Hyperlink">
    <w:name w:val="Hyperlink"/>
    <w:basedOn w:val="DefaultParagraphFont"/>
    <w:uiPriority w:val="99"/>
    <w:unhideWhenUsed/>
    <w:rsid w:val="000B675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ean-loup.ferrant@calnexso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rec/T-REC-G.8265.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tu.int/rec/T-REC-G.8265" TargetMode="External"/><Relationship Id="rId4" Type="http://schemas.openxmlformats.org/officeDocument/2006/relationships/webSettings" Target="webSettings.xml"/><Relationship Id="rId9" Type="http://schemas.openxmlformats.org/officeDocument/2006/relationships/hyperlink" Target="stefano.ruffini@ericsson.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586</Words>
  <Characters>3286</Characters>
  <Application>Microsoft Office Word</Application>
  <DocSecurity>0</DocSecurity>
  <Lines>106</Lines>
  <Paragraphs>67</Paragraphs>
  <ScaleCrop>false</ScaleCrop>
  <Manager>ITU-T</Manager>
  <Company>International Telecommunication Union (ITU)</Company>
  <LinksUpToDate>false</LinksUpToDate>
  <CharactersWithSpaces>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Liaison “NGMN coordination between ITU-T and 3GPP on synchronization topic”</dc:title>
  <dc:subject/>
  <dc:creator>RC</dc:creator>
  <cp:keywords>13</cp:keywords>
  <dc:description>COM 15 – LS 305 – E  For: Geneva, 14-18 March 2011_x000d_Document date: _x000d_Saved by RC-51004269 at 18:03:49 on 23/05/2011</dc:description>
  <cp:lastModifiedBy>RC</cp:lastModifiedBy>
  <cp:revision>2</cp:revision>
  <dcterms:created xsi:type="dcterms:W3CDTF">2011-05-23T16:03:00Z</dcterms:created>
  <dcterms:modified xsi:type="dcterms:W3CDTF">2011-05-23T16:09:00Z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15 – LS 305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13</vt:lpwstr>
  </property>
  <property fmtid="{D5CDD505-2E9C-101B-9397-08002B2CF9AE}" pid="6" name="Docdest">
    <vt:lpwstr>Geneva, 14-18 March 2011</vt:lpwstr>
  </property>
  <property fmtid="{D5CDD505-2E9C-101B-9397-08002B2CF9AE}" pid="7" name="Docauthor">
    <vt:lpwstr/>
  </property>
</Properties>
</file>