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1592D" w14:textId="13F82EAE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927FC2">
        <w:rPr>
          <w:b/>
          <w:noProof/>
          <w:sz w:val="24"/>
        </w:rPr>
        <w:t>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DA5D62">
        <w:rPr>
          <w:b/>
          <w:i/>
          <w:noProof/>
          <w:sz w:val="28"/>
        </w:rPr>
        <w:t>xxxx</w:t>
      </w:r>
    </w:p>
    <w:p w14:paraId="4F58A4D1" w14:textId="3A61076D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 xml:space="preserve">e-meeting, </w:t>
      </w:r>
      <w:r w:rsidR="00927FC2">
        <w:rPr>
          <w:b/>
          <w:bCs/>
          <w:sz w:val="24"/>
        </w:rPr>
        <w:t>4</w:t>
      </w:r>
      <w:r w:rsidR="002249D7">
        <w:rPr>
          <w:rFonts w:hint="eastAsia"/>
          <w:b/>
          <w:bCs/>
          <w:sz w:val="24"/>
          <w:lang w:eastAsia="zh-CN"/>
        </w:rPr>
        <w:t>th</w:t>
      </w:r>
      <w:r w:rsidRPr="00936EE4">
        <w:rPr>
          <w:b/>
          <w:bCs/>
          <w:sz w:val="24"/>
        </w:rPr>
        <w:t xml:space="preserve"> -</w:t>
      </w:r>
      <w:r w:rsidR="00927FC2">
        <w:rPr>
          <w:b/>
          <w:bCs/>
          <w:sz w:val="24"/>
        </w:rPr>
        <w:t>12</w:t>
      </w:r>
      <w:r w:rsidR="002249D7">
        <w:rPr>
          <w:rFonts w:hint="eastAsia"/>
          <w:b/>
          <w:bCs/>
          <w:sz w:val="24"/>
          <w:lang w:eastAsia="zh-CN"/>
        </w:rPr>
        <w:t>th</w:t>
      </w:r>
      <w:r w:rsidR="00927FC2">
        <w:rPr>
          <w:b/>
          <w:bCs/>
          <w:sz w:val="24"/>
        </w:rPr>
        <w:t xml:space="preserve"> April</w:t>
      </w:r>
      <w:r w:rsidRPr="00936EE4">
        <w:rPr>
          <w:b/>
          <w:bCs/>
          <w:sz w:val="24"/>
        </w:rPr>
        <w:t xml:space="preserve">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1A4605E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615E3">
        <w:rPr>
          <w:rFonts w:ascii="Arial" w:hAnsi="Arial"/>
          <w:b/>
          <w:lang w:val="en-US"/>
        </w:rPr>
        <w:t>Huawei</w:t>
      </w:r>
    </w:p>
    <w:p w14:paraId="7C9F0994" w14:textId="460DE36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30BD8" w:rsidRPr="00E30BD8">
        <w:rPr>
          <w:rFonts w:ascii="Arial" w:hAnsi="Arial" w:cs="Arial"/>
          <w:b/>
        </w:rPr>
        <w:t>Discussion Paper for evaluation of charging aspect</w:t>
      </w:r>
      <w:r w:rsidR="00B115CE">
        <w:rPr>
          <w:rFonts w:ascii="Arial" w:hAnsi="Arial" w:cs="Arial"/>
          <w:b/>
        </w:rPr>
        <w:t>s</w:t>
      </w:r>
      <w:r w:rsidR="00E30BD8" w:rsidRPr="00E30BD8">
        <w:rPr>
          <w:rFonts w:ascii="Arial" w:hAnsi="Arial" w:cs="Arial"/>
          <w:b/>
        </w:rPr>
        <w:t xml:space="preserve"> for LBO</w:t>
      </w:r>
    </w:p>
    <w:p w14:paraId="7C3F786F" w14:textId="489713D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F615E3">
        <w:rPr>
          <w:rFonts w:ascii="Arial" w:eastAsia="MS Mincho" w:hAnsi="Arial"/>
          <w:b/>
        </w:rPr>
        <w:t>Discussion</w:t>
      </w:r>
    </w:p>
    <w:p w14:paraId="29FC3C54" w14:textId="370E3F9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1B324402" w:rsidR="0084737F" w:rsidRPr="00A22D7D" w:rsidRDefault="00A22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lang w:eastAsia="zh-CN"/>
        </w:rPr>
      </w:pPr>
      <w:r w:rsidRPr="00A22D7D">
        <w:rPr>
          <w:b/>
          <w:i/>
          <w:lang w:eastAsia="zh-CN"/>
        </w:rPr>
        <w:t xml:space="preserve">This DP discusses the key issues for the </w:t>
      </w:r>
      <w:r w:rsidR="00E30BD8" w:rsidRPr="00E30BD8">
        <w:rPr>
          <w:b/>
          <w:i/>
          <w:lang w:eastAsia="zh-CN"/>
        </w:rPr>
        <w:t xml:space="preserve">evaluation of </w:t>
      </w:r>
      <w:r w:rsidRPr="00A22D7D">
        <w:rPr>
          <w:b/>
          <w:i/>
          <w:lang w:eastAsia="zh-CN"/>
        </w:rPr>
        <w:t>local breakout roaming scenarios charging.</w:t>
      </w:r>
    </w:p>
    <w:p w14:paraId="598800AA" w14:textId="77777777" w:rsidR="00903A67" w:rsidRDefault="00903A67" w:rsidP="00903A67">
      <w:pPr>
        <w:pStyle w:val="1"/>
      </w:pPr>
      <w:r>
        <w:t>2</w:t>
      </w:r>
      <w:r>
        <w:tab/>
        <w:t>References</w:t>
      </w:r>
    </w:p>
    <w:p w14:paraId="518E5146" w14:textId="75F9ECEA" w:rsidR="00903A67" w:rsidRDefault="00903A67" w:rsidP="00903A67">
      <w:pPr>
        <w:pStyle w:val="Reference"/>
      </w:pPr>
      <w:r>
        <w:t>[1]</w:t>
      </w:r>
      <w:r>
        <w:tab/>
        <w:t>3GPP T</w:t>
      </w:r>
      <w:r w:rsidR="00541D8B">
        <w:t>R 28.827</w:t>
      </w:r>
      <w:r w:rsidR="001C75C6">
        <w:t xml:space="preserve"> </w:t>
      </w:r>
      <w:r w:rsidR="001C75C6" w:rsidRPr="001C75C6">
        <w:t>Study on 5G charging for additional roaming scenarios and actors</w:t>
      </w:r>
    </w:p>
    <w:p w14:paraId="4C21AF4D" w14:textId="69968A94" w:rsidR="00903A67" w:rsidRDefault="00903A67" w:rsidP="00903A67">
      <w:pPr>
        <w:pStyle w:val="Reference"/>
      </w:pPr>
      <w:r>
        <w:t>[2]</w:t>
      </w:r>
      <w:r>
        <w:tab/>
        <w:t xml:space="preserve">3GPP TS </w:t>
      </w:r>
      <w:r w:rsidR="00193400">
        <w:t>23.503</w:t>
      </w:r>
      <w:r w:rsidR="009A64E8" w:rsidRPr="00A22D7D">
        <w:t xml:space="preserve"> </w:t>
      </w:r>
      <w:r w:rsidR="00193400" w:rsidRPr="00193400">
        <w:t>Policy and charging control framework for the 5G System (5GS); Stage 2</w:t>
      </w:r>
    </w:p>
    <w:p w14:paraId="03C33738" w14:textId="56B9E9D3" w:rsidR="00800769" w:rsidRDefault="00367197" w:rsidP="00903A67">
      <w:pPr>
        <w:pStyle w:val="Reference"/>
      </w:pPr>
      <w:r>
        <w:t>[3]</w:t>
      </w:r>
      <w:r>
        <w:tab/>
        <w:t>3GPP TS 32.29</w:t>
      </w:r>
      <w:r w:rsidR="00364974">
        <w:t xml:space="preserve">1 </w:t>
      </w:r>
      <w:r w:rsidR="00955BEF">
        <w:t>Charging management;</w:t>
      </w:r>
      <w:r w:rsidR="00364974" w:rsidRPr="00364974">
        <w:t xml:space="preserve"> 5G system, charging service</w:t>
      </w:r>
    </w:p>
    <w:p w14:paraId="3C57B93E" w14:textId="258CD970" w:rsidR="00800769" w:rsidRDefault="00800769" w:rsidP="00903A67">
      <w:pPr>
        <w:pStyle w:val="Reference"/>
      </w:pPr>
      <w:r>
        <w:rPr>
          <w:rFonts w:hint="eastAsia"/>
        </w:rPr>
        <w:t>[</w:t>
      </w:r>
      <w:r>
        <w:t>4]</w:t>
      </w:r>
      <w:r w:rsidR="0068299E">
        <w:tab/>
      </w:r>
      <w:r w:rsidR="0068299E" w:rsidRPr="0068299E">
        <w:rPr>
          <w:rFonts w:hint="eastAsia"/>
        </w:rPr>
        <w:t>Discussion paper on scenarios for interaction with two CHFs</w:t>
      </w:r>
    </w:p>
    <w:p w14:paraId="12BD0462" w14:textId="166AA7A1" w:rsidR="00800769" w:rsidRDefault="00800769" w:rsidP="00903A67">
      <w:pPr>
        <w:pStyle w:val="Reference"/>
      </w:pPr>
      <w:r>
        <w:t>[5]</w:t>
      </w:r>
      <w:r w:rsidR="0068299E" w:rsidRPr="0068299E">
        <w:rPr>
          <w:rFonts w:hint="eastAsia"/>
        </w:rPr>
        <w:t xml:space="preserve"> </w:t>
      </w:r>
      <w:r w:rsidR="0068299E">
        <w:tab/>
      </w:r>
      <w:r w:rsidR="0068299E" w:rsidRPr="0068299E">
        <w:rPr>
          <w:rFonts w:hint="eastAsia"/>
        </w:rPr>
        <w:t>Discussion paper on function for interaction with two CHFs</w:t>
      </w:r>
    </w:p>
    <w:p w14:paraId="0DAF309E" w14:textId="6214570F" w:rsidR="00800769" w:rsidRDefault="00800769" w:rsidP="00903A67">
      <w:pPr>
        <w:pStyle w:val="Reference"/>
      </w:pPr>
      <w:r>
        <w:t>[6]</w:t>
      </w:r>
      <w:r w:rsidR="0068299E" w:rsidRPr="0068299E">
        <w:rPr>
          <w:rFonts w:hint="eastAsia"/>
        </w:rPr>
        <w:t xml:space="preserve"> </w:t>
      </w:r>
      <w:r w:rsidR="0068299E">
        <w:tab/>
        <w:t>D</w:t>
      </w:r>
      <w:r w:rsidR="0068299E" w:rsidRPr="0068299E">
        <w:rPr>
          <w:rFonts w:hint="eastAsia"/>
        </w:rPr>
        <w:t>iscussion paper on error handling for interaction with two CHFs</w:t>
      </w:r>
    </w:p>
    <w:p w14:paraId="2D9AA541" w14:textId="025585E0" w:rsidR="00800769" w:rsidRPr="00367197" w:rsidRDefault="00800769" w:rsidP="00903A67">
      <w:pPr>
        <w:pStyle w:val="Reference"/>
      </w:pPr>
      <w:r>
        <w:t>[7]</w:t>
      </w:r>
      <w:r w:rsidR="0068299E" w:rsidRPr="0068299E">
        <w:rPr>
          <w:rFonts w:hint="eastAsia"/>
        </w:rPr>
        <w:t xml:space="preserve"> </w:t>
      </w:r>
      <w:r w:rsidR="0068299E" w:rsidRPr="0068299E">
        <w:tab/>
      </w:r>
      <w:r w:rsidR="0068299E" w:rsidRPr="0068299E">
        <w:rPr>
          <w:rFonts w:hint="eastAsia"/>
        </w:rPr>
        <w:t>Discussion Paper for CHROAM</w:t>
      </w:r>
    </w:p>
    <w:p w14:paraId="434F093F" w14:textId="77777777" w:rsidR="00903A67" w:rsidRDefault="00903A67" w:rsidP="00903A67">
      <w:pPr>
        <w:pStyle w:val="1"/>
      </w:pPr>
      <w:r>
        <w:t>3</w:t>
      </w:r>
      <w:r>
        <w:tab/>
        <w:t>Rationale</w:t>
      </w:r>
    </w:p>
    <w:p w14:paraId="4A227B6B" w14:textId="293B2337" w:rsidR="00903A67" w:rsidRDefault="00903A67" w:rsidP="00860595">
      <w:pPr>
        <w:pStyle w:val="2"/>
        <w:rPr>
          <w:sz w:val="28"/>
        </w:rPr>
      </w:pPr>
      <w:r w:rsidRPr="00860595">
        <w:rPr>
          <w:sz w:val="28"/>
        </w:rPr>
        <w:t>3.1</w:t>
      </w:r>
      <w:r w:rsidRPr="00860595">
        <w:rPr>
          <w:sz w:val="28"/>
        </w:rPr>
        <w:tab/>
        <w:t>Background</w:t>
      </w:r>
    </w:p>
    <w:p w14:paraId="772A2471" w14:textId="7C8D219C" w:rsidR="0068299E" w:rsidRPr="0068299E" w:rsidRDefault="0068299E" w:rsidP="0068299E">
      <w:pPr>
        <w:rPr>
          <w:lang w:eastAsia="zh-CN"/>
        </w:rPr>
      </w:pPr>
      <w:r>
        <w:rPr>
          <w:lang w:eastAsia="zh-CN"/>
        </w:rPr>
        <w:t>Based on the conlusion of the TR 28.827</w:t>
      </w:r>
      <w:r w:rsidR="001C75C6">
        <w:rPr>
          <w:lang w:eastAsia="zh-CN"/>
        </w:rPr>
        <w:t>[1]</w:t>
      </w:r>
      <w:r>
        <w:rPr>
          <w:lang w:eastAsia="zh-CN"/>
        </w:rPr>
        <w:t>, the LBO Roaming scenario charging architecture is present as the following:</w:t>
      </w:r>
    </w:p>
    <w:p w14:paraId="34CB1FAF" w14:textId="77777777" w:rsidR="0084737F" w:rsidRDefault="0084737F" w:rsidP="0084737F">
      <w:pPr>
        <w:pStyle w:val="TF"/>
        <w:rPr>
          <w:sz w:val="16"/>
        </w:rPr>
      </w:pPr>
      <w:r w:rsidRPr="009E0DE1">
        <w:object w:dxaOrig="5202" w:dyaOrig="3597" w14:anchorId="46045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pt;height:159pt" o:ole="">
            <v:imagedata r:id="rId8" o:title=""/>
          </v:shape>
          <o:OLEObject Type="Embed" ProgID="Visio.Drawing.11" ShapeID="_x0000_i1025" DrawAspect="Content" ObjectID="_1707740353" r:id="rId9"/>
        </w:object>
      </w:r>
      <w:r w:rsidRPr="009C732D">
        <w:rPr>
          <w:sz w:val="16"/>
        </w:rPr>
        <w:t xml:space="preserve"> </w:t>
      </w:r>
    </w:p>
    <w:p w14:paraId="6F8B5AFB" w14:textId="7084D610" w:rsidR="0084737F" w:rsidRDefault="0084737F" w:rsidP="0084737F">
      <w:pPr>
        <w:pStyle w:val="TF"/>
        <w:rPr>
          <w:sz w:val="16"/>
        </w:rPr>
      </w:pPr>
      <w:r w:rsidRPr="006310CF">
        <w:rPr>
          <w:sz w:val="16"/>
        </w:rPr>
        <w:t xml:space="preserve">Figure </w:t>
      </w:r>
      <w:r w:rsidR="0068299E">
        <w:rPr>
          <w:sz w:val="16"/>
        </w:rPr>
        <w:t>1</w:t>
      </w:r>
      <w:r w:rsidRPr="006310CF">
        <w:rPr>
          <w:sz w:val="16"/>
          <w:lang w:eastAsia="zh-CN"/>
        </w:rPr>
        <w:t>:</w:t>
      </w:r>
      <w:r w:rsidRPr="006310CF">
        <w:rPr>
          <w:sz w:val="16"/>
        </w:rPr>
        <w:t xml:space="preserve"> </w:t>
      </w:r>
      <w:r>
        <w:rPr>
          <w:sz w:val="16"/>
        </w:rPr>
        <w:t xml:space="preserve">LBO </w:t>
      </w:r>
      <w:r w:rsidRPr="006310CF">
        <w:rPr>
          <w:sz w:val="16"/>
        </w:rPr>
        <w:t>Roaming 5G System</w:t>
      </w:r>
      <w:r>
        <w:rPr>
          <w:sz w:val="16"/>
        </w:rPr>
        <w:t xml:space="preserve"> charging</w:t>
      </w:r>
      <w:r w:rsidRPr="006310CF">
        <w:rPr>
          <w:sz w:val="16"/>
        </w:rPr>
        <w:t xml:space="preserve"> architecture </w:t>
      </w:r>
    </w:p>
    <w:p w14:paraId="2E0F5C3D" w14:textId="073A32E7" w:rsidR="0068299E" w:rsidRPr="0068299E" w:rsidRDefault="0068299E" w:rsidP="0068299E">
      <w:pPr>
        <w:rPr>
          <w:lang w:eastAsia="zh-CN"/>
        </w:rPr>
      </w:pPr>
      <w:r w:rsidRPr="0068299E">
        <w:rPr>
          <w:lang w:eastAsia="zh-CN"/>
        </w:rPr>
        <w:t xml:space="preserve">Based on the discussion in the 1st </w:t>
      </w:r>
      <w:r>
        <w:rPr>
          <w:lang w:eastAsia="zh-CN"/>
        </w:rPr>
        <w:t>r</w:t>
      </w:r>
      <w:r w:rsidRPr="0068299E">
        <w:rPr>
          <w:lang w:eastAsia="zh-CN"/>
        </w:rPr>
        <w:t>apportuer call</w:t>
      </w:r>
      <w:r>
        <w:rPr>
          <w:lang w:eastAsia="zh-CN"/>
        </w:rPr>
        <w:t xml:space="preserve"> (Feb 16th)</w:t>
      </w:r>
      <w:r w:rsidRPr="0068299E">
        <w:rPr>
          <w:lang w:eastAsia="zh-CN"/>
        </w:rPr>
        <w:t>,</w:t>
      </w:r>
      <w:r>
        <w:rPr>
          <w:lang w:eastAsia="zh-CN"/>
        </w:rPr>
        <w:t xml:space="preserve"> the discussion paper [4],</w:t>
      </w:r>
      <w:r w:rsidRPr="0068299E">
        <w:rPr>
          <w:lang w:eastAsia="zh-CN"/>
        </w:rPr>
        <w:t xml:space="preserve"> </w:t>
      </w:r>
      <w:r>
        <w:rPr>
          <w:lang w:eastAsia="zh-CN"/>
        </w:rPr>
        <w:t>[5],</w:t>
      </w:r>
      <w:r w:rsidRPr="0068299E">
        <w:rPr>
          <w:lang w:eastAsia="zh-CN"/>
        </w:rPr>
        <w:t xml:space="preserve"> </w:t>
      </w:r>
      <w:r>
        <w:rPr>
          <w:lang w:eastAsia="zh-CN"/>
        </w:rPr>
        <w:t>[6],</w:t>
      </w:r>
      <w:r w:rsidRPr="0068299E">
        <w:rPr>
          <w:lang w:eastAsia="zh-CN"/>
        </w:rPr>
        <w:t xml:space="preserve"> </w:t>
      </w:r>
      <w:r>
        <w:rPr>
          <w:lang w:eastAsia="zh-CN"/>
        </w:rPr>
        <w:t xml:space="preserve">[7] </w:t>
      </w:r>
      <w:r w:rsidR="003849D5">
        <w:rPr>
          <w:lang w:eastAsia="zh-CN"/>
        </w:rPr>
        <w:t>describes the</w:t>
      </w:r>
      <w:r>
        <w:rPr>
          <w:lang w:eastAsia="zh-CN"/>
        </w:rPr>
        <w:t xml:space="preserve"> different solu</w:t>
      </w:r>
      <w:r w:rsidR="001A269F">
        <w:rPr>
          <w:lang w:eastAsia="zh-CN"/>
        </w:rPr>
        <w:t>tion</w:t>
      </w:r>
      <w:r w:rsidR="00BF3465">
        <w:rPr>
          <w:lang w:eastAsia="zh-CN"/>
        </w:rPr>
        <w:t>s</w:t>
      </w:r>
      <w:r>
        <w:rPr>
          <w:lang w:eastAsia="zh-CN"/>
        </w:rPr>
        <w:t xml:space="preserve"> for the Local breakout roamin</w:t>
      </w:r>
      <w:r w:rsidR="00BF3465">
        <w:rPr>
          <w:lang w:eastAsia="zh-CN"/>
        </w:rPr>
        <w:t>g scenario charging, including the trigger</w:t>
      </w:r>
      <w:r w:rsidR="003849D5">
        <w:rPr>
          <w:lang w:eastAsia="zh-CN"/>
        </w:rPr>
        <w:t xml:space="preserve"> mechanism</w:t>
      </w:r>
      <w:r w:rsidR="00BF3465">
        <w:rPr>
          <w:lang w:eastAsia="zh-CN"/>
        </w:rPr>
        <w:t>, charging information report  and quota management (with or without).</w:t>
      </w:r>
    </w:p>
    <w:p w14:paraId="1AE4E382" w14:textId="7140E408" w:rsidR="0084737F" w:rsidRPr="003B51C1" w:rsidRDefault="003B51C1" w:rsidP="003B51C1">
      <w:pPr>
        <w:pStyle w:val="2"/>
        <w:rPr>
          <w:sz w:val="28"/>
        </w:rPr>
      </w:pPr>
      <w:r>
        <w:rPr>
          <w:sz w:val="28"/>
        </w:rPr>
        <w:lastRenderedPageBreak/>
        <w:t>3.2</w:t>
      </w:r>
      <w:r>
        <w:rPr>
          <w:sz w:val="28"/>
        </w:rPr>
        <w:tab/>
      </w:r>
      <w:r w:rsidR="00936E09">
        <w:rPr>
          <w:sz w:val="28"/>
        </w:rPr>
        <w:t>Evaluation</w:t>
      </w:r>
    </w:p>
    <w:p w14:paraId="03B2F42B" w14:textId="55FF850E" w:rsidR="00466BBE" w:rsidRPr="00233E0B" w:rsidRDefault="003B51C1" w:rsidP="00233E0B">
      <w:pPr>
        <w:pStyle w:val="3"/>
        <w:rPr>
          <w:sz w:val="24"/>
          <w:lang w:val="en-US"/>
        </w:rPr>
      </w:pPr>
      <w:r w:rsidRPr="00233E0B">
        <w:rPr>
          <w:sz w:val="24"/>
          <w:lang w:val="en-US"/>
        </w:rPr>
        <w:t>3.2.1</w:t>
      </w:r>
      <w:r w:rsidRPr="00233E0B">
        <w:rPr>
          <w:sz w:val="24"/>
          <w:lang w:val="en-US"/>
        </w:rPr>
        <w:tab/>
      </w:r>
      <w:r w:rsidR="00655653" w:rsidRPr="00233E0B">
        <w:rPr>
          <w:sz w:val="24"/>
          <w:lang w:val="en-US"/>
        </w:rPr>
        <w:t>Charging resource and Charging Operation</w:t>
      </w:r>
    </w:p>
    <w:p w14:paraId="0D4C3BEF" w14:textId="6F9DF189" w:rsidR="00655653" w:rsidRPr="00233E0B" w:rsidRDefault="00481C9B" w:rsidP="00233E0B">
      <w:pPr>
        <w:pStyle w:val="4"/>
        <w:rPr>
          <w:sz w:val="21"/>
          <w:szCs w:val="21"/>
        </w:rPr>
      </w:pPr>
      <w:r w:rsidRPr="00233E0B">
        <w:rPr>
          <w:sz w:val="21"/>
          <w:szCs w:val="21"/>
        </w:rPr>
        <w:t>3.2.1.1</w:t>
      </w:r>
      <w:r w:rsidRPr="00233E0B">
        <w:rPr>
          <w:sz w:val="21"/>
          <w:szCs w:val="21"/>
        </w:rPr>
        <w:tab/>
      </w:r>
      <w:r w:rsidR="00655653" w:rsidRPr="00233E0B">
        <w:rPr>
          <w:rFonts w:hint="eastAsia"/>
          <w:sz w:val="21"/>
          <w:szCs w:val="21"/>
        </w:rPr>
        <w:t>C</w:t>
      </w:r>
      <w:r w:rsidR="00746B5E" w:rsidRPr="00233E0B">
        <w:rPr>
          <w:sz w:val="21"/>
          <w:szCs w:val="21"/>
        </w:rPr>
        <w:t>harging Resource</w:t>
      </w:r>
    </w:p>
    <w:p w14:paraId="639E1375" w14:textId="75AE87BE" w:rsidR="00E33D53" w:rsidRPr="00E33D53" w:rsidRDefault="00E33D53" w:rsidP="00E33D53">
      <w:pPr>
        <w:rPr>
          <w:lang w:val="en-US" w:eastAsia="zh-CN"/>
        </w:rPr>
      </w:pPr>
      <w:r>
        <w:rPr>
          <w:lang w:val="en-US" w:eastAsia="zh-CN"/>
        </w:rPr>
        <w:t>According to the TS 32.291</w:t>
      </w:r>
      <w:r w:rsidR="00364974">
        <w:rPr>
          <w:lang w:val="en-US" w:eastAsia="zh-CN"/>
        </w:rPr>
        <w:t>[</w:t>
      </w:r>
      <w:r w:rsidR="00BD4EC5">
        <w:rPr>
          <w:lang w:val="en-US" w:eastAsia="zh-CN"/>
        </w:rPr>
        <w:t>3</w:t>
      </w:r>
      <w:r w:rsidR="00364974">
        <w:rPr>
          <w:lang w:val="en-US" w:eastAsia="zh-CN"/>
        </w:rPr>
        <w:t>]</w:t>
      </w:r>
      <w:r>
        <w:rPr>
          <w:lang w:val="en-US" w:eastAsia="zh-CN"/>
        </w:rPr>
        <w:t xml:space="preserve">, the </w:t>
      </w:r>
      <w:r w:rsidR="00BD4EC5">
        <w:rPr>
          <w:lang w:val="en-US" w:eastAsia="zh-CN"/>
        </w:rPr>
        <w:t>c</w:t>
      </w:r>
      <w:r>
        <w:rPr>
          <w:lang w:val="en-US" w:eastAsia="zh-CN"/>
        </w:rPr>
        <w:t>hargin</w:t>
      </w:r>
      <w:r w:rsidR="00BD4EC5">
        <w:rPr>
          <w:lang w:val="en-US" w:eastAsia="zh-CN"/>
        </w:rPr>
        <w:t>g resour</w:t>
      </w:r>
      <w:r>
        <w:rPr>
          <w:lang w:val="en-US" w:eastAsia="zh-CN"/>
        </w:rPr>
        <w:t>ce is created by CHF and used b</w:t>
      </w:r>
      <w:r w:rsidR="0020521C">
        <w:rPr>
          <w:lang w:val="en-US" w:eastAsia="zh-CN"/>
        </w:rPr>
        <w:t>y the SMF. In the local breakout roaming scenario, the H-CHF and V-CHF can create its own charging data resource, and V-</w:t>
      </w:r>
      <w:r w:rsidR="0044188D">
        <w:rPr>
          <w:lang w:val="en-US" w:eastAsia="zh-CN"/>
        </w:rPr>
        <w:t>SMF shall use</w:t>
      </w:r>
      <w:r w:rsidR="0020521C">
        <w:rPr>
          <w:lang w:val="en-US" w:eastAsia="zh-CN"/>
        </w:rPr>
        <w:t xml:space="preserve"> the </w:t>
      </w:r>
      <w:r w:rsidR="0044188D" w:rsidRPr="0044188D">
        <w:rPr>
          <w:lang w:val="en-US" w:eastAsia="zh-CN"/>
        </w:rPr>
        <w:t xml:space="preserve">respective </w:t>
      </w:r>
      <w:r w:rsidR="0020521C">
        <w:rPr>
          <w:lang w:val="en-US" w:eastAsia="zh-CN"/>
        </w:rPr>
        <w:t xml:space="preserve">charging </w:t>
      </w:r>
      <w:r w:rsidR="00D570F6">
        <w:rPr>
          <w:lang w:val="en-US" w:eastAsia="zh-CN"/>
        </w:rPr>
        <w:t xml:space="preserve">data resources </w:t>
      </w:r>
      <w:r w:rsidR="0020521C">
        <w:rPr>
          <w:lang w:val="en-US" w:eastAsia="zh-CN"/>
        </w:rPr>
        <w:t>for the subsequest interaction with the H-CHF and V-CHF.</w:t>
      </w:r>
    </w:p>
    <w:p w14:paraId="0E8C94F3" w14:textId="77777777" w:rsidR="00655653" w:rsidRPr="002C23C4" w:rsidRDefault="00655653" w:rsidP="00655653">
      <w:pPr>
        <w:pStyle w:val="B1"/>
        <w:ind w:firstLine="0"/>
        <w:rPr>
          <w:b/>
          <w:lang w:eastAsia="zh-CN"/>
        </w:rPr>
      </w:pPr>
      <w:r w:rsidRPr="003B68CF">
        <w:rPr>
          <w:i/>
          <w:sz w:val="16"/>
          <w:highlight w:val="yellow"/>
          <w:lang w:eastAsia="zh-CN"/>
        </w:rPr>
        <w:t>Charging Data Ref</w:t>
      </w:r>
      <w:r w:rsidRPr="002C23C4">
        <w:rPr>
          <w:i/>
          <w:sz w:val="16"/>
          <w:lang w:eastAsia="zh-CN"/>
        </w:rPr>
        <w:t xml:space="preserve"> is a unique identifier for a charging data resource in </w:t>
      </w:r>
      <w:r w:rsidRPr="003B68CF">
        <w:rPr>
          <w:i/>
          <w:sz w:val="16"/>
          <w:highlight w:val="yellow"/>
          <w:lang w:eastAsia="zh-CN"/>
        </w:rPr>
        <w:t>a PLMN</w:t>
      </w:r>
      <w:r w:rsidRPr="002C23C4">
        <w:rPr>
          <w:i/>
          <w:sz w:val="16"/>
          <w:lang w:eastAsia="zh-CN"/>
        </w:rPr>
        <w:t xml:space="preserve">. It’s created in CHF when CHF receives a </w:t>
      </w:r>
      <w:r w:rsidRPr="002C23C4">
        <w:rPr>
          <w:i/>
          <w:sz w:val="16"/>
        </w:rPr>
        <w:t>N</w:t>
      </w:r>
      <w:r w:rsidRPr="002C23C4">
        <w:rPr>
          <w:i/>
          <w:sz w:val="16"/>
          <w:lang w:eastAsia="zh-CN"/>
        </w:rPr>
        <w:t>chf</w:t>
      </w:r>
      <w:r w:rsidRPr="002C23C4">
        <w:rPr>
          <w:i/>
          <w:sz w:val="16"/>
        </w:rPr>
        <w:t>_</w:t>
      </w:r>
      <w:r w:rsidRPr="002C23C4">
        <w:rPr>
          <w:i/>
          <w:sz w:val="16"/>
          <w:lang w:eastAsia="zh-CN"/>
        </w:rPr>
        <w:t xml:space="preserve"> ConvergedCharging</w:t>
      </w:r>
      <w:r w:rsidRPr="002C23C4">
        <w:rPr>
          <w:i/>
          <w:sz w:val="16"/>
        </w:rPr>
        <w:t>_</w:t>
      </w:r>
      <w:r w:rsidRPr="002C23C4">
        <w:rPr>
          <w:i/>
          <w:sz w:val="16"/>
          <w:lang w:eastAsia="zh-CN"/>
        </w:rPr>
        <w:t>Create request and provided to NF (CTF) in t</w:t>
      </w:r>
      <w:r w:rsidRPr="002C23C4">
        <w:rPr>
          <w:i/>
          <w:sz w:val="16"/>
        </w:rPr>
        <w:t>he Location header field</w:t>
      </w:r>
      <w:r w:rsidRPr="002C23C4">
        <w:rPr>
          <w:i/>
          <w:sz w:val="16"/>
          <w:lang w:eastAsia="zh-CN"/>
        </w:rPr>
        <w:t xml:space="preserve"> in the </w:t>
      </w:r>
      <w:r w:rsidRPr="002C23C4">
        <w:rPr>
          <w:i/>
          <w:sz w:val="16"/>
        </w:rPr>
        <w:t>N</w:t>
      </w:r>
      <w:r w:rsidRPr="002C23C4">
        <w:rPr>
          <w:i/>
          <w:sz w:val="16"/>
          <w:lang w:eastAsia="zh-CN"/>
        </w:rPr>
        <w:t>chf</w:t>
      </w:r>
      <w:r w:rsidRPr="002C23C4">
        <w:rPr>
          <w:i/>
          <w:sz w:val="16"/>
        </w:rPr>
        <w:t>_</w:t>
      </w:r>
      <w:r w:rsidRPr="002C23C4">
        <w:rPr>
          <w:i/>
          <w:sz w:val="16"/>
          <w:lang w:eastAsia="zh-CN"/>
        </w:rPr>
        <w:t xml:space="preserve"> ConvergedCharging</w:t>
      </w:r>
      <w:r w:rsidRPr="002C23C4">
        <w:rPr>
          <w:i/>
          <w:sz w:val="16"/>
        </w:rPr>
        <w:t>_</w:t>
      </w:r>
      <w:r w:rsidRPr="002C23C4">
        <w:rPr>
          <w:i/>
          <w:sz w:val="16"/>
          <w:lang w:eastAsia="zh-CN"/>
        </w:rPr>
        <w:t>Create response</w:t>
      </w:r>
      <w:r w:rsidRPr="002C23C4">
        <w:rPr>
          <w:i/>
          <w:sz w:val="16"/>
        </w:rPr>
        <w:t xml:space="preserve">. The </w:t>
      </w:r>
      <w:r w:rsidRPr="002C23C4">
        <w:rPr>
          <w:i/>
          <w:sz w:val="16"/>
          <w:lang w:eastAsia="zh-CN"/>
        </w:rPr>
        <w:t>NF (CTF) s</w:t>
      </w:r>
      <w:r w:rsidRPr="002C23C4">
        <w:rPr>
          <w:i/>
          <w:sz w:val="16"/>
        </w:rPr>
        <w:t>hall use the</w:t>
      </w:r>
      <w:r w:rsidRPr="002C23C4">
        <w:rPr>
          <w:i/>
          <w:sz w:val="16"/>
          <w:lang w:eastAsia="zh-CN"/>
        </w:rPr>
        <w:t xml:space="preserve"> Charging Data Ref</w:t>
      </w:r>
      <w:r w:rsidRPr="002C23C4">
        <w:rPr>
          <w:i/>
          <w:sz w:val="16"/>
        </w:rPr>
        <w:t xml:space="preserve"> received in subsequent requests to the CHF</w:t>
      </w:r>
      <w:r w:rsidRPr="002C23C4">
        <w:rPr>
          <w:i/>
          <w:sz w:val="16"/>
          <w:lang w:eastAsia="zh-CN"/>
        </w:rPr>
        <w:t xml:space="preserve"> for the same charging data resource</w:t>
      </w:r>
      <w:r w:rsidRPr="002C23C4">
        <w:rPr>
          <w:i/>
          <w:sz w:val="16"/>
        </w:rPr>
        <w:t>.</w:t>
      </w:r>
      <w:r>
        <w:rPr>
          <w:i/>
          <w:sz w:val="16"/>
        </w:rPr>
        <w:t xml:space="preserve"> (From TS 32.291 Clause 6.1.3.1).</w:t>
      </w:r>
    </w:p>
    <w:p w14:paraId="64090BB3" w14:textId="38414535" w:rsidR="00655653" w:rsidRPr="00233E0B" w:rsidRDefault="00481C9B" w:rsidP="00481C9B">
      <w:pPr>
        <w:pStyle w:val="4"/>
        <w:rPr>
          <w:sz w:val="21"/>
          <w:szCs w:val="21"/>
        </w:rPr>
      </w:pPr>
      <w:r w:rsidRPr="00233E0B">
        <w:rPr>
          <w:sz w:val="21"/>
          <w:szCs w:val="21"/>
        </w:rPr>
        <w:t>3.2.1.2</w:t>
      </w:r>
      <w:r w:rsidRPr="00233E0B">
        <w:rPr>
          <w:sz w:val="21"/>
          <w:szCs w:val="21"/>
        </w:rPr>
        <w:tab/>
      </w:r>
      <w:r w:rsidR="00746B5E" w:rsidRPr="00233E0B">
        <w:rPr>
          <w:sz w:val="21"/>
          <w:szCs w:val="21"/>
        </w:rPr>
        <w:t>Charging Operation</w:t>
      </w:r>
    </w:p>
    <w:p w14:paraId="0E012976" w14:textId="5CE3211F" w:rsidR="00BB5187" w:rsidRDefault="00D570F6" w:rsidP="00BB5187">
      <w:pPr>
        <w:rPr>
          <w:lang w:val="en-US" w:eastAsia="zh-CN"/>
        </w:rPr>
      </w:pP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cording to the discussion papers </w:t>
      </w:r>
      <w:r>
        <w:rPr>
          <w:lang w:eastAsia="zh-CN"/>
        </w:rPr>
        <w:t>[4],</w:t>
      </w:r>
      <w:r w:rsidRPr="0068299E">
        <w:rPr>
          <w:lang w:eastAsia="zh-CN"/>
        </w:rPr>
        <w:t xml:space="preserve"> </w:t>
      </w:r>
      <w:r>
        <w:rPr>
          <w:lang w:eastAsia="zh-CN"/>
        </w:rPr>
        <w:t>[5],</w:t>
      </w:r>
      <w:r w:rsidRPr="0068299E">
        <w:rPr>
          <w:lang w:eastAsia="zh-CN"/>
        </w:rPr>
        <w:t xml:space="preserve"> </w:t>
      </w:r>
      <w:r>
        <w:rPr>
          <w:lang w:eastAsia="zh-CN"/>
        </w:rPr>
        <w:t>[6],</w:t>
      </w:r>
      <w:r w:rsidRPr="0068299E">
        <w:rPr>
          <w:lang w:eastAsia="zh-CN"/>
        </w:rPr>
        <w:t xml:space="preserve"> </w:t>
      </w:r>
      <w:r>
        <w:rPr>
          <w:lang w:eastAsia="zh-CN"/>
        </w:rPr>
        <w:t>[7]</w:t>
      </w:r>
      <w:r w:rsidR="00445882">
        <w:rPr>
          <w:lang w:eastAsia="zh-CN"/>
        </w:rPr>
        <w:t xml:space="preserve">, </w:t>
      </w:r>
      <w:r w:rsidR="00445882">
        <w:rPr>
          <w:lang w:val="en-US" w:eastAsia="zh-CN"/>
        </w:rPr>
        <w:t>there are 2 solutions for local breakout roaming charging, based on whether the charging operation is different or not.</w:t>
      </w:r>
    </w:p>
    <w:p w14:paraId="05F63F28" w14:textId="482C5964" w:rsidR="006D304B" w:rsidRDefault="0067181E" w:rsidP="00F60005">
      <w:pPr>
        <w:pStyle w:val="B1"/>
        <w:numPr>
          <w:ilvl w:val="0"/>
          <w:numId w:val="21"/>
        </w:numPr>
      </w:pPr>
      <w:r w:rsidRPr="005B46FA">
        <w:rPr>
          <w:b/>
        </w:rPr>
        <w:t>Option 1</w:t>
      </w:r>
      <w:r w:rsidRPr="00466BBE">
        <w:t xml:space="preserve">: the SMF </w:t>
      </w:r>
      <w:r w:rsidR="009F0701" w:rsidRPr="00466BBE">
        <w:t>in the VPLMN</w:t>
      </w:r>
      <w:r w:rsidR="002C23C4">
        <w:t xml:space="preserve"> (V-SMF)</w:t>
      </w:r>
      <w:r w:rsidR="009F0701" w:rsidRPr="00466BBE">
        <w:t xml:space="preserve"> </w:t>
      </w:r>
      <w:r w:rsidR="000B6999" w:rsidRPr="00466BBE">
        <w:t>performs the different operation</w:t>
      </w:r>
      <w:r w:rsidR="00445882">
        <w:t xml:space="preserve"> </w:t>
      </w:r>
      <w:r w:rsidR="00445882">
        <w:rPr>
          <w:rFonts w:hint="eastAsia"/>
          <w:lang w:eastAsia="zh-CN"/>
        </w:rPr>
        <w:t>(</w:t>
      </w:r>
      <w:r w:rsidR="00445882">
        <w:rPr>
          <w:lang w:eastAsia="zh-CN"/>
        </w:rPr>
        <w:t xml:space="preserve">including the </w:t>
      </w:r>
      <w:r w:rsidR="007B34CB">
        <w:rPr>
          <w:rFonts w:hint="eastAsia"/>
          <w:lang w:eastAsia="zh-CN"/>
        </w:rPr>
        <w:t>trigger</w:t>
      </w:r>
      <w:r w:rsidR="00B1440F">
        <w:rPr>
          <w:rFonts w:hint="eastAsia"/>
          <w:lang w:eastAsia="zh-CN"/>
        </w:rPr>
        <w:t>,</w:t>
      </w:r>
      <w:r w:rsidR="00B1440F">
        <w:rPr>
          <w:lang w:eastAsia="zh-CN"/>
        </w:rPr>
        <w:t xml:space="preserve"> </w:t>
      </w:r>
      <w:r w:rsidR="00445882">
        <w:rPr>
          <w:rFonts w:hint="eastAsia"/>
          <w:lang w:eastAsia="zh-CN"/>
        </w:rPr>
        <w:t>q</w:t>
      </w:r>
      <w:r w:rsidR="00445882">
        <w:rPr>
          <w:lang w:eastAsia="zh-CN"/>
        </w:rPr>
        <w:t>uota management</w:t>
      </w:r>
      <w:r w:rsidR="00445882">
        <w:rPr>
          <w:rFonts w:hint="eastAsia"/>
          <w:lang w:eastAsia="zh-CN"/>
        </w:rPr>
        <w:t xml:space="preserve"> </w:t>
      </w:r>
      <w:r w:rsidR="00445882">
        <w:rPr>
          <w:lang w:eastAsia="zh-CN"/>
        </w:rPr>
        <w:t xml:space="preserve">and charging </w:t>
      </w:r>
      <w:r w:rsidR="00E47762">
        <w:rPr>
          <w:rFonts w:eastAsia="等线"/>
          <w:lang w:eastAsia="zh-CN" w:bidi="ar-IQ"/>
        </w:rPr>
        <w:t xml:space="preserve">information </w:t>
      </w:r>
      <w:r w:rsidR="00445882">
        <w:rPr>
          <w:lang w:eastAsia="zh-CN"/>
        </w:rPr>
        <w:t>reporting)</w:t>
      </w:r>
      <w:r w:rsidR="000B6999" w:rsidRPr="00466BBE">
        <w:t xml:space="preserve"> for </w:t>
      </w:r>
      <w:r w:rsidR="008F61C1" w:rsidRPr="00466BBE">
        <w:t>CHF in the VPLMN</w:t>
      </w:r>
      <w:r w:rsidR="002C23C4">
        <w:t xml:space="preserve"> (V-CHF)</w:t>
      </w:r>
      <w:r w:rsidR="008F61C1" w:rsidRPr="00466BBE">
        <w:t xml:space="preserve"> and CHF in the HPLMN</w:t>
      </w:r>
      <w:r w:rsidR="002C23C4">
        <w:t xml:space="preserve"> (H-CHF)</w:t>
      </w:r>
      <w:r w:rsidR="008F61C1" w:rsidRPr="00466BBE">
        <w:t xml:space="preserve">. </w:t>
      </w:r>
    </w:p>
    <w:p w14:paraId="4593C9D5" w14:textId="657AE24A" w:rsidR="005623DB" w:rsidRDefault="0018407D" w:rsidP="005623DB">
      <w:pPr>
        <w:pStyle w:val="B1"/>
        <w:numPr>
          <w:ilvl w:val="0"/>
          <w:numId w:val="21"/>
        </w:numPr>
      </w:pPr>
      <w:r w:rsidRPr="005B46FA">
        <w:rPr>
          <w:b/>
        </w:rPr>
        <w:t>Option 2:</w:t>
      </w:r>
      <w:r w:rsidRPr="00963AC3">
        <w:t xml:space="preserve"> the SMF in the VPLMN performs the same operation </w:t>
      </w:r>
      <w:r w:rsidR="00445882">
        <w:rPr>
          <w:rFonts w:hint="eastAsia"/>
          <w:lang w:eastAsia="zh-CN"/>
        </w:rPr>
        <w:t>(</w:t>
      </w:r>
      <w:r w:rsidR="00445882">
        <w:rPr>
          <w:lang w:eastAsia="zh-CN"/>
        </w:rPr>
        <w:t xml:space="preserve">including the </w:t>
      </w:r>
      <w:r w:rsidR="00445882">
        <w:rPr>
          <w:rFonts w:hint="eastAsia"/>
          <w:lang w:eastAsia="zh-CN"/>
        </w:rPr>
        <w:t>trigger</w:t>
      </w:r>
      <w:r w:rsidR="00B1440F">
        <w:rPr>
          <w:rFonts w:hint="eastAsia"/>
          <w:lang w:eastAsia="zh-CN"/>
        </w:rPr>
        <w:t>,</w:t>
      </w:r>
      <w:r w:rsidR="00B1440F">
        <w:rPr>
          <w:lang w:eastAsia="zh-CN"/>
        </w:rPr>
        <w:t xml:space="preserve"> </w:t>
      </w:r>
      <w:r w:rsidR="00445882">
        <w:rPr>
          <w:rFonts w:hint="eastAsia"/>
          <w:lang w:eastAsia="zh-CN"/>
        </w:rPr>
        <w:t>q</w:t>
      </w:r>
      <w:r w:rsidR="00445882">
        <w:rPr>
          <w:lang w:eastAsia="zh-CN"/>
        </w:rPr>
        <w:t>uota management</w:t>
      </w:r>
      <w:r w:rsidR="00445882">
        <w:rPr>
          <w:rFonts w:hint="eastAsia"/>
          <w:lang w:eastAsia="zh-CN"/>
        </w:rPr>
        <w:t xml:space="preserve"> </w:t>
      </w:r>
      <w:r w:rsidR="00445882">
        <w:rPr>
          <w:lang w:eastAsia="zh-CN"/>
        </w:rPr>
        <w:t xml:space="preserve">and charging </w:t>
      </w:r>
      <w:r w:rsidR="00E47762">
        <w:rPr>
          <w:rFonts w:eastAsia="等线"/>
          <w:lang w:eastAsia="zh-CN" w:bidi="ar-IQ"/>
        </w:rPr>
        <w:t xml:space="preserve">information </w:t>
      </w:r>
      <w:r w:rsidR="00445882">
        <w:rPr>
          <w:lang w:eastAsia="zh-CN"/>
        </w:rPr>
        <w:t>reporting)</w:t>
      </w:r>
      <w:r w:rsidR="00445882" w:rsidRPr="00466BBE">
        <w:t xml:space="preserve"> </w:t>
      </w:r>
      <w:r w:rsidRPr="00963AC3">
        <w:t xml:space="preserve">for the CHF in the VPLMN and CHF in the HPLMN. </w:t>
      </w:r>
    </w:p>
    <w:p w14:paraId="547D99BE" w14:textId="05F39694" w:rsidR="0095268E" w:rsidRPr="00193400" w:rsidRDefault="00193400" w:rsidP="00193400">
      <w:pPr>
        <w:pStyle w:val="5"/>
        <w:rPr>
          <w:sz w:val="18"/>
          <w:szCs w:val="18"/>
        </w:rPr>
      </w:pPr>
      <w:r w:rsidRPr="00193400">
        <w:rPr>
          <w:sz w:val="18"/>
          <w:szCs w:val="18"/>
        </w:rPr>
        <w:t xml:space="preserve">3.2.1.2.1 </w:t>
      </w:r>
      <w:r w:rsidRPr="00193400">
        <w:rPr>
          <w:sz w:val="18"/>
          <w:szCs w:val="18"/>
        </w:rPr>
        <w:tab/>
      </w:r>
      <w:r w:rsidR="00BB6FFF" w:rsidRPr="00BB6FFF">
        <w:rPr>
          <w:sz w:val="18"/>
          <w:szCs w:val="18"/>
        </w:rPr>
        <w:t>Current capability</w:t>
      </w:r>
    </w:p>
    <w:p w14:paraId="08E77457" w14:textId="2CC2CE24" w:rsidR="005623DB" w:rsidRPr="005623DB" w:rsidRDefault="00003671" w:rsidP="005623DB">
      <w:pPr>
        <w:rPr>
          <w:lang w:val="en-US" w:eastAsia="zh-CN"/>
        </w:rPr>
      </w:pPr>
      <w:r w:rsidRPr="005623DB">
        <w:rPr>
          <w:lang w:val="en-US" w:eastAsia="zh-CN"/>
        </w:rPr>
        <w:t>The following table 3.2.1.2-1 describers the current capabilities of H-CHF and V-CHF from three aspects</w:t>
      </w:r>
      <w:r w:rsidR="00CB3E51">
        <w:rPr>
          <w:lang w:val="en-US" w:eastAsia="zh-CN"/>
        </w:rPr>
        <w:t xml:space="preserve"> of options</w:t>
      </w:r>
      <w:r w:rsidRPr="005623DB">
        <w:rPr>
          <w:lang w:val="en-US" w:eastAsia="zh-CN"/>
        </w:rPr>
        <w:t xml:space="preserve">. </w:t>
      </w:r>
    </w:p>
    <w:p w14:paraId="673868F2" w14:textId="215745E8" w:rsidR="00003671" w:rsidRDefault="00003671" w:rsidP="005623DB">
      <w:pPr>
        <w:pStyle w:val="TH"/>
      </w:pPr>
      <w:r>
        <w:t xml:space="preserve">Table </w:t>
      </w:r>
      <w:r w:rsidRPr="00481C9B">
        <w:rPr>
          <w:sz w:val="21"/>
          <w:szCs w:val="21"/>
          <w:lang w:val="en-US"/>
        </w:rPr>
        <w:t>3.2.1.</w:t>
      </w:r>
      <w:r>
        <w:rPr>
          <w:sz w:val="21"/>
          <w:szCs w:val="21"/>
          <w:lang w:val="en-US"/>
        </w:rPr>
        <w:t>2-1</w:t>
      </w:r>
      <w:r>
        <w:t xml:space="preserve">: </w:t>
      </w:r>
      <w:r w:rsidR="00684D4D">
        <w:t>Current capability for H-CHF and V-CHF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828"/>
        <w:gridCol w:w="4252"/>
      </w:tblGrid>
      <w:tr w:rsidR="00003671" w14:paraId="73578B92" w14:textId="77777777" w:rsidTr="00B1440F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A1EE813" w14:textId="5664564B" w:rsidR="00003671" w:rsidRDefault="00A7171C">
            <w:pPr>
              <w:pStyle w:val="TAH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Key issues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EBA0AC8" w14:textId="60D6B4A8" w:rsidR="00003671" w:rsidRDefault="00003671">
            <w:pPr>
              <w:pStyle w:val="TAH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V-CHF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C9A1687" w14:textId="77475C21" w:rsidR="00003671" w:rsidRDefault="00003671" w:rsidP="00CA1732">
            <w:pPr>
              <w:pStyle w:val="TAH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H-CHF</w:t>
            </w:r>
          </w:p>
        </w:tc>
      </w:tr>
      <w:tr w:rsidR="00003671" w14:paraId="51BFB504" w14:textId="77777777" w:rsidTr="00B1440F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6724" w14:textId="58C67260" w:rsidR="00003671" w:rsidRDefault="00F21C6E">
            <w:pPr>
              <w:pStyle w:val="TAL"/>
              <w:rPr>
                <w:rFonts w:eastAsia="等线"/>
                <w:lang w:eastAsia="zh-CN" w:bidi="ar-IQ"/>
              </w:rPr>
            </w:pPr>
            <w:r>
              <w:rPr>
                <w:rFonts w:eastAsia="等线" w:hint="eastAsia"/>
                <w:lang w:eastAsia="zh-CN" w:bidi="ar-IQ"/>
              </w:rPr>
              <w:t>Q</w:t>
            </w:r>
            <w:r>
              <w:rPr>
                <w:rFonts w:eastAsia="等线"/>
                <w:lang w:eastAsia="zh-CN" w:bidi="ar-IQ"/>
              </w:rPr>
              <w:t>uota management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DB53" w14:textId="77777777" w:rsidR="00003671" w:rsidRDefault="00B1440F">
            <w:pPr>
              <w:pStyle w:val="TAL"/>
              <w:jc w:val="center"/>
              <w:rPr>
                <w:rFonts w:eastAsia="等线"/>
                <w:lang w:eastAsia="zh-CN" w:bidi="ar-IQ"/>
              </w:rPr>
            </w:pPr>
            <w:r>
              <w:rPr>
                <w:rFonts w:eastAsia="等线"/>
                <w:lang w:eastAsia="zh-CN" w:bidi="ar-IQ"/>
              </w:rPr>
              <w:t xml:space="preserve">Without quota management </w:t>
            </w:r>
          </w:p>
          <w:p w14:paraId="0B8B7060" w14:textId="7AA401EB" w:rsidR="00B1440F" w:rsidRDefault="00B1440F" w:rsidP="00145DA6">
            <w:pPr>
              <w:pStyle w:val="TAL"/>
              <w:jc w:val="center"/>
              <w:rPr>
                <w:rFonts w:eastAsia="等线"/>
                <w:lang w:eastAsia="zh-CN" w:bidi="ar-IQ"/>
              </w:rPr>
            </w:pPr>
            <w:r>
              <w:rPr>
                <w:rFonts w:eastAsia="等线"/>
                <w:lang w:eastAsia="zh-CN" w:bidi="ar-IQ"/>
              </w:rPr>
              <w:t xml:space="preserve">(No </w:t>
            </w:r>
            <w:r w:rsidR="00145DA6">
              <w:rPr>
                <w:rFonts w:eastAsia="等线"/>
                <w:lang w:eastAsia="zh-CN" w:bidi="ar-IQ"/>
              </w:rPr>
              <w:t xml:space="preserve">roaming user’s </w:t>
            </w:r>
            <w:r>
              <w:rPr>
                <w:rFonts w:eastAsia="等线"/>
                <w:lang w:eastAsia="zh-CN" w:bidi="ar-IQ"/>
              </w:rPr>
              <w:t>account balance)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D15D" w14:textId="3384F4C6" w:rsidR="00003671" w:rsidRDefault="00B1440F">
            <w:pPr>
              <w:pStyle w:val="TAL"/>
              <w:jc w:val="center"/>
              <w:rPr>
                <w:rFonts w:eastAsia="等线"/>
                <w:lang w:eastAsia="zh-CN" w:bidi="ar-IQ"/>
              </w:rPr>
            </w:pPr>
            <w:r>
              <w:rPr>
                <w:rFonts w:eastAsia="等线"/>
                <w:lang w:eastAsia="zh-CN" w:bidi="ar-IQ"/>
              </w:rPr>
              <w:t xml:space="preserve">With and without quota management </w:t>
            </w:r>
          </w:p>
        </w:tc>
      </w:tr>
      <w:tr w:rsidR="00003671" w14:paraId="313EA13A" w14:textId="77777777" w:rsidTr="00B1440F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F15" w14:textId="188AD78F" w:rsidR="00003671" w:rsidRDefault="00F21C6E">
            <w:pPr>
              <w:pStyle w:val="TAL"/>
              <w:rPr>
                <w:rFonts w:eastAsia="等线"/>
                <w:lang w:eastAsia="zh-CN" w:bidi="ar-IQ"/>
              </w:rPr>
            </w:pPr>
            <w:r>
              <w:rPr>
                <w:rFonts w:eastAsia="等线" w:hint="eastAsia"/>
                <w:lang w:eastAsia="zh-CN" w:bidi="ar-IQ"/>
              </w:rPr>
              <w:t>C</w:t>
            </w:r>
            <w:r>
              <w:rPr>
                <w:rFonts w:eastAsia="等线"/>
                <w:lang w:eastAsia="zh-CN" w:bidi="ar-IQ"/>
              </w:rPr>
              <w:t>harging information reporting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1253" w14:textId="77777777" w:rsidR="00B1440F" w:rsidRPr="00B1440F" w:rsidRDefault="00B1440F" w:rsidP="00B1440F">
            <w:pPr>
              <w:pStyle w:val="TAL"/>
              <w:jc w:val="center"/>
              <w:rPr>
                <w:rFonts w:eastAsia="等线"/>
                <w:lang w:eastAsia="zh-CN" w:bidi="ar-IQ"/>
              </w:rPr>
            </w:pPr>
            <w:r w:rsidRPr="00B1440F">
              <w:rPr>
                <w:rFonts w:eastAsia="等线" w:hint="eastAsia"/>
                <w:lang w:eastAsia="zh-CN" w:bidi="ar-IQ"/>
              </w:rPr>
              <w:t>Q</w:t>
            </w:r>
            <w:r w:rsidRPr="00B1440F">
              <w:rPr>
                <w:rFonts w:eastAsia="等线"/>
                <w:lang w:eastAsia="zh-CN" w:bidi="ar-IQ"/>
              </w:rPr>
              <w:t xml:space="preserve">BC </w:t>
            </w:r>
          </w:p>
          <w:p w14:paraId="32D0E04C" w14:textId="67D15C4E" w:rsidR="00B1440F" w:rsidRPr="00B1440F" w:rsidRDefault="00B1440F" w:rsidP="00145DA6">
            <w:pPr>
              <w:pStyle w:val="TAL"/>
              <w:jc w:val="center"/>
              <w:rPr>
                <w:rFonts w:eastAsia="等线"/>
                <w:lang w:eastAsia="zh-CN" w:bidi="ar-IQ"/>
              </w:rPr>
            </w:pPr>
            <w:r w:rsidRPr="00B1440F">
              <w:rPr>
                <w:rFonts w:eastAsia="等线"/>
                <w:lang w:eastAsia="zh-CN" w:bidi="ar-IQ"/>
              </w:rPr>
              <w:t>FBC (If the RG is preconfigurated in the V</w:t>
            </w:r>
            <w:r w:rsidR="00145DA6">
              <w:rPr>
                <w:rFonts w:eastAsia="等线"/>
                <w:lang w:eastAsia="zh-CN" w:bidi="ar-IQ"/>
              </w:rPr>
              <w:t>PLMN</w:t>
            </w:r>
            <w:r w:rsidRPr="00B1440F">
              <w:rPr>
                <w:rFonts w:eastAsia="等线"/>
                <w:lang w:eastAsia="zh-CN" w:bidi="ar-IQ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CEBB" w14:textId="77777777" w:rsidR="00B1440F" w:rsidRPr="00B1440F" w:rsidRDefault="00B1440F" w:rsidP="00B1440F">
            <w:pPr>
              <w:pStyle w:val="TAL"/>
              <w:jc w:val="center"/>
              <w:rPr>
                <w:rFonts w:eastAsia="等线"/>
                <w:lang w:eastAsia="zh-CN" w:bidi="ar-IQ"/>
              </w:rPr>
            </w:pPr>
            <w:r w:rsidRPr="00B1440F">
              <w:rPr>
                <w:rFonts w:eastAsia="等线" w:hint="eastAsia"/>
                <w:lang w:eastAsia="zh-CN" w:bidi="ar-IQ"/>
              </w:rPr>
              <w:t>Q</w:t>
            </w:r>
            <w:r w:rsidRPr="00B1440F">
              <w:rPr>
                <w:rFonts w:eastAsia="等线"/>
                <w:lang w:eastAsia="zh-CN" w:bidi="ar-IQ"/>
              </w:rPr>
              <w:t xml:space="preserve">BC </w:t>
            </w:r>
          </w:p>
          <w:p w14:paraId="12398B05" w14:textId="06BB52A0" w:rsidR="00003671" w:rsidRDefault="00B1440F" w:rsidP="00374341">
            <w:pPr>
              <w:pStyle w:val="TAL"/>
              <w:jc w:val="center"/>
              <w:rPr>
                <w:rFonts w:eastAsia="等线"/>
                <w:lang w:eastAsia="zh-CN" w:bidi="ar-IQ"/>
              </w:rPr>
            </w:pPr>
            <w:r w:rsidRPr="00B1440F">
              <w:rPr>
                <w:rFonts w:eastAsia="等线"/>
                <w:lang w:eastAsia="zh-CN" w:bidi="ar-IQ"/>
              </w:rPr>
              <w:t xml:space="preserve">FBC (If the RG is preconfigurated in </w:t>
            </w:r>
            <w:r w:rsidR="00145DA6" w:rsidRPr="00B1440F">
              <w:rPr>
                <w:rFonts w:eastAsia="等线"/>
                <w:lang w:eastAsia="zh-CN" w:bidi="ar-IQ"/>
              </w:rPr>
              <w:t>the V</w:t>
            </w:r>
            <w:r w:rsidR="00145DA6">
              <w:rPr>
                <w:rFonts w:eastAsia="等线"/>
                <w:lang w:eastAsia="zh-CN" w:bidi="ar-IQ"/>
              </w:rPr>
              <w:t>PLMN</w:t>
            </w:r>
            <w:r w:rsidRPr="00B1440F">
              <w:rPr>
                <w:rFonts w:eastAsia="等线"/>
                <w:lang w:eastAsia="zh-CN" w:bidi="ar-IQ"/>
              </w:rPr>
              <w:t>)</w:t>
            </w:r>
          </w:p>
        </w:tc>
      </w:tr>
      <w:tr w:rsidR="00B1440F" w14:paraId="57AC5EBF" w14:textId="77777777" w:rsidTr="00B1440F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7906" w14:textId="1BBDCECE" w:rsidR="00B1440F" w:rsidRDefault="00B1440F">
            <w:pPr>
              <w:pStyle w:val="TAL"/>
              <w:rPr>
                <w:rFonts w:eastAsia="等线"/>
                <w:lang w:eastAsia="zh-CN" w:bidi="ar-IQ"/>
              </w:rPr>
            </w:pPr>
            <w:r>
              <w:rPr>
                <w:rFonts w:eastAsia="等线" w:hint="eastAsia"/>
                <w:lang w:eastAsia="zh-CN" w:bidi="ar-IQ"/>
              </w:rPr>
              <w:t>T</w:t>
            </w:r>
            <w:r>
              <w:rPr>
                <w:rFonts w:eastAsia="等线"/>
                <w:lang w:eastAsia="zh-CN" w:bidi="ar-IQ"/>
              </w:rPr>
              <w:t>rigger setting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C581" w14:textId="286D7D26" w:rsidR="00B1440F" w:rsidRPr="00B1440F" w:rsidRDefault="00B1440F">
            <w:pPr>
              <w:pStyle w:val="TAL"/>
              <w:jc w:val="center"/>
              <w:rPr>
                <w:rFonts w:eastAsia="等线"/>
                <w:lang w:eastAsia="zh-CN" w:bidi="ar-IQ"/>
              </w:rPr>
            </w:pPr>
            <w:r w:rsidRPr="00B1440F">
              <w:rPr>
                <w:rFonts w:eastAsia="等线"/>
                <w:lang w:eastAsia="zh-CN" w:bidi="ar-IQ"/>
              </w:rPr>
              <w:t>Yes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B609" w14:textId="60EDA0A5" w:rsidR="00B1440F" w:rsidRDefault="00B1440F">
            <w:pPr>
              <w:pStyle w:val="TAL"/>
              <w:jc w:val="center"/>
              <w:rPr>
                <w:rFonts w:eastAsia="等线"/>
                <w:lang w:eastAsia="zh-CN" w:bidi="ar-IQ"/>
              </w:rPr>
            </w:pPr>
            <w:r>
              <w:rPr>
                <w:rFonts w:eastAsia="等线"/>
                <w:lang w:eastAsia="zh-CN" w:bidi="ar-IQ"/>
              </w:rPr>
              <w:t>Yes</w:t>
            </w:r>
          </w:p>
        </w:tc>
      </w:tr>
    </w:tbl>
    <w:p w14:paraId="0E3744C1" w14:textId="77777777" w:rsidR="00B1440F" w:rsidRDefault="00B1440F" w:rsidP="00B1440F">
      <w:pPr>
        <w:pStyle w:val="B1"/>
        <w:ind w:left="644" w:firstLine="0"/>
        <w:rPr>
          <w:lang w:eastAsia="zh-CN"/>
        </w:rPr>
      </w:pPr>
    </w:p>
    <w:p w14:paraId="43EAEFE3" w14:textId="0F95B9D3" w:rsidR="0095268E" w:rsidRDefault="00193400" w:rsidP="00193400">
      <w:pPr>
        <w:pStyle w:val="5"/>
        <w:rPr>
          <w:sz w:val="18"/>
          <w:szCs w:val="18"/>
        </w:rPr>
      </w:pPr>
      <w:r w:rsidRPr="00193400">
        <w:rPr>
          <w:sz w:val="18"/>
          <w:szCs w:val="18"/>
        </w:rPr>
        <w:t>3.2.1.2.</w:t>
      </w:r>
      <w:r>
        <w:rPr>
          <w:sz w:val="18"/>
          <w:szCs w:val="18"/>
        </w:rPr>
        <w:t>2</w:t>
      </w:r>
      <w:r w:rsidRPr="00193400">
        <w:rPr>
          <w:sz w:val="18"/>
          <w:szCs w:val="18"/>
        </w:rPr>
        <w:t xml:space="preserve"> </w:t>
      </w:r>
      <w:r w:rsidRPr="00193400">
        <w:rPr>
          <w:sz w:val="18"/>
          <w:szCs w:val="18"/>
        </w:rPr>
        <w:tab/>
      </w:r>
      <w:r w:rsidR="0095268E" w:rsidRPr="00193400">
        <w:rPr>
          <w:sz w:val="18"/>
          <w:szCs w:val="18"/>
        </w:rPr>
        <w:t>Requirement</w:t>
      </w:r>
      <w:r w:rsidR="00CB0A91">
        <w:rPr>
          <w:sz w:val="18"/>
          <w:szCs w:val="18"/>
        </w:rPr>
        <w:t xml:space="preserve"> aspect</w:t>
      </w:r>
      <w:r w:rsidR="0095268E" w:rsidRPr="00193400">
        <w:rPr>
          <w:sz w:val="18"/>
          <w:szCs w:val="18"/>
        </w:rPr>
        <w:t xml:space="preserve"> </w:t>
      </w:r>
    </w:p>
    <w:p w14:paraId="62F36AF7" w14:textId="0ABA6256" w:rsidR="00193400" w:rsidRPr="00193400" w:rsidRDefault="00193400" w:rsidP="00193400">
      <w:pPr>
        <w:rPr>
          <w:lang w:eastAsia="zh-CN"/>
        </w:rPr>
      </w:pPr>
      <w:r>
        <w:rPr>
          <w:lang w:eastAsia="zh-CN"/>
        </w:rPr>
        <w:t>C</w:t>
      </w:r>
      <w:r w:rsidR="00E53E44">
        <w:rPr>
          <w:lang w:eastAsia="zh-CN"/>
        </w:rPr>
        <w:t>ombinding the option 1 with</w:t>
      </w:r>
      <w:r>
        <w:rPr>
          <w:lang w:eastAsia="zh-CN"/>
        </w:rPr>
        <w:t xml:space="preserve"> option 2</w:t>
      </w:r>
      <w:r w:rsidR="00E53E44">
        <w:rPr>
          <w:lang w:eastAsia="zh-CN"/>
        </w:rPr>
        <w:t>, the following items f</w:t>
      </w:r>
      <w:r>
        <w:rPr>
          <w:lang w:eastAsia="zh-CN"/>
        </w:rPr>
        <w:t xml:space="preserve">rom charging </w:t>
      </w:r>
      <w:r w:rsidR="00E53E44">
        <w:rPr>
          <w:lang w:eastAsia="zh-CN"/>
        </w:rPr>
        <w:t xml:space="preserve">aspect </w:t>
      </w:r>
      <w:r>
        <w:rPr>
          <w:lang w:eastAsia="zh-CN"/>
        </w:rPr>
        <w:t>and SMF aspect</w:t>
      </w:r>
      <w:r w:rsidR="00E53E44">
        <w:rPr>
          <w:lang w:eastAsia="zh-CN"/>
        </w:rPr>
        <w:t xml:space="preserve"> should be discussed</w:t>
      </w:r>
      <w:r>
        <w:rPr>
          <w:lang w:eastAsia="zh-CN"/>
        </w:rPr>
        <w:t xml:space="preserve">: </w:t>
      </w:r>
    </w:p>
    <w:p w14:paraId="363B45E8" w14:textId="3CE8870E" w:rsidR="00B1440F" w:rsidRDefault="00247F14" w:rsidP="00F60005">
      <w:pPr>
        <w:pStyle w:val="B1"/>
        <w:numPr>
          <w:ilvl w:val="0"/>
          <w:numId w:val="21"/>
        </w:num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rom the charging aspect:</w:t>
      </w:r>
    </w:p>
    <w:p w14:paraId="0CCC45C8" w14:textId="1C737720" w:rsidR="00E53E44" w:rsidRPr="00247F14" w:rsidRDefault="00247F14" w:rsidP="00E53E44">
      <w:pPr>
        <w:pStyle w:val="B1"/>
        <w:numPr>
          <w:ilvl w:val="1"/>
          <w:numId w:val="26"/>
        </w:numPr>
        <w:rPr>
          <w:lang w:eastAsia="zh-CN"/>
        </w:rPr>
      </w:pPr>
      <w:r>
        <w:rPr>
          <w:lang w:eastAsia="zh-CN"/>
        </w:rPr>
        <w:t>The charging information</w:t>
      </w:r>
      <w:r w:rsidR="00E53E44">
        <w:rPr>
          <w:lang w:eastAsia="zh-CN"/>
        </w:rPr>
        <w:t xml:space="preserve"> requirement</w:t>
      </w:r>
      <w:r>
        <w:rPr>
          <w:lang w:eastAsia="zh-CN"/>
        </w:rPr>
        <w:t xml:space="preserve">: </w:t>
      </w:r>
      <w:r w:rsidR="00E53E44">
        <w:rPr>
          <w:lang w:eastAsia="zh-CN"/>
        </w:rPr>
        <w:t xml:space="preserve">V-CHF should get the charging information to support the </w:t>
      </w:r>
      <w:r w:rsidR="005941AC">
        <w:rPr>
          <w:lang w:val="en-US" w:eastAsia="zh-CN"/>
        </w:rPr>
        <w:t>reconciliation</w:t>
      </w:r>
      <w:r w:rsidR="005941AC">
        <w:rPr>
          <w:lang w:eastAsia="zh-CN"/>
        </w:rPr>
        <w:t xml:space="preserve"> and </w:t>
      </w:r>
      <w:r w:rsidR="00E53E44">
        <w:rPr>
          <w:lang w:eastAsia="zh-CN"/>
        </w:rPr>
        <w:t xml:space="preserve">settelement with H-CHF, H-CHF should get the charging information to charge the End user and may additional charging information to support the </w:t>
      </w:r>
      <w:r>
        <w:rPr>
          <w:lang w:val="en-US" w:eastAsia="zh-CN"/>
        </w:rPr>
        <w:t xml:space="preserve">reconciliation and </w:t>
      </w:r>
      <w:r w:rsidR="005B44A2">
        <w:rPr>
          <w:lang w:val="en-US" w:eastAsia="zh-CN"/>
        </w:rPr>
        <w:t>s</w:t>
      </w:r>
      <w:r w:rsidRPr="00247F14">
        <w:rPr>
          <w:lang w:val="en-US" w:eastAsia="zh-CN"/>
        </w:rPr>
        <w:t>ettlement</w:t>
      </w:r>
      <w:r w:rsidR="00F26728">
        <w:rPr>
          <w:lang w:val="en-US" w:eastAsia="zh-CN"/>
        </w:rPr>
        <w:t>.</w:t>
      </w:r>
      <w:r>
        <w:rPr>
          <w:lang w:val="en-US" w:eastAsia="zh-CN"/>
        </w:rPr>
        <w:t xml:space="preserve"> </w:t>
      </w:r>
      <w:r w:rsidR="00342D11">
        <w:rPr>
          <w:lang w:val="en-US" w:eastAsia="zh-CN"/>
        </w:rPr>
        <w:t xml:space="preserve">From the standpoint of the </w:t>
      </w:r>
      <w:r w:rsidR="00342D11">
        <w:rPr>
          <w:lang w:val="en-US" w:eastAsia="zh-CN"/>
        </w:rPr>
        <w:t xml:space="preserve">reconciliation </w:t>
      </w:r>
      <w:r w:rsidR="00342D11">
        <w:rPr>
          <w:lang w:val="en-US" w:eastAsia="zh-CN"/>
        </w:rPr>
        <w:t xml:space="preserve">and settlement, </w:t>
      </w:r>
      <w:r>
        <w:rPr>
          <w:lang w:val="en-US" w:eastAsia="zh-CN"/>
        </w:rPr>
        <w:t xml:space="preserve">the charging information in V-CHF and H-CHF should be consistent. </w:t>
      </w:r>
    </w:p>
    <w:p w14:paraId="3AC93778" w14:textId="596D1E20" w:rsidR="00247F14" w:rsidRPr="00247F14" w:rsidRDefault="00247F14" w:rsidP="0095268E">
      <w:pPr>
        <w:pStyle w:val="B1"/>
        <w:numPr>
          <w:ilvl w:val="1"/>
          <w:numId w:val="26"/>
        </w:numPr>
        <w:rPr>
          <w:lang w:eastAsia="zh-CN"/>
        </w:rPr>
      </w:pPr>
      <w:r>
        <w:rPr>
          <w:lang w:val="en-US" w:eastAsia="zh-CN"/>
        </w:rPr>
        <w:t xml:space="preserve">Quota management: There is </w:t>
      </w:r>
      <w:r w:rsidR="00342D11">
        <w:rPr>
          <w:lang w:val="en-US" w:eastAsia="zh-CN"/>
        </w:rPr>
        <w:t>NO</w:t>
      </w:r>
      <w:r>
        <w:rPr>
          <w:lang w:val="en-US" w:eastAsia="zh-CN"/>
        </w:rPr>
        <w:t xml:space="preserve"> requirement for t</w:t>
      </w:r>
      <w:r w:rsidRPr="00247F14">
        <w:rPr>
          <w:lang w:val="en-US" w:eastAsia="zh-CN"/>
        </w:rPr>
        <w:t xml:space="preserve">he V-CHF </w:t>
      </w:r>
      <w:r w:rsidR="00342D11">
        <w:rPr>
          <w:lang w:val="en-US" w:eastAsia="zh-CN"/>
        </w:rPr>
        <w:t>to credit control (</w:t>
      </w:r>
      <w:r>
        <w:rPr>
          <w:lang w:val="en-US" w:eastAsia="zh-CN"/>
        </w:rPr>
        <w:t>with</w:t>
      </w:r>
      <w:r w:rsidRPr="00247F14">
        <w:rPr>
          <w:lang w:val="en-US" w:eastAsia="zh-CN"/>
        </w:rPr>
        <w:t xml:space="preserve"> quota management</w:t>
      </w:r>
      <w:r w:rsidR="00342D11">
        <w:rPr>
          <w:lang w:val="en-US" w:eastAsia="zh-CN"/>
        </w:rPr>
        <w:t>)</w:t>
      </w:r>
      <w:r w:rsidRPr="00247F14">
        <w:rPr>
          <w:lang w:val="en-US" w:eastAsia="zh-CN"/>
        </w:rPr>
        <w:t xml:space="preserve">. If </w:t>
      </w:r>
      <w:r>
        <w:rPr>
          <w:lang w:val="en-US" w:eastAsia="zh-CN"/>
        </w:rPr>
        <w:t xml:space="preserve">both </w:t>
      </w:r>
      <w:r w:rsidRPr="00247F14">
        <w:rPr>
          <w:lang w:val="en-US" w:eastAsia="zh-CN"/>
        </w:rPr>
        <w:t>the V-CHF and H</w:t>
      </w:r>
      <w:r>
        <w:rPr>
          <w:lang w:val="en-US" w:eastAsia="zh-CN"/>
        </w:rPr>
        <w:t>-CHF</w:t>
      </w:r>
      <w:r w:rsidRPr="00247F14">
        <w:rPr>
          <w:lang w:val="en-US" w:eastAsia="zh-CN"/>
        </w:rPr>
        <w:t xml:space="preserve"> have </w:t>
      </w:r>
      <w:r>
        <w:rPr>
          <w:lang w:val="en-US" w:eastAsia="zh-CN"/>
        </w:rPr>
        <w:t>the funcationaly about credit control, the</w:t>
      </w:r>
      <w:r w:rsidRPr="00247F14">
        <w:rPr>
          <w:lang w:val="en-US" w:eastAsia="zh-CN"/>
        </w:rPr>
        <w:t xml:space="preserve"> coordination between the two control points</w:t>
      </w:r>
      <w:r>
        <w:rPr>
          <w:lang w:val="en-US" w:eastAsia="zh-CN"/>
        </w:rPr>
        <w:t xml:space="preserve"> (V-CHF and H-CHF)</w:t>
      </w:r>
      <w:r w:rsidRPr="00247F14">
        <w:rPr>
          <w:lang w:val="en-US" w:eastAsia="zh-CN"/>
        </w:rPr>
        <w:t xml:space="preserve"> is complex. </w:t>
      </w:r>
    </w:p>
    <w:p w14:paraId="122A4503" w14:textId="77777777" w:rsidR="006559C8" w:rsidRDefault="00247F14" w:rsidP="0095268E">
      <w:pPr>
        <w:pStyle w:val="B1"/>
        <w:ind w:leftChars="567" w:left="1134" w:firstLine="0"/>
        <w:rPr>
          <w:lang w:val="en-US" w:eastAsia="zh-CN"/>
        </w:rPr>
      </w:pPr>
      <w:r w:rsidRPr="00247F14">
        <w:rPr>
          <w:lang w:val="en-US" w:eastAsia="zh-CN"/>
        </w:rPr>
        <w:t xml:space="preserve">For example, if the V-CHF </w:t>
      </w:r>
      <w:r>
        <w:rPr>
          <w:lang w:val="en-US" w:eastAsia="zh-CN"/>
        </w:rPr>
        <w:t>grants</w:t>
      </w:r>
      <w:r w:rsidRPr="00247F14">
        <w:rPr>
          <w:lang w:val="en-US" w:eastAsia="zh-CN"/>
        </w:rPr>
        <w:t xml:space="preserve"> </w:t>
      </w:r>
      <w:r>
        <w:rPr>
          <w:lang w:val="en-US" w:eastAsia="zh-CN"/>
        </w:rPr>
        <w:t xml:space="preserve">quota about </w:t>
      </w:r>
      <w:r w:rsidRPr="00247F14">
        <w:rPr>
          <w:lang w:val="en-US" w:eastAsia="zh-CN"/>
        </w:rPr>
        <w:t>5 M</w:t>
      </w:r>
      <w:r>
        <w:rPr>
          <w:lang w:val="en-US" w:eastAsia="zh-CN"/>
        </w:rPr>
        <w:t xml:space="preserve"> </w:t>
      </w:r>
      <w:r w:rsidRPr="00247F14">
        <w:rPr>
          <w:lang w:val="en-US" w:eastAsia="zh-CN"/>
        </w:rPr>
        <w:t xml:space="preserve">and the H-CHF </w:t>
      </w:r>
      <w:r>
        <w:rPr>
          <w:lang w:val="en-US" w:eastAsia="zh-CN"/>
        </w:rPr>
        <w:t>grants</w:t>
      </w:r>
      <w:r w:rsidRPr="00247F14">
        <w:rPr>
          <w:lang w:val="en-US" w:eastAsia="zh-CN"/>
        </w:rPr>
        <w:t xml:space="preserve"> 10 M, </w:t>
      </w:r>
      <w:r w:rsidR="006559C8">
        <w:rPr>
          <w:lang w:val="en-US" w:eastAsia="zh-CN"/>
        </w:rPr>
        <w:t xml:space="preserve">How to report when the </w:t>
      </w:r>
      <w:r>
        <w:rPr>
          <w:lang w:val="en-US" w:eastAsia="zh-CN"/>
        </w:rPr>
        <w:t xml:space="preserve">granted </w:t>
      </w:r>
      <w:r w:rsidRPr="00247F14">
        <w:rPr>
          <w:lang w:val="en-US" w:eastAsia="zh-CN"/>
        </w:rPr>
        <w:t>5 M</w:t>
      </w:r>
      <w:r w:rsidR="006559C8">
        <w:rPr>
          <w:lang w:val="en-US" w:eastAsia="zh-CN"/>
        </w:rPr>
        <w:t xml:space="preserve"> from V-CHF</w:t>
      </w:r>
      <w:r w:rsidRPr="00247F14">
        <w:rPr>
          <w:lang w:val="en-US" w:eastAsia="zh-CN"/>
        </w:rPr>
        <w:t xml:space="preserve"> is used up or </w:t>
      </w:r>
      <w:r w:rsidR="006559C8">
        <w:rPr>
          <w:lang w:val="en-US" w:eastAsia="zh-CN"/>
        </w:rPr>
        <w:t>the granted</w:t>
      </w:r>
      <w:r w:rsidRPr="00247F14">
        <w:rPr>
          <w:lang w:val="en-US" w:eastAsia="zh-CN"/>
        </w:rPr>
        <w:t xml:space="preserve">10 M </w:t>
      </w:r>
      <w:r w:rsidR="006559C8">
        <w:rPr>
          <w:lang w:val="en-US" w:eastAsia="zh-CN"/>
        </w:rPr>
        <w:t xml:space="preserve">from H-CHF </w:t>
      </w:r>
      <w:r w:rsidRPr="00247F14">
        <w:rPr>
          <w:lang w:val="en-US" w:eastAsia="zh-CN"/>
        </w:rPr>
        <w:t xml:space="preserve">is used up. </w:t>
      </w:r>
    </w:p>
    <w:p w14:paraId="66BC5453" w14:textId="12719DDE" w:rsidR="00247F14" w:rsidRDefault="00247F14" w:rsidP="0095268E">
      <w:pPr>
        <w:pStyle w:val="B1"/>
        <w:ind w:leftChars="567" w:left="1134" w:firstLine="0"/>
        <w:rPr>
          <w:lang w:eastAsia="zh-CN"/>
        </w:rPr>
      </w:pPr>
      <w:r w:rsidRPr="00247F14">
        <w:rPr>
          <w:lang w:val="en-US" w:eastAsia="zh-CN"/>
        </w:rPr>
        <w:t xml:space="preserve">If the H-CHF </w:t>
      </w:r>
      <w:r w:rsidR="006559C8">
        <w:rPr>
          <w:lang w:val="en-US" w:eastAsia="zh-CN"/>
        </w:rPr>
        <w:t xml:space="preserve">can override the quota grant from V-CHF, when the </w:t>
      </w:r>
      <w:r w:rsidRPr="00247F14">
        <w:rPr>
          <w:lang w:val="en-US" w:eastAsia="zh-CN"/>
        </w:rPr>
        <w:t>quota 10 M</w:t>
      </w:r>
      <w:r w:rsidR="006559C8">
        <w:rPr>
          <w:lang w:val="en-US" w:eastAsia="zh-CN"/>
        </w:rPr>
        <w:t xml:space="preserve"> is used up and</w:t>
      </w:r>
      <w:r w:rsidRPr="00247F14">
        <w:rPr>
          <w:lang w:val="en-US" w:eastAsia="zh-CN"/>
        </w:rPr>
        <w:t xml:space="preserve"> reported, the usage</w:t>
      </w:r>
      <w:r w:rsidR="006559C8">
        <w:rPr>
          <w:lang w:val="en-US" w:eastAsia="zh-CN"/>
        </w:rPr>
        <w:t xml:space="preserve"> reporting</w:t>
      </w:r>
      <w:r w:rsidRPr="00247F14">
        <w:rPr>
          <w:lang w:val="en-US" w:eastAsia="zh-CN"/>
        </w:rPr>
        <w:t xml:space="preserve"> is greater than the quota granted</w:t>
      </w:r>
      <w:r w:rsidR="006559C8">
        <w:rPr>
          <w:lang w:val="en-US" w:eastAsia="zh-CN"/>
        </w:rPr>
        <w:t xml:space="preserve"> from V-CHF</w:t>
      </w:r>
      <w:r w:rsidRPr="00247F14">
        <w:rPr>
          <w:lang w:val="en-US" w:eastAsia="zh-CN"/>
        </w:rPr>
        <w:t>. The credit control processing</w:t>
      </w:r>
      <w:r w:rsidR="006559C8">
        <w:rPr>
          <w:lang w:val="en-US" w:eastAsia="zh-CN"/>
        </w:rPr>
        <w:t xml:space="preserve"> of V-CHF</w:t>
      </w:r>
      <w:r w:rsidRPr="00247F14">
        <w:rPr>
          <w:lang w:val="en-US" w:eastAsia="zh-CN"/>
        </w:rPr>
        <w:t xml:space="preserve"> is incorrect.</w:t>
      </w:r>
    </w:p>
    <w:p w14:paraId="3F91E5CC" w14:textId="55DB7D63" w:rsidR="00247F14" w:rsidRDefault="00247F14" w:rsidP="00F60005">
      <w:pPr>
        <w:pStyle w:val="B1"/>
        <w:numPr>
          <w:ilvl w:val="0"/>
          <w:numId w:val="21"/>
        </w:numPr>
        <w:rPr>
          <w:lang w:eastAsia="zh-CN"/>
        </w:rPr>
      </w:pPr>
      <w:r>
        <w:rPr>
          <w:lang w:eastAsia="zh-CN"/>
        </w:rPr>
        <w:t>From the SMF aspect:</w:t>
      </w:r>
      <w:r w:rsidR="005A11B3">
        <w:rPr>
          <w:lang w:eastAsia="zh-CN"/>
        </w:rPr>
        <w:t xml:space="preserve"> the V-SMF can support the different charging data resource to V-CHF and H-CHF, which similar with the AMF LBO charging. The internal logic of V-SMF may be same or different logic, which depend on the </w:t>
      </w:r>
      <w:r>
        <w:rPr>
          <w:lang w:eastAsia="zh-CN"/>
        </w:rPr>
        <w:t>implement</w:t>
      </w:r>
      <w:r w:rsidR="005A11B3">
        <w:rPr>
          <w:lang w:eastAsia="zh-CN"/>
        </w:rPr>
        <w:t>.</w:t>
      </w:r>
    </w:p>
    <w:p w14:paraId="35B5BC00" w14:textId="5FAB4CD4" w:rsidR="00D42740" w:rsidRDefault="00D42740" w:rsidP="00D42740">
      <w:pPr>
        <w:pStyle w:val="5"/>
        <w:rPr>
          <w:sz w:val="18"/>
          <w:szCs w:val="18"/>
        </w:rPr>
      </w:pPr>
      <w:r w:rsidRPr="00193400">
        <w:rPr>
          <w:sz w:val="18"/>
          <w:szCs w:val="18"/>
        </w:rPr>
        <w:lastRenderedPageBreak/>
        <w:t>3.2.1.2.</w:t>
      </w:r>
      <w:r>
        <w:rPr>
          <w:sz w:val="18"/>
          <w:szCs w:val="18"/>
        </w:rPr>
        <w:t>3</w:t>
      </w:r>
      <w:r w:rsidR="00A80AF3" w:rsidRPr="00D42740">
        <w:rPr>
          <w:sz w:val="18"/>
          <w:szCs w:val="18"/>
        </w:rPr>
        <w:tab/>
      </w:r>
      <w:r w:rsidR="00190DDF">
        <w:rPr>
          <w:sz w:val="18"/>
          <w:szCs w:val="18"/>
        </w:rPr>
        <w:t>R</w:t>
      </w:r>
      <w:r w:rsidR="00724EC0" w:rsidRPr="00D42740">
        <w:rPr>
          <w:sz w:val="18"/>
          <w:szCs w:val="18"/>
        </w:rPr>
        <w:t>econciliation for LBO</w:t>
      </w:r>
    </w:p>
    <w:p w14:paraId="1CBDCF37" w14:textId="743D685A" w:rsidR="00D42740" w:rsidRPr="00D42740" w:rsidRDefault="00D42740" w:rsidP="00D42740">
      <w:r w:rsidRPr="00D42740">
        <w:t>From the perspective of conflict resolution, the following items should be taken into account for whether the charging information is consistent.</w:t>
      </w:r>
    </w:p>
    <w:p w14:paraId="281B789F" w14:textId="7E2CF3CA" w:rsidR="00D42740" w:rsidRPr="00D42740" w:rsidRDefault="00D42740" w:rsidP="00D42740">
      <w:pPr>
        <w:pStyle w:val="B1"/>
        <w:numPr>
          <w:ilvl w:val="0"/>
          <w:numId w:val="21"/>
        </w:numPr>
        <w:rPr>
          <w:lang w:eastAsia="zh-CN"/>
        </w:rPr>
      </w:pPr>
      <w:r w:rsidRPr="00D42740">
        <w:rPr>
          <w:lang w:eastAsia="zh-CN"/>
        </w:rPr>
        <w:t xml:space="preserve">If the reconcilation is required, according to the GSMA BCE procedure, the charging information reported by the VPLMN and HPLMN must be consistent </w:t>
      </w:r>
    </w:p>
    <w:p w14:paraId="40EF303F" w14:textId="00CF82B8" w:rsidR="00D42740" w:rsidRPr="00D42740" w:rsidRDefault="00D42740" w:rsidP="00D42740">
      <w:pPr>
        <w:pStyle w:val="B1"/>
        <w:numPr>
          <w:ilvl w:val="0"/>
          <w:numId w:val="21"/>
        </w:numPr>
        <w:rPr>
          <w:lang w:eastAsia="zh-CN"/>
        </w:rPr>
      </w:pPr>
      <w:r w:rsidRPr="00D42740">
        <w:rPr>
          <w:lang w:eastAsia="zh-CN"/>
        </w:rPr>
        <w:t>If the reconciliation is NOT required, the charging information does not need to be consistent.</w:t>
      </w:r>
    </w:p>
    <w:p w14:paraId="2E02C37C" w14:textId="0242D939" w:rsidR="00381180" w:rsidRPr="00D920CF" w:rsidRDefault="00D920CF" w:rsidP="00D920CF">
      <w:r w:rsidRPr="00D920CF">
        <w:t>Wh</w:t>
      </w:r>
      <w:r w:rsidR="000563E9" w:rsidRPr="00D920CF">
        <w:t>e</w:t>
      </w:r>
      <w:r w:rsidRPr="00D920CF">
        <w:t xml:space="preserve">ther the reconciliation is required or not is the open issue and FFS. In order to simplify the standard work, the </w:t>
      </w:r>
      <w:r w:rsidRPr="00D920CF">
        <w:t>reconciliation</w:t>
      </w:r>
      <w:r w:rsidRPr="00D920CF">
        <w:t xml:space="preserve"> can be not considerd in release 17. </w:t>
      </w:r>
    </w:p>
    <w:p w14:paraId="7A83BD9D" w14:textId="77777777" w:rsidR="00E817F6" w:rsidRDefault="00E817F6" w:rsidP="00A619DD">
      <w:pPr>
        <w:pStyle w:val="B1"/>
        <w:rPr>
          <w:b/>
          <w:lang w:eastAsia="zh-CN"/>
        </w:rPr>
      </w:pPr>
    </w:p>
    <w:p w14:paraId="37E77B25" w14:textId="783F1DDB" w:rsidR="00717FDB" w:rsidRPr="00233E0B" w:rsidRDefault="008C7B26" w:rsidP="000563E9">
      <w:pPr>
        <w:pStyle w:val="4"/>
        <w:rPr>
          <w:sz w:val="21"/>
          <w:szCs w:val="21"/>
        </w:rPr>
      </w:pPr>
      <w:r w:rsidRPr="00233E0B">
        <w:rPr>
          <w:sz w:val="21"/>
          <w:szCs w:val="21"/>
        </w:rPr>
        <w:t>3.2.1.3</w:t>
      </w:r>
      <w:r w:rsidRPr="00233E0B">
        <w:rPr>
          <w:sz w:val="21"/>
          <w:szCs w:val="21"/>
        </w:rPr>
        <w:tab/>
      </w:r>
      <w:r w:rsidR="00722277" w:rsidRPr="00233E0B">
        <w:rPr>
          <w:sz w:val="21"/>
          <w:szCs w:val="21"/>
        </w:rPr>
        <w:t xml:space="preserve">Summary </w:t>
      </w:r>
    </w:p>
    <w:p w14:paraId="2C087D4F" w14:textId="387BB4C6" w:rsidR="00722277" w:rsidRDefault="00717FDB" w:rsidP="008C7B26">
      <w:r w:rsidRPr="008C7B26">
        <w:t>Based on the analysis of the above key issues, t</w:t>
      </w:r>
      <w:r w:rsidR="00E817F6" w:rsidRPr="008C7B26">
        <w:t>he</w:t>
      </w:r>
      <w:r w:rsidRPr="008C7B26">
        <w:t xml:space="preserve">. </w:t>
      </w:r>
    </w:p>
    <w:p w14:paraId="1B5E06C9" w14:textId="7F5C68C1" w:rsidR="00C745D0" w:rsidRPr="00D42740" w:rsidRDefault="00C745D0" w:rsidP="00C745D0">
      <w:pPr>
        <w:pStyle w:val="B1"/>
        <w:numPr>
          <w:ilvl w:val="0"/>
          <w:numId w:val="21"/>
        </w:numPr>
        <w:rPr>
          <w:lang w:eastAsia="zh-CN"/>
        </w:rPr>
      </w:pPr>
      <w:r>
        <w:rPr>
          <w:lang w:eastAsia="zh-CN"/>
        </w:rPr>
        <w:t xml:space="preserve">Quota management: </w:t>
      </w:r>
      <w:r w:rsidRPr="00D42740">
        <w:rPr>
          <w:lang w:eastAsia="zh-CN"/>
        </w:rPr>
        <w:t xml:space="preserve"> </w:t>
      </w:r>
      <w:r>
        <w:rPr>
          <w:lang w:eastAsia="zh-CN"/>
        </w:rPr>
        <w:t xml:space="preserve">H-CHF can support with and without quota management, V-CHF </w:t>
      </w:r>
      <w:r w:rsidR="00D920CF">
        <w:rPr>
          <w:lang w:eastAsia="zh-CN"/>
        </w:rPr>
        <w:t xml:space="preserve">only </w:t>
      </w:r>
      <w:r>
        <w:rPr>
          <w:lang w:eastAsia="zh-CN"/>
        </w:rPr>
        <w:t xml:space="preserve">support without quota management. </w:t>
      </w:r>
    </w:p>
    <w:p w14:paraId="01370A2A" w14:textId="15F4765C" w:rsidR="00C745D0" w:rsidRPr="00D42740" w:rsidRDefault="00C745D0" w:rsidP="00C745D0">
      <w:pPr>
        <w:pStyle w:val="B1"/>
        <w:numPr>
          <w:ilvl w:val="0"/>
          <w:numId w:val="21"/>
        </w:numPr>
        <w:rPr>
          <w:lang w:eastAsia="zh-CN"/>
        </w:rPr>
      </w:pPr>
      <w:r>
        <w:rPr>
          <w:lang w:eastAsia="zh-CN"/>
        </w:rPr>
        <w:t xml:space="preserve">Charging information reporting and trigger: </w:t>
      </w:r>
    </w:p>
    <w:p w14:paraId="354B0DD2" w14:textId="215463C7" w:rsidR="00C745D0" w:rsidRPr="00C745D0" w:rsidRDefault="00C745D0" w:rsidP="00C745D0">
      <w:pPr>
        <w:pStyle w:val="B1"/>
        <w:numPr>
          <w:ilvl w:val="1"/>
          <w:numId w:val="26"/>
        </w:numPr>
        <w:rPr>
          <w:lang w:val="en-US" w:eastAsia="zh-CN"/>
        </w:rPr>
      </w:pPr>
      <w:r w:rsidRPr="00C745D0">
        <w:rPr>
          <w:lang w:val="en-US" w:eastAsia="zh-CN"/>
        </w:rPr>
        <w:t xml:space="preserve">If the reconciliation should be supported, the charging information reporting and trigger should be consistent. </w:t>
      </w:r>
      <w:r>
        <w:rPr>
          <w:lang w:val="en-US" w:eastAsia="zh-CN"/>
        </w:rPr>
        <w:t xml:space="preserve">The H-CHF should support the FBC </w:t>
      </w:r>
    </w:p>
    <w:p w14:paraId="796DF659" w14:textId="59553866" w:rsidR="00C745D0" w:rsidRPr="00C745D0" w:rsidRDefault="00C745D0" w:rsidP="00C745D0">
      <w:pPr>
        <w:pStyle w:val="B1"/>
        <w:numPr>
          <w:ilvl w:val="1"/>
          <w:numId w:val="26"/>
        </w:numPr>
        <w:rPr>
          <w:lang w:val="en-US" w:eastAsia="zh-CN"/>
        </w:rPr>
      </w:pPr>
      <w:r w:rsidRPr="00C745D0">
        <w:rPr>
          <w:lang w:val="en-US" w:eastAsia="zh-CN"/>
        </w:rPr>
        <w:t xml:space="preserve">If the reconciliation should NOT be supported, the charging information reporting and trigger may be consistent or inconsistent. </w:t>
      </w:r>
    </w:p>
    <w:p w14:paraId="07AA0636" w14:textId="77777777" w:rsidR="00963A7A" w:rsidRPr="00BD20F4" w:rsidRDefault="00963A7A" w:rsidP="00BD20F4"/>
    <w:p w14:paraId="64380E07" w14:textId="4EBBC079" w:rsidR="00301F37" w:rsidRPr="00615FA7" w:rsidRDefault="00301F37" w:rsidP="00615FA7">
      <w:pPr>
        <w:pStyle w:val="3"/>
        <w:rPr>
          <w:sz w:val="24"/>
          <w:lang w:val="en-US"/>
        </w:rPr>
      </w:pPr>
      <w:r w:rsidRPr="00615FA7">
        <w:rPr>
          <w:sz w:val="24"/>
          <w:lang w:val="en-US"/>
        </w:rPr>
        <w:t>3.2.2</w:t>
      </w:r>
      <w:r w:rsidRPr="00615FA7">
        <w:rPr>
          <w:sz w:val="24"/>
          <w:lang w:val="en-US"/>
        </w:rPr>
        <w:tab/>
      </w:r>
      <w:r w:rsidR="00FD4222">
        <w:rPr>
          <w:sz w:val="24"/>
          <w:lang w:val="en-US"/>
        </w:rPr>
        <w:t>Suggestion</w:t>
      </w:r>
      <w:r w:rsidRPr="00615FA7">
        <w:rPr>
          <w:sz w:val="24"/>
          <w:lang w:val="en-US"/>
        </w:rPr>
        <w:t xml:space="preserve"> on the </w:t>
      </w:r>
      <w:r w:rsidR="00C548A1" w:rsidRPr="00615FA7">
        <w:rPr>
          <w:sz w:val="24"/>
          <w:lang w:val="en-US"/>
        </w:rPr>
        <w:t>Technical issues</w:t>
      </w:r>
      <w:r w:rsidR="00D56A1B" w:rsidRPr="00615FA7">
        <w:rPr>
          <w:sz w:val="24"/>
          <w:lang w:val="en-US"/>
        </w:rPr>
        <w:t xml:space="preserve"> for local breakout roaming</w:t>
      </w:r>
    </w:p>
    <w:p w14:paraId="6536006B" w14:textId="1A55BE3B" w:rsidR="00722277" w:rsidRPr="00FD4222" w:rsidRDefault="00D979C4" w:rsidP="00FD4222">
      <w:r w:rsidRPr="00FD4222">
        <w:t xml:space="preserve">Based on the </w:t>
      </w:r>
      <w:r w:rsidR="00FD4222">
        <w:t>above analysis, th</w:t>
      </w:r>
      <w:r w:rsidR="007E74D5" w:rsidRPr="00FD4222">
        <w:t>he foll</w:t>
      </w:r>
      <w:r w:rsidR="0058381B" w:rsidRPr="00FD4222">
        <w:t>owing suggestion is present.</w:t>
      </w:r>
    </w:p>
    <w:p w14:paraId="63BAE448" w14:textId="07995AB0" w:rsidR="00722277" w:rsidRPr="00424394" w:rsidRDefault="00722277" w:rsidP="00722277">
      <w:pPr>
        <w:pStyle w:val="TH"/>
        <w:rPr>
          <w:lang w:bidi="ar-IQ"/>
        </w:rPr>
      </w:pPr>
      <w:r w:rsidRPr="00424394">
        <w:rPr>
          <w:lang w:bidi="ar-IQ"/>
        </w:rPr>
        <w:t xml:space="preserve">Table </w:t>
      </w:r>
      <w:r w:rsidR="00FD4222" w:rsidRPr="00FD4222">
        <w:rPr>
          <w:lang w:bidi="ar-IQ"/>
        </w:rPr>
        <w:t>3.2.2-1</w:t>
      </w:r>
      <w:r w:rsidRPr="00424394">
        <w:rPr>
          <w:lang w:bidi="ar-IQ"/>
        </w:rPr>
        <w:t xml:space="preserve">: </w:t>
      </w:r>
      <w:r w:rsidR="00E64287">
        <w:rPr>
          <w:lang w:bidi="ar-IQ"/>
        </w:rPr>
        <w:t>Suggestion</w:t>
      </w:r>
      <w:r w:rsidRPr="000B6C89">
        <w:rPr>
          <w:lang w:bidi="ar-IQ"/>
        </w:rPr>
        <w:t xml:space="preserve"> </w:t>
      </w:r>
      <w:r>
        <w:rPr>
          <w:lang w:bidi="ar-IQ"/>
        </w:rPr>
        <w:t>on Technical issues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8"/>
        <w:gridCol w:w="2236"/>
        <w:gridCol w:w="2835"/>
        <w:gridCol w:w="2830"/>
      </w:tblGrid>
      <w:tr w:rsidR="00850C59" w:rsidRPr="00424394" w14:paraId="0A104A09" w14:textId="77777777" w:rsidTr="003632F4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55B365E" w14:textId="02AB6905" w:rsidR="00850C59" w:rsidRPr="00684D4D" w:rsidRDefault="00850C59" w:rsidP="00256F9D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 w:bidi="ar-IQ"/>
              </w:rPr>
            </w:pPr>
            <w:r>
              <w:rPr>
                <w:rFonts w:ascii="Arial" w:eastAsiaTheme="minorEastAsia" w:hAnsi="Arial"/>
                <w:b/>
                <w:sz w:val="18"/>
                <w:lang w:eastAsia="zh-CN" w:bidi="ar-IQ"/>
              </w:rPr>
              <w:t>Item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3CDF30E4" w14:textId="49E5FC83" w:rsidR="00850C59" w:rsidRDefault="00850C59" w:rsidP="00E64287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 w:bidi="ar-IQ"/>
              </w:rPr>
            </w:pPr>
            <w:r>
              <w:rPr>
                <w:rFonts w:ascii="Arial" w:eastAsia="MS Mincho" w:hAnsi="Arial"/>
                <w:b/>
                <w:sz w:val="18"/>
                <w:lang w:bidi="ar-IQ"/>
              </w:rPr>
              <w:t>Issues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5C819B7A" w14:textId="74BE2004" w:rsidR="00850C59" w:rsidRPr="000B6C89" w:rsidRDefault="00850C59" w:rsidP="00E64287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 w:bidi="ar-IQ"/>
              </w:rPr>
            </w:pPr>
            <w:r>
              <w:rPr>
                <w:rFonts w:ascii="Arial" w:eastAsiaTheme="minorEastAsia" w:hAnsi="Arial"/>
                <w:b/>
                <w:sz w:val="18"/>
                <w:lang w:eastAsia="zh-CN" w:bidi="ar-IQ"/>
              </w:rPr>
              <w:t>V-</w:t>
            </w:r>
            <w:r>
              <w:rPr>
                <w:rFonts w:ascii="Arial" w:eastAsiaTheme="minorEastAsia" w:hAnsi="Arial" w:hint="eastAsia"/>
                <w:b/>
                <w:sz w:val="18"/>
                <w:lang w:eastAsia="zh-CN" w:bidi="ar-IQ"/>
              </w:rPr>
              <w:t>S</w:t>
            </w:r>
            <w:r>
              <w:rPr>
                <w:rFonts w:ascii="Arial" w:eastAsiaTheme="minorEastAsia" w:hAnsi="Arial"/>
                <w:b/>
                <w:sz w:val="18"/>
                <w:lang w:eastAsia="zh-CN" w:bidi="ar-IQ"/>
              </w:rPr>
              <w:t>MF</w:t>
            </w:r>
            <w:r>
              <w:rPr>
                <w:rFonts w:ascii="Arial" w:eastAsia="MS Mincho" w:hAnsi="Arial"/>
                <w:b/>
                <w:sz w:val="18"/>
                <w:lang w:bidi="ar-IQ"/>
              </w:rPr>
              <w:t xml:space="preserve"> for V-CHF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73366D69" w14:textId="6246EDAF" w:rsidR="00850C59" w:rsidRPr="00424394" w:rsidRDefault="00850C59" w:rsidP="00256F9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b/>
                <w:sz w:val="18"/>
                <w:lang w:bidi="ar-IQ"/>
              </w:rPr>
            </w:pPr>
            <w:r>
              <w:rPr>
                <w:rFonts w:ascii="Arial" w:eastAsia="MS Mincho" w:hAnsi="Arial"/>
                <w:b/>
                <w:sz w:val="18"/>
                <w:lang w:bidi="ar-IQ"/>
              </w:rPr>
              <w:t>V-SMF for H-CHF</w:t>
            </w:r>
          </w:p>
        </w:tc>
      </w:tr>
      <w:tr w:rsidR="00850C59" w:rsidRPr="00424394" w14:paraId="30C1C2A4" w14:textId="77777777" w:rsidTr="00850C59">
        <w:trPr>
          <w:trHeight w:val="64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C1796" w14:textId="77777777" w:rsidR="00850C59" w:rsidRDefault="00850C59" w:rsidP="00E07A3A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</w:t>
            </w:r>
            <w:r>
              <w:rPr>
                <w:lang w:val="en-US" w:eastAsia="zh-CN"/>
              </w:rPr>
              <w:t>oaming Charging profile</w:t>
            </w:r>
          </w:p>
          <w:p w14:paraId="1C077105" w14:textId="2ABA4657" w:rsidR="00850C59" w:rsidRDefault="00850C59" w:rsidP="00E07A3A">
            <w:pPr>
              <w:pStyle w:val="TAL"/>
              <w:rPr>
                <w:lang w:val="en-US" w:eastAsia="zh-C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3450" w14:textId="2A07049A" w:rsidR="00850C59" w:rsidRDefault="00850C59" w:rsidP="00850C59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The negotiation is required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AE9C2" w14:textId="38F33925" w:rsidR="00E9122D" w:rsidRDefault="00850C59" w:rsidP="009D235F">
            <w:pPr>
              <w:pStyle w:val="TAL"/>
              <w:numPr>
                <w:ilvl w:val="0"/>
                <w:numId w:val="29"/>
              </w:numPr>
              <w:ind w:hanging="306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 w:rsidRPr="00617666">
              <w:rPr>
                <w:lang w:val="en-US" w:eastAsia="zh-CN"/>
              </w:rPr>
              <w:t>"Roaming Charging Profile"</w:t>
            </w:r>
            <w:r>
              <w:rPr>
                <w:lang w:val="en-US" w:eastAsia="zh-CN"/>
              </w:rPr>
              <w:t xml:space="preserve"> should be used to synchronize the charging information reporting</w:t>
            </w:r>
            <w:r w:rsidR="00E9122D">
              <w:rPr>
                <w:lang w:val="en-US" w:eastAsia="zh-CN"/>
              </w:rPr>
              <w:t xml:space="preserve"> for V-CHF and H-CHF (</w:t>
            </w:r>
            <w:r w:rsidR="00BB2470">
              <w:rPr>
                <w:lang w:val="en-US" w:eastAsia="zh-CN"/>
              </w:rPr>
              <w:t>synchroniz</w:t>
            </w:r>
            <w:r w:rsidR="00BB2470">
              <w:rPr>
                <w:lang w:val="en-US" w:eastAsia="zh-CN"/>
              </w:rPr>
              <w:t xml:space="preserve">e the charging information reporting between </w:t>
            </w:r>
            <w:r w:rsidR="00E9122D">
              <w:rPr>
                <w:lang w:val="en-US" w:eastAsia="zh-CN"/>
              </w:rPr>
              <w:t xml:space="preserve">different charging data resource). </w:t>
            </w:r>
          </w:p>
          <w:p w14:paraId="5D841FB8" w14:textId="6055B0CD" w:rsidR="00850C59" w:rsidRPr="00E07A3A" w:rsidRDefault="00E9122D" w:rsidP="009D235F">
            <w:pPr>
              <w:pStyle w:val="TAL"/>
              <w:numPr>
                <w:ilvl w:val="0"/>
                <w:numId w:val="29"/>
              </w:numPr>
              <w:ind w:hanging="306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QBC </w:t>
            </w:r>
            <w:r>
              <w:rPr>
                <w:lang w:val="en-US" w:eastAsia="zh-CN"/>
              </w:rPr>
              <w:t>T</w:t>
            </w:r>
            <w:r w:rsidR="00850C59">
              <w:rPr>
                <w:lang w:val="en-US" w:eastAsia="zh-CN"/>
              </w:rPr>
              <w:t xml:space="preserve">rigger setting </w:t>
            </w:r>
            <w:r>
              <w:rPr>
                <w:lang w:val="en-US" w:eastAsia="zh-CN"/>
              </w:rPr>
              <w:t xml:space="preserve">within charging data resource. </w:t>
            </w:r>
          </w:p>
        </w:tc>
      </w:tr>
      <w:tr w:rsidR="00850C59" w:rsidRPr="00424394" w14:paraId="07B114E4" w14:textId="77777777" w:rsidTr="00850C59">
        <w:trPr>
          <w:trHeight w:val="64"/>
          <w:jc w:val="center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3D14D" w14:textId="77777777" w:rsidR="00850C59" w:rsidRDefault="00850C59" w:rsidP="000A3451">
            <w:pPr>
              <w:pStyle w:val="TAL"/>
              <w:rPr>
                <w:lang w:val="en-US" w:eastAsia="zh-C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2B16" w14:textId="0A056BC7" w:rsidR="00850C59" w:rsidRDefault="00850C59" w:rsidP="00850C59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The negotiation is not required</w:t>
            </w:r>
          </w:p>
        </w:tc>
        <w:tc>
          <w:tcPr>
            <w:tcW w:w="56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51A5B" w14:textId="0A51BB16" w:rsidR="00850C59" w:rsidRPr="00684D4D" w:rsidRDefault="00850C59" w:rsidP="00C52B8A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 w:rsidRPr="00617666">
              <w:rPr>
                <w:lang w:val="en-US" w:eastAsia="zh-CN"/>
              </w:rPr>
              <w:t>"Roaming Charging Profile"</w:t>
            </w:r>
            <w:r>
              <w:rPr>
                <w:lang w:val="en-US" w:eastAsia="zh-CN"/>
              </w:rPr>
              <w:t xml:space="preserve"> should be used for </w:t>
            </w:r>
            <w:r w:rsidR="003304E9">
              <w:rPr>
                <w:lang w:val="en-US" w:eastAsia="zh-CN"/>
              </w:rPr>
              <w:t>QBC Trigger setting</w:t>
            </w:r>
            <w:r w:rsidR="00C52B8A">
              <w:rPr>
                <w:lang w:val="en-US" w:eastAsia="zh-CN"/>
              </w:rPr>
              <w:t xml:space="preserve"> </w:t>
            </w:r>
            <w:r w:rsidR="00C52B8A">
              <w:rPr>
                <w:lang w:val="en-US" w:eastAsia="zh-CN"/>
              </w:rPr>
              <w:t>within charging data resource.</w:t>
            </w:r>
            <w:r>
              <w:rPr>
                <w:lang w:val="en-US" w:eastAsia="zh-CN"/>
              </w:rPr>
              <w:t xml:space="preserve"> </w:t>
            </w:r>
          </w:p>
        </w:tc>
      </w:tr>
      <w:tr w:rsidR="00850C59" w:rsidRPr="00424394" w14:paraId="1E78FDED" w14:textId="77777777" w:rsidTr="003632F4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DD88" w14:textId="272CF6A9" w:rsidR="00850C59" w:rsidRPr="00E07A3A" w:rsidRDefault="00850C59" w:rsidP="00E07A3A">
            <w:pPr>
              <w:pStyle w:val="TAL"/>
              <w:rPr>
                <w:lang w:val="en-US" w:eastAsia="zh-CN"/>
              </w:rPr>
            </w:pPr>
            <w:r w:rsidRPr="00E07A3A">
              <w:rPr>
                <w:lang w:val="en-US" w:eastAsia="zh-CN"/>
              </w:rPr>
              <w:t>Charging Granularity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0DD78" w14:textId="091E558B" w:rsidR="00850C59" w:rsidRPr="00E07A3A" w:rsidRDefault="00850C59" w:rsidP="00F42740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The interaction with V-CHF and H-CHF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3569E" w14:textId="59CA0517" w:rsidR="00850C59" w:rsidRPr="00E07A3A" w:rsidRDefault="00850C59" w:rsidP="009D235F">
            <w:pPr>
              <w:pStyle w:val="TAL"/>
              <w:rPr>
                <w:lang w:val="en-US" w:eastAsia="zh-CN"/>
              </w:rPr>
            </w:pPr>
            <w:r w:rsidRPr="00E07A3A">
              <w:rPr>
                <w:rFonts w:hint="eastAsia"/>
                <w:lang w:val="en-US" w:eastAsia="zh-CN"/>
              </w:rPr>
              <w:t>Q</w:t>
            </w:r>
            <w:r w:rsidRPr="00E07A3A">
              <w:rPr>
                <w:lang w:val="en-US" w:eastAsia="zh-CN"/>
              </w:rPr>
              <w:t>BC</w:t>
            </w:r>
            <w:r w:rsidR="009D235F">
              <w:rPr>
                <w:lang w:val="en-US" w:eastAsia="zh-CN"/>
              </w:rPr>
              <w:t xml:space="preserve"> or</w:t>
            </w:r>
            <w:r>
              <w:rPr>
                <w:lang w:val="en-US" w:eastAsia="zh-CN"/>
              </w:rPr>
              <w:t xml:space="preserve"> FBC</w:t>
            </w:r>
            <w:r w:rsidR="009D235F">
              <w:rPr>
                <w:lang w:val="en-US" w:eastAsia="zh-C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EA551" w14:textId="0002DDB0" w:rsidR="00850C59" w:rsidRPr="00E07A3A" w:rsidRDefault="00850C59" w:rsidP="009D235F">
            <w:pPr>
              <w:pStyle w:val="TAL"/>
              <w:rPr>
                <w:lang w:val="en-US" w:eastAsia="zh-CN"/>
              </w:rPr>
            </w:pPr>
            <w:r w:rsidRPr="00E07A3A">
              <w:rPr>
                <w:lang w:val="en-US" w:eastAsia="zh-CN"/>
              </w:rPr>
              <w:t>FBC</w:t>
            </w:r>
            <w:r w:rsidR="009D235F">
              <w:rPr>
                <w:lang w:val="en-US" w:eastAsia="zh-CN"/>
              </w:rPr>
              <w:t xml:space="preserve"> or </w:t>
            </w:r>
            <w:r w:rsidR="0032539E">
              <w:rPr>
                <w:lang w:val="en-US" w:eastAsia="zh-CN"/>
              </w:rPr>
              <w:t>(</w:t>
            </w:r>
            <w:r w:rsidR="009D235F">
              <w:rPr>
                <w:lang w:val="en-US" w:eastAsia="zh-CN"/>
              </w:rPr>
              <w:t>FBC+QBC</w:t>
            </w:r>
            <w:r w:rsidR="0032539E">
              <w:rPr>
                <w:lang w:val="en-US" w:eastAsia="zh-CN"/>
              </w:rPr>
              <w:t>)</w:t>
            </w:r>
          </w:p>
        </w:tc>
      </w:tr>
      <w:tr w:rsidR="00850C59" w:rsidRPr="00424394" w14:paraId="0E8C776E" w14:textId="77777777" w:rsidTr="003632F4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8C14" w14:textId="15EA48B9" w:rsidR="00850C59" w:rsidRPr="00E07A3A" w:rsidRDefault="00850C59" w:rsidP="00E07A3A">
            <w:pPr>
              <w:pStyle w:val="TAL"/>
              <w:rPr>
                <w:lang w:val="en-US" w:eastAsia="zh-CN"/>
              </w:rPr>
            </w:pPr>
            <w:r w:rsidRPr="00E07A3A">
              <w:rPr>
                <w:lang w:val="en-US" w:eastAsia="zh-CN"/>
              </w:rPr>
              <w:t>Charging Method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F6457" w14:textId="60EC5AC5" w:rsidR="00850C59" w:rsidRPr="00E07A3A" w:rsidRDefault="00F42740" w:rsidP="00E07A3A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Credit control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7A7D9" w14:textId="1F0D1871" w:rsidR="00850C59" w:rsidRPr="00E07A3A" w:rsidRDefault="00850C59" w:rsidP="00E07A3A">
            <w:pPr>
              <w:pStyle w:val="TAL"/>
              <w:rPr>
                <w:lang w:val="en-US" w:eastAsia="zh-CN"/>
              </w:rPr>
            </w:pPr>
            <w:r w:rsidRPr="00E07A3A">
              <w:rPr>
                <w:lang w:val="en-US" w:eastAsia="zh-CN"/>
              </w:rPr>
              <w:t>Without quota management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ED560" w14:textId="0B9842AF" w:rsidR="00850C59" w:rsidRPr="00E07A3A" w:rsidRDefault="00850C59" w:rsidP="00052D96">
            <w:pPr>
              <w:pStyle w:val="TAL"/>
              <w:rPr>
                <w:lang w:val="en-US" w:eastAsia="zh-CN"/>
              </w:rPr>
            </w:pPr>
            <w:r w:rsidRPr="00E07A3A">
              <w:rPr>
                <w:lang w:val="en-US" w:eastAsia="zh-CN"/>
              </w:rPr>
              <w:t xml:space="preserve">with </w:t>
            </w:r>
            <w:bookmarkStart w:id="0" w:name="_GoBack"/>
            <w:bookmarkEnd w:id="0"/>
            <w:r w:rsidRPr="00E07A3A">
              <w:rPr>
                <w:lang w:val="en-US" w:eastAsia="zh-CN"/>
              </w:rPr>
              <w:t>and without quota management</w:t>
            </w:r>
          </w:p>
        </w:tc>
      </w:tr>
    </w:tbl>
    <w:p w14:paraId="16ACF457" w14:textId="1A363350" w:rsidR="00E8532D" w:rsidRDefault="00E8532D" w:rsidP="00E8532D">
      <w:pPr>
        <w:pStyle w:val="1"/>
      </w:pPr>
      <w:r>
        <w:t>4</w:t>
      </w:r>
      <w:r>
        <w:tab/>
        <w:t>Detailed Proposal</w:t>
      </w:r>
    </w:p>
    <w:p w14:paraId="3C640448" w14:textId="592F8581" w:rsidR="00C022E3" w:rsidRPr="0084737F" w:rsidRDefault="001321B6" w:rsidP="0084737F">
      <w:pPr>
        <w:tabs>
          <w:tab w:val="left" w:pos="595"/>
        </w:tabs>
        <w:rPr>
          <w:lang w:eastAsia="zh-CN"/>
        </w:rPr>
      </w:pPr>
      <w:r>
        <w:rPr>
          <w:lang w:eastAsia="zh-CN"/>
        </w:rPr>
        <w:t>The detailed proposal is present in the CRs.</w:t>
      </w:r>
    </w:p>
    <w:sectPr w:rsidR="00C022E3" w:rsidRPr="0084737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420FC" w14:textId="77777777" w:rsidR="0090307D" w:rsidRDefault="0090307D">
      <w:r>
        <w:separator/>
      </w:r>
    </w:p>
  </w:endnote>
  <w:endnote w:type="continuationSeparator" w:id="0">
    <w:p w14:paraId="4FDD5E8C" w14:textId="77777777" w:rsidR="0090307D" w:rsidRDefault="0090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B4E14" w14:textId="77777777" w:rsidR="0090307D" w:rsidRDefault="0090307D">
      <w:r>
        <w:separator/>
      </w:r>
    </w:p>
  </w:footnote>
  <w:footnote w:type="continuationSeparator" w:id="0">
    <w:p w14:paraId="1C484CDD" w14:textId="77777777" w:rsidR="0090307D" w:rsidRDefault="00903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616224C"/>
    <w:multiLevelType w:val="hybridMultilevel"/>
    <w:tmpl w:val="082CE4A4"/>
    <w:lvl w:ilvl="0" w:tplc="D02EF34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B9334D3"/>
    <w:multiLevelType w:val="hybridMultilevel"/>
    <w:tmpl w:val="A688280A"/>
    <w:lvl w:ilvl="0" w:tplc="DDF6E41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  <w:b/>
      </w:rPr>
    </w:lvl>
    <w:lvl w:ilvl="1" w:tplc="D02EF34E">
      <w:start w:val="1"/>
      <w:numFmt w:val="bullet"/>
      <w:lvlText w:val=""/>
      <w:lvlJc w:val="left"/>
      <w:pPr>
        <w:ind w:left="1124" w:hanging="420"/>
      </w:pPr>
      <w:rPr>
        <w:rFonts w:ascii="Wingdings" w:hAnsi="Wingdings" w:hint="default"/>
        <w:b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0EDF2CD3"/>
    <w:multiLevelType w:val="hybridMultilevel"/>
    <w:tmpl w:val="B0F8B16E"/>
    <w:lvl w:ilvl="0" w:tplc="1BB09B78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31E1CFC"/>
    <w:multiLevelType w:val="hybridMultilevel"/>
    <w:tmpl w:val="6EDC61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8061ABA"/>
    <w:multiLevelType w:val="hybridMultilevel"/>
    <w:tmpl w:val="2DDA4B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7B606B"/>
    <w:multiLevelType w:val="hybridMultilevel"/>
    <w:tmpl w:val="54BC2186"/>
    <w:lvl w:ilvl="0" w:tplc="DDF6E416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336474"/>
    <w:multiLevelType w:val="hybridMultilevel"/>
    <w:tmpl w:val="E7BA8CE6"/>
    <w:lvl w:ilvl="0" w:tplc="D02EF34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B22A12"/>
    <w:multiLevelType w:val="hybridMultilevel"/>
    <w:tmpl w:val="4D46C634"/>
    <w:lvl w:ilvl="0" w:tplc="D02EF34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260C4D"/>
    <w:multiLevelType w:val="hybridMultilevel"/>
    <w:tmpl w:val="BBCC18D6"/>
    <w:lvl w:ilvl="0" w:tplc="DDF6E41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  <w:b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521E1DEF"/>
    <w:multiLevelType w:val="hybridMultilevel"/>
    <w:tmpl w:val="12BC04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8"/>
  </w:num>
  <w:num w:numId="5">
    <w:abstractNumId w:val="17"/>
  </w:num>
  <w:num w:numId="6">
    <w:abstractNumId w:val="8"/>
  </w:num>
  <w:num w:numId="7">
    <w:abstractNumId w:val="10"/>
  </w:num>
  <w:num w:numId="8">
    <w:abstractNumId w:val="27"/>
  </w:num>
  <w:num w:numId="9">
    <w:abstractNumId w:val="25"/>
  </w:num>
  <w:num w:numId="10">
    <w:abstractNumId w:val="26"/>
  </w:num>
  <w:num w:numId="11">
    <w:abstractNumId w:val="15"/>
  </w:num>
  <w:num w:numId="12">
    <w:abstractNumId w:val="2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2"/>
  </w:num>
  <w:num w:numId="21">
    <w:abstractNumId w:val="22"/>
  </w:num>
  <w:num w:numId="22">
    <w:abstractNumId w:val="14"/>
  </w:num>
  <w:num w:numId="23">
    <w:abstractNumId w:val="19"/>
  </w:num>
  <w:num w:numId="24">
    <w:abstractNumId w:val="23"/>
  </w:num>
  <w:num w:numId="25">
    <w:abstractNumId w:val="20"/>
  </w:num>
  <w:num w:numId="26">
    <w:abstractNumId w:val="11"/>
  </w:num>
  <w:num w:numId="27">
    <w:abstractNumId w:val="21"/>
  </w:num>
  <w:num w:numId="28">
    <w:abstractNumId w:val="1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671"/>
    <w:rsid w:val="00012515"/>
    <w:rsid w:val="00046389"/>
    <w:rsid w:val="00052D96"/>
    <w:rsid w:val="0005577A"/>
    <w:rsid w:val="000563E9"/>
    <w:rsid w:val="00074722"/>
    <w:rsid w:val="00074DD1"/>
    <w:rsid w:val="000819D8"/>
    <w:rsid w:val="000934A6"/>
    <w:rsid w:val="000A2C6C"/>
    <w:rsid w:val="000A3451"/>
    <w:rsid w:val="000A4660"/>
    <w:rsid w:val="000B6999"/>
    <w:rsid w:val="000B6C89"/>
    <w:rsid w:val="000D1B5B"/>
    <w:rsid w:val="000F4B89"/>
    <w:rsid w:val="000F71AE"/>
    <w:rsid w:val="00103A26"/>
    <w:rsid w:val="0010401F"/>
    <w:rsid w:val="00112FC3"/>
    <w:rsid w:val="001321B6"/>
    <w:rsid w:val="00145DA6"/>
    <w:rsid w:val="00165D58"/>
    <w:rsid w:val="00173FA3"/>
    <w:rsid w:val="001747AC"/>
    <w:rsid w:val="0018407D"/>
    <w:rsid w:val="00184B6F"/>
    <w:rsid w:val="001861E5"/>
    <w:rsid w:val="00190DDF"/>
    <w:rsid w:val="00193400"/>
    <w:rsid w:val="001A269F"/>
    <w:rsid w:val="001B1652"/>
    <w:rsid w:val="001B1FC3"/>
    <w:rsid w:val="001B261C"/>
    <w:rsid w:val="001B4DBF"/>
    <w:rsid w:val="001C3EC8"/>
    <w:rsid w:val="001C73DD"/>
    <w:rsid w:val="001C75C6"/>
    <w:rsid w:val="001D2BD4"/>
    <w:rsid w:val="001D6911"/>
    <w:rsid w:val="001E7417"/>
    <w:rsid w:val="00201947"/>
    <w:rsid w:val="0020395B"/>
    <w:rsid w:val="002046CB"/>
    <w:rsid w:val="00204DC9"/>
    <w:rsid w:val="0020521C"/>
    <w:rsid w:val="002062C0"/>
    <w:rsid w:val="00215130"/>
    <w:rsid w:val="002249D7"/>
    <w:rsid w:val="00225A69"/>
    <w:rsid w:val="00230002"/>
    <w:rsid w:val="00233E0B"/>
    <w:rsid w:val="00244C9A"/>
    <w:rsid w:val="00246118"/>
    <w:rsid w:val="00247216"/>
    <w:rsid w:val="00247CDC"/>
    <w:rsid w:val="00247F14"/>
    <w:rsid w:val="00251807"/>
    <w:rsid w:val="002729E8"/>
    <w:rsid w:val="002A1857"/>
    <w:rsid w:val="002B5F45"/>
    <w:rsid w:val="002C23C4"/>
    <w:rsid w:val="002C7F38"/>
    <w:rsid w:val="002D7824"/>
    <w:rsid w:val="002F6432"/>
    <w:rsid w:val="00301F37"/>
    <w:rsid w:val="0030628A"/>
    <w:rsid w:val="00313B1F"/>
    <w:rsid w:val="00316DC8"/>
    <w:rsid w:val="00321C76"/>
    <w:rsid w:val="0032539E"/>
    <w:rsid w:val="003304E9"/>
    <w:rsid w:val="00335035"/>
    <w:rsid w:val="00342D11"/>
    <w:rsid w:val="003434F2"/>
    <w:rsid w:val="0034573D"/>
    <w:rsid w:val="0035122B"/>
    <w:rsid w:val="00353451"/>
    <w:rsid w:val="003632F4"/>
    <w:rsid w:val="00364974"/>
    <w:rsid w:val="003655AE"/>
    <w:rsid w:val="00367197"/>
    <w:rsid w:val="00371032"/>
    <w:rsid w:val="00371B44"/>
    <w:rsid w:val="00374341"/>
    <w:rsid w:val="00380E8C"/>
    <w:rsid w:val="00381180"/>
    <w:rsid w:val="003849D5"/>
    <w:rsid w:val="003B1375"/>
    <w:rsid w:val="003B51C1"/>
    <w:rsid w:val="003B68CF"/>
    <w:rsid w:val="003C122B"/>
    <w:rsid w:val="003C5A97"/>
    <w:rsid w:val="003C7A04"/>
    <w:rsid w:val="003C7C00"/>
    <w:rsid w:val="003D6DC4"/>
    <w:rsid w:val="003E723F"/>
    <w:rsid w:val="003F52B2"/>
    <w:rsid w:val="0040128D"/>
    <w:rsid w:val="0042366D"/>
    <w:rsid w:val="004378A0"/>
    <w:rsid w:val="00437971"/>
    <w:rsid w:val="00440414"/>
    <w:rsid w:val="0044188D"/>
    <w:rsid w:val="00445882"/>
    <w:rsid w:val="004558E9"/>
    <w:rsid w:val="0045777E"/>
    <w:rsid w:val="00465AAD"/>
    <w:rsid w:val="00466BBE"/>
    <w:rsid w:val="00481C9B"/>
    <w:rsid w:val="004A41BE"/>
    <w:rsid w:val="004A57B3"/>
    <w:rsid w:val="004B3753"/>
    <w:rsid w:val="004C31D2"/>
    <w:rsid w:val="004D55C2"/>
    <w:rsid w:val="004E46B6"/>
    <w:rsid w:val="004E6882"/>
    <w:rsid w:val="004F3DD4"/>
    <w:rsid w:val="0050066B"/>
    <w:rsid w:val="0051707C"/>
    <w:rsid w:val="00521131"/>
    <w:rsid w:val="00521B19"/>
    <w:rsid w:val="00527C0B"/>
    <w:rsid w:val="00536344"/>
    <w:rsid w:val="00540C98"/>
    <w:rsid w:val="005410F6"/>
    <w:rsid w:val="00541D8B"/>
    <w:rsid w:val="0055256E"/>
    <w:rsid w:val="005564B3"/>
    <w:rsid w:val="005623DB"/>
    <w:rsid w:val="005729B6"/>
    <w:rsid w:val="005729C4"/>
    <w:rsid w:val="0058381B"/>
    <w:rsid w:val="0059167B"/>
    <w:rsid w:val="0059227B"/>
    <w:rsid w:val="005941AC"/>
    <w:rsid w:val="005A11B3"/>
    <w:rsid w:val="005B0966"/>
    <w:rsid w:val="005B44A2"/>
    <w:rsid w:val="005B46FA"/>
    <w:rsid w:val="005B795D"/>
    <w:rsid w:val="005C62FC"/>
    <w:rsid w:val="005D0CEA"/>
    <w:rsid w:val="005E209F"/>
    <w:rsid w:val="00602C6E"/>
    <w:rsid w:val="00607CBE"/>
    <w:rsid w:val="00613820"/>
    <w:rsid w:val="00615FA7"/>
    <w:rsid w:val="00640D13"/>
    <w:rsid w:val="00652248"/>
    <w:rsid w:val="00655653"/>
    <w:rsid w:val="006559C8"/>
    <w:rsid w:val="00657B80"/>
    <w:rsid w:val="006661DB"/>
    <w:rsid w:val="00670362"/>
    <w:rsid w:val="0067181E"/>
    <w:rsid w:val="00675B3C"/>
    <w:rsid w:val="00677320"/>
    <w:rsid w:val="0068299E"/>
    <w:rsid w:val="00684D4D"/>
    <w:rsid w:val="0069495C"/>
    <w:rsid w:val="006956E8"/>
    <w:rsid w:val="006A4554"/>
    <w:rsid w:val="006A48E5"/>
    <w:rsid w:val="006D304B"/>
    <w:rsid w:val="006D340A"/>
    <w:rsid w:val="006E4DD5"/>
    <w:rsid w:val="006F0EFF"/>
    <w:rsid w:val="007051DF"/>
    <w:rsid w:val="0070638B"/>
    <w:rsid w:val="00715A1D"/>
    <w:rsid w:val="00717FDB"/>
    <w:rsid w:val="00722277"/>
    <w:rsid w:val="00724EC0"/>
    <w:rsid w:val="00743051"/>
    <w:rsid w:val="00743F9D"/>
    <w:rsid w:val="00746B5E"/>
    <w:rsid w:val="007474D8"/>
    <w:rsid w:val="00760BB0"/>
    <w:rsid w:val="0076157A"/>
    <w:rsid w:val="00777DC0"/>
    <w:rsid w:val="00784593"/>
    <w:rsid w:val="007A00EF"/>
    <w:rsid w:val="007B19EA"/>
    <w:rsid w:val="007B34CB"/>
    <w:rsid w:val="007C0A2D"/>
    <w:rsid w:val="007C27B0"/>
    <w:rsid w:val="007C2C2C"/>
    <w:rsid w:val="007C506E"/>
    <w:rsid w:val="007E74D5"/>
    <w:rsid w:val="007F300B"/>
    <w:rsid w:val="007F7B73"/>
    <w:rsid w:val="00800769"/>
    <w:rsid w:val="008014C3"/>
    <w:rsid w:val="008231FA"/>
    <w:rsid w:val="0084737F"/>
    <w:rsid w:val="00850812"/>
    <w:rsid w:val="00850C59"/>
    <w:rsid w:val="00860595"/>
    <w:rsid w:val="00876B9A"/>
    <w:rsid w:val="00887220"/>
    <w:rsid w:val="008933BF"/>
    <w:rsid w:val="008A10C4"/>
    <w:rsid w:val="008B0248"/>
    <w:rsid w:val="008B440E"/>
    <w:rsid w:val="008C30B9"/>
    <w:rsid w:val="008C7B26"/>
    <w:rsid w:val="008D032C"/>
    <w:rsid w:val="008F4764"/>
    <w:rsid w:val="008F5F33"/>
    <w:rsid w:val="008F61C1"/>
    <w:rsid w:val="0090307D"/>
    <w:rsid w:val="00903A67"/>
    <w:rsid w:val="0091046A"/>
    <w:rsid w:val="00926ABD"/>
    <w:rsid w:val="00927FC2"/>
    <w:rsid w:val="00936E09"/>
    <w:rsid w:val="00936EE4"/>
    <w:rsid w:val="00947F4E"/>
    <w:rsid w:val="0095268E"/>
    <w:rsid w:val="00955BEF"/>
    <w:rsid w:val="009607D3"/>
    <w:rsid w:val="00963A7A"/>
    <w:rsid w:val="00963AC3"/>
    <w:rsid w:val="00966D47"/>
    <w:rsid w:val="009713B8"/>
    <w:rsid w:val="00982BB4"/>
    <w:rsid w:val="009869F4"/>
    <w:rsid w:val="00992312"/>
    <w:rsid w:val="009A3755"/>
    <w:rsid w:val="009A64E8"/>
    <w:rsid w:val="009C0DED"/>
    <w:rsid w:val="009C3D12"/>
    <w:rsid w:val="009D1680"/>
    <w:rsid w:val="009D235F"/>
    <w:rsid w:val="009F0701"/>
    <w:rsid w:val="00A03670"/>
    <w:rsid w:val="00A03AA7"/>
    <w:rsid w:val="00A050DB"/>
    <w:rsid w:val="00A05F9F"/>
    <w:rsid w:val="00A22B8B"/>
    <w:rsid w:val="00A22D7D"/>
    <w:rsid w:val="00A275C9"/>
    <w:rsid w:val="00A35BC8"/>
    <w:rsid w:val="00A37D7F"/>
    <w:rsid w:val="00A46410"/>
    <w:rsid w:val="00A55AE2"/>
    <w:rsid w:val="00A57688"/>
    <w:rsid w:val="00A60D88"/>
    <w:rsid w:val="00A619DD"/>
    <w:rsid w:val="00A7171C"/>
    <w:rsid w:val="00A72AE0"/>
    <w:rsid w:val="00A730AA"/>
    <w:rsid w:val="00A77943"/>
    <w:rsid w:val="00A80AF3"/>
    <w:rsid w:val="00A84A94"/>
    <w:rsid w:val="00AA1142"/>
    <w:rsid w:val="00AD1DAA"/>
    <w:rsid w:val="00AE13AC"/>
    <w:rsid w:val="00AF1E23"/>
    <w:rsid w:val="00AF7F81"/>
    <w:rsid w:val="00B01AFF"/>
    <w:rsid w:val="00B05CC7"/>
    <w:rsid w:val="00B115CE"/>
    <w:rsid w:val="00B12C80"/>
    <w:rsid w:val="00B1440F"/>
    <w:rsid w:val="00B27B4A"/>
    <w:rsid w:val="00B27E39"/>
    <w:rsid w:val="00B350D8"/>
    <w:rsid w:val="00B411DF"/>
    <w:rsid w:val="00B74ECF"/>
    <w:rsid w:val="00B76763"/>
    <w:rsid w:val="00B7732B"/>
    <w:rsid w:val="00B81D7B"/>
    <w:rsid w:val="00B8359A"/>
    <w:rsid w:val="00B879F0"/>
    <w:rsid w:val="00BA72B4"/>
    <w:rsid w:val="00BB1F5F"/>
    <w:rsid w:val="00BB2470"/>
    <w:rsid w:val="00BB5187"/>
    <w:rsid w:val="00BB6FFF"/>
    <w:rsid w:val="00BC25AA"/>
    <w:rsid w:val="00BD20F4"/>
    <w:rsid w:val="00BD4EC5"/>
    <w:rsid w:val="00BE0396"/>
    <w:rsid w:val="00BE0B72"/>
    <w:rsid w:val="00BE415B"/>
    <w:rsid w:val="00BF3465"/>
    <w:rsid w:val="00C022E3"/>
    <w:rsid w:val="00C07A44"/>
    <w:rsid w:val="00C13C78"/>
    <w:rsid w:val="00C22D17"/>
    <w:rsid w:val="00C27F41"/>
    <w:rsid w:val="00C42193"/>
    <w:rsid w:val="00C4308C"/>
    <w:rsid w:val="00C4712D"/>
    <w:rsid w:val="00C47C7C"/>
    <w:rsid w:val="00C52B8A"/>
    <w:rsid w:val="00C53873"/>
    <w:rsid w:val="00C538DE"/>
    <w:rsid w:val="00C548A1"/>
    <w:rsid w:val="00C555C9"/>
    <w:rsid w:val="00C745D0"/>
    <w:rsid w:val="00C92751"/>
    <w:rsid w:val="00C94F55"/>
    <w:rsid w:val="00CA1732"/>
    <w:rsid w:val="00CA7D62"/>
    <w:rsid w:val="00CB07A8"/>
    <w:rsid w:val="00CB0A91"/>
    <w:rsid w:val="00CB3E51"/>
    <w:rsid w:val="00CC75A8"/>
    <w:rsid w:val="00CD4A57"/>
    <w:rsid w:val="00CE4AA1"/>
    <w:rsid w:val="00CF343D"/>
    <w:rsid w:val="00D14071"/>
    <w:rsid w:val="00D146F1"/>
    <w:rsid w:val="00D24987"/>
    <w:rsid w:val="00D30E40"/>
    <w:rsid w:val="00D33604"/>
    <w:rsid w:val="00D37B08"/>
    <w:rsid w:val="00D42740"/>
    <w:rsid w:val="00D437FF"/>
    <w:rsid w:val="00D5130C"/>
    <w:rsid w:val="00D52B91"/>
    <w:rsid w:val="00D561BF"/>
    <w:rsid w:val="00D56A1B"/>
    <w:rsid w:val="00D570F6"/>
    <w:rsid w:val="00D5731B"/>
    <w:rsid w:val="00D62265"/>
    <w:rsid w:val="00D662C1"/>
    <w:rsid w:val="00D8087A"/>
    <w:rsid w:val="00D838AB"/>
    <w:rsid w:val="00D8512E"/>
    <w:rsid w:val="00D920CF"/>
    <w:rsid w:val="00D95399"/>
    <w:rsid w:val="00D979C4"/>
    <w:rsid w:val="00DA1DF2"/>
    <w:rsid w:val="00DA1E58"/>
    <w:rsid w:val="00DA5D62"/>
    <w:rsid w:val="00DB351B"/>
    <w:rsid w:val="00DD6800"/>
    <w:rsid w:val="00DE0DC5"/>
    <w:rsid w:val="00DE1DBC"/>
    <w:rsid w:val="00DE3920"/>
    <w:rsid w:val="00DE4EF2"/>
    <w:rsid w:val="00DE62C0"/>
    <w:rsid w:val="00DE7A89"/>
    <w:rsid w:val="00DE7BE4"/>
    <w:rsid w:val="00DF1B43"/>
    <w:rsid w:val="00DF2C0E"/>
    <w:rsid w:val="00DF55BD"/>
    <w:rsid w:val="00E03B04"/>
    <w:rsid w:val="00E04DB6"/>
    <w:rsid w:val="00E06FFB"/>
    <w:rsid w:val="00E07A3A"/>
    <w:rsid w:val="00E17FBE"/>
    <w:rsid w:val="00E30155"/>
    <w:rsid w:val="00E30BD8"/>
    <w:rsid w:val="00E33D53"/>
    <w:rsid w:val="00E42196"/>
    <w:rsid w:val="00E47762"/>
    <w:rsid w:val="00E53E44"/>
    <w:rsid w:val="00E64287"/>
    <w:rsid w:val="00E764D0"/>
    <w:rsid w:val="00E817F6"/>
    <w:rsid w:val="00E824F3"/>
    <w:rsid w:val="00E83DA9"/>
    <w:rsid w:val="00E85195"/>
    <w:rsid w:val="00E8532D"/>
    <w:rsid w:val="00E9122D"/>
    <w:rsid w:val="00E91FE1"/>
    <w:rsid w:val="00EA07CF"/>
    <w:rsid w:val="00EA5E95"/>
    <w:rsid w:val="00EB5DB0"/>
    <w:rsid w:val="00EB7B8D"/>
    <w:rsid w:val="00EC5E54"/>
    <w:rsid w:val="00ED4954"/>
    <w:rsid w:val="00EE0943"/>
    <w:rsid w:val="00EE33A2"/>
    <w:rsid w:val="00F0409D"/>
    <w:rsid w:val="00F067C4"/>
    <w:rsid w:val="00F07F38"/>
    <w:rsid w:val="00F11AFF"/>
    <w:rsid w:val="00F21C6E"/>
    <w:rsid w:val="00F26728"/>
    <w:rsid w:val="00F33988"/>
    <w:rsid w:val="00F41F7F"/>
    <w:rsid w:val="00F42740"/>
    <w:rsid w:val="00F55DB9"/>
    <w:rsid w:val="00F60005"/>
    <w:rsid w:val="00F615E3"/>
    <w:rsid w:val="00F67A1C"/>
    <w:rsid w:val="00F826D1"/>
    <w:rsid w:val="00F82C5B"/>
    <w:rsid w:val="00F8555F"/>
    <w:rsid w:val="00F863CF"/>
    <w:rsid w:val="00F94F0A"/>
    <w:rsid w:val="00FA32BC"/>
    <w:rsid w:val="00FA7E9E"/>
    <w:rsid w:val="00FB08D4"/>
    <w:rsid w:val="00FB08F2"/>
    <w:rsid w:val="00FB5301"/>
    <w:rsid w:val="00FB62F3"/>
    <w:rsid w:val="00FD4222"/>
    <w:rsid w:val="00FE5983"/>
    <w:rsid w:val="00FE64CB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84737F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84737F"/>
    <w:rPr>
      <w:rFonts w:ascii="Arial" w:hAnsi="Arial"/>
      <w:b/>
      <w:lang w:eastAsia="en-US"/>
    </w:rPr>
  </w:style>
  <w:style w:type="character" w:customStyle="1" w:styleId="THChar">
    <w:name w:val="TH Char"/>
    <w:link w:val="TH"/>
    <w:qFormat/>
    <w:rsid w:val="0084737F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84737F"/>
    <w:rPr>
      <w:rFonts w:ascii="Times New Roman" w:hAnsi="Times New Roman"/>
      <w:lang w:eastAsia="en-US"/>
    </w:rPr>
  </w:style>
  <w:style w:type="table" w:styleId="af">
    <w:name w:val="Table Grid"/>
    <w:basedOn w:val="a1"/>
    <w:rsid w:val="00982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1">
    <w:name w:val="TAL Char1"/>
    <w:link w:val="TAL"/>
    <w:rsid w:val="00982BB4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003671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9FE34-1F0C-4EF4-AE05-98F59994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6720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</cp:lastModifiedBy>
  <cp:revision>25</cp:revision>
  <cp:lastPrinted>1899-12-31T23:00:00Z</cp:lastPrinted>
  <dcterms:created xsi:type="dcterms:W3CDTF">2022-03-02T07:04:00Z</dcterms:created>
  <dcterms:modified xsi:type="dcterms:W3CDTF">2022-03-02T07:32:00Z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(3)g6ym2AjU3Br0Ud41wXfvkbyr6OmObAXQuD5GwWONIb7NRSJ+wwaWp19NxgT64f2bNrofGfBh
N/YZiUt9byxE/2xZpk8M1e1i4HJDIDAY/kkQ9LNE9pvVUzXO0vvrW78gU9Q12z9OGQlif5fy
woS093cns/Q87JDAX9VxBysoVXzeZPlCzjWnW3SJKbG+/nDiaMBfYAaISUqKAVFIWBTEljSH
fFwOswHG3QN92DHT7D</vt:lpwstr>
  </property>
  <property fmtid="{D5CDD505-2E9C-101B-9397-08002B2CF9AE}" pid="4" name="_2015_ms_pID_7253431">
    <vt:lpwstr>TSvWOeyKcpiPtTxremJnXtb756lo2kVgZ8W8JGlfGn/vyNWnuu/SYv
Is3gt02RgMsOImh1G8mNMTCp8x0zZJHjJ2tD431DgbuAwg4GNVSTW0oMwZtXtml99sVbGBSM
c6ukB876sAz4p89Thto6N2cuJeKQC4D7pu/ivDGgcMxQFe9RMypW0WUutSPIs8zT15er28nJ
xN9WZtfx1pL9WEtd1VYtO9+BtGqWxWASYvjh</vt:lpwstr>
  </property>
  <property fmtid="{D5CDD505-2E9C-101B-9397-08002B2CF9AE}" pid="5" name="_2015_ms_pID_7253432">
    <vt:lpwstr>YA==</vt:lpwstr>
  </property>
</Properties>
</file>