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94"/>
        <w:gridCol w:w="888"/>
        <w:gridCol w:w="12066"/>
      </w:tblGrid>
      <w:tr w:rsidR="00230DC6" w:rsidRPr="00A644F2" w14:paraId="137D5423" w14:textId="77777777" w:rsidTr="00460862">
        <w:tc>
          <w:tcPr>
            <w:tcW w:w="994"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888"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12066"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230DC6" w:rsidRPr="00A644F2" w14:paraId="2ECA7379" w14:textId="77777777" w:rsidTr="00460862">
        <w:tc>
          <w:tcPr>
            <w:tcW w:w="994" w:type="dxa"/>
          </w:tcPr>
          <w:p w14:paraId="4A117DC3" w14:textId="31EC5E56" w:rsidR="00A644F2" w:rsidRPr="00A644F2" w:rsidRDefault="00C90393">
            <w:pPr>
              <w:rPr>
                <w:rFonts w:ascii="Calibri" w:hAnsi="Calibri" w:cs="Calibri"/>
                <w:sz w:val="20"/>
                <w:szCs w:val="21"/>
              </w:rPr>
            </w:pPr>
            <w:r>
              <w:rPr>
                <w:rFonts w:ascii="Calibri" w:hAnsi="Calibri" w:cs="Calibri" w:hint="eastAsia"/>
                <w:sz w:val="20"/>
                <w:szCs w:val="21"/>
              </w:rPr>
              <w:t>CATT</w:t>
            </w:r>
          </w:p>
        </w:tc>
        <w:tc>
          <w:tcPr>
            <w:tcW w:w="888" w:type="dxa"/>
          </w:tcPr>
          <w:p w14:paraId="1C12716B" w14:textId="5DEBED17" w:rsidR="00A644F2" w:rsidRPr="00A644F2" w:rsidRDefault="00C90393">
            <w:pPr>
              <w:rPr>
                <w:rFonts w:ascii="Calibri" w:hAnsi="Calibri" w:cs="Calibri"/>
                <w:sz w:val="20"/>
                <w:szCs w:val="21"/>
              </w:rPr>
            </w:pPr>
            <w:r>
              <w:t>C234, C235, H661</w:t>
            </w:r>
          </w:p>
        </w:tc>
        <w:tc>
          <w:tcPr>
            <w:tcW w:w="12066" w:type="dxa"/>
          </w:tcPr>
          <w:p w14:paraId="1A785329" w14:textId="4862D18E" w:rsidR="00C90393" w:rsidRDefault="00C90393" w:rsidP="00C90393">
            <w:r>
              <w:rPr>
                <w:rFonts w:hint="eastAsia"/>
              </w:rPr>
              <w:t>Rapporteur</w:t>
            </w:r>
            <w:r>
              <w:t xml:space="preserve">’s comment for the </w:t>
            </w:r>
            <w:r w:rsidR="00230DC6">
              <w:t xml:space="preserve">related </w:t>
            </w:r>
            <w:r>
              <w:t>RIL is listed as below:</w:t>
            </w:r>
          </w:p>
          <w:p w14:paraId="4847EB3C" w14:textId="5E7A19CC" w:rsidR="00C90393" w:rsidRDefault="00C90393" w:rsidP="00C90393">
            <w:r>
              <w:rPr>
                <w:noProof/>
              </w:rPr>
              <w:drawing>
                <wp:inline distT="0" distB="0" distL="0" distR="0" wp14:anchorId="672BE836" wp14:editId="3F5930EE">
                  <wp:extent cx="7625080" cy="823595"/>
                  <wp:effectExtent l="0" t="0" r="0" b="0"/>
                  <wp:docPr id="1" name="图片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5080" cy="823595"/>
                          </a:xfrm>
                          <a:prstGeom prst="rect">
                            <a:avLst/>
                          </a:prstGeom>
                          <a:noFill/>
                          <a:ln>
                            <a:noFill/>
                          </a:ln>
                        </pic:spPr>
                      </pic:pic>
                    </a:graphicData>
                  </a:graphic>
                </wp:inline>
              </w:drawing>
            </w:r>
          </w:p>
          <w:p w14:paraId="0A183870" w14:textId="77777777" w:rsidR="00C90393" w:rsidRDefault="00C90393" w:rsidP="00C90393">
            <w:r>
              <w:t>Indeed, C234 and C235 assume supporting N3C indirect path addition/change failure detection and reporting. But this does mean we need to have T421 for N3C case.</w:t>
            </w:r>
          </w:p>
          <w:p w14:paraId="5E39D9C8" w14:textId="77777777" w:rsidR="00C90393" w:rsidRDefault="00C90393" w:rsidP="00C90393">
            <w:r>
              <w:t xml:space="preserve">For the </w:t>
            </w:r>
            <w:r>
              <w:rPr>
                <w:highlight w:val="yellow"/>
              </w:rPr>
              <w:t>yellow marked part</w:t>
            </w:r>
            <w:r>
              <w:t>, CATT’s have the same point with HW that T421 for N3C case is not needed.</w:t>
            </w:r>
          </w:p>
          <w:p w14:paraId="6C64B73A" w14:textId="0D3C98EE" w:rsidR="00C90393" w:rsidRDefault="00C90393" w:rsidP="00C90393">
            <w:r>
              <w:t xml:space="preserve">For the </w:t>
            </w:r>
            <w:r>
              <w:rPr>
                <w:highlight w:val="green"/>
              </w:rPr>
              <w:t>green marked part</w:t>
            </w:r>
            <w:r>
              <w:t>, our point is the case for N3C indirect path addition/change failure can really happen, but we don’t need to specify any method to determine the change failure (leave it to UE implementation).</w:t>
            </w:r>
          </w:p>
          <w:p w14:paraId="6ED629A6" w14:textId="68C39290" w:rsidR="00C90393" w:rsidRDefault="00C90393" w:rsidP="00C90393">
            <w:r>
              <w:t>When the case for N3C indirect path addition/change failure happens, our target is to capture some procedure description to guidance UE how to handle it (For this part, we can fully reuse scenario1 case).</w:t>
            </w:r>
          </w:p>
          <w:p w14:paraId="2908AFA1" w14:textId="77777777" w:rsidR="00C90393" w:rsidRDefault="00C90393" w:rsidP="00C90393"/>
          <w:p w14:paraId="4D4683BC" w14:textId="1BB0418E" w:rsidR="00C90393" w:rsidRDefault="00C90393" w:rsidP="00C90393">
            <w:r>
              <w:t xml:space="preserve">As </w:t>
            </w:r>
            <w:r>
              <w:rPr>
                <w:rFonts w:hint="eastAsia"/>
              </w:rPr>
              <w:t>Rapporteur</w:t>
            </w:r>
            <w:r>
              <w:t xml:space="preserve"> mentioned in the comment, the 1</w:t>
            </w:r>
            <w:r>
              <w:rPr>
                <w:vertAlign w:val="superscript"/>
              </w:rPr>
              <w:t>st</w:t>
            </w:r>
            <w:r>
              <w:t xml:space="preserve"> question is for N3C whether the failure will happen for N3C indirect path addition/change case? </w:t>
            </w:r>
          </w:p>
          <w:p w14:paraId="2538B1BE" w14:textId="77777777" w:rsidR="00C90393" w:rsidRDefault="00C90393" w:rsidP="00C90393">
            <w:r>
              <w:t>If the answer to 1</w:t>
            </w:r>
            <w:r>
              <w:rPr>
                <w:vertAlign w:val="superscript"/>
              </w:rPr>
              <w:t>st</w:t>
            </w:r>
            <w:r>
              <w:t xml:space="preserve"> question is “will happen”, then we need to further check whether we leave the failure detection to UE implementation?</w:t>
            </w:r>
          </w:p>
          <w:p w14:paraId="0A95C59B" w14:textId="15509975" w:rsidR="00C90393" w:rsidRPr="00C90393" w:rsidRDefault="00C90393">
            <w:r>
              <w:t>If the answer to 2</w:t>
            </w:r>
            <w:r>
              <w:rPr>
                <w:vertAlign w:val="superscript"/>
              </w:rPr>
              <w:t>nd</w:t>
            </w:r>
            <w:r>
              <w:t xml:space="preserve"> question</w:t>
            </w:r>
            <w:r>
              <w:rPr>
                <w:vertAlign w:val="superscript"/>
              </w:rPr>
              <w:t xml:space="preserve"> </w:t>
            </w:r>
            <w:r>
              <w:t>is “leave the detection to UE implementation”, then we just add some text procedure description without introduce any new IE to finish the whole task (to guidance UE how to handle it).</w:t>
            </w:r>
          </w:p>
        </w:tc>
      </w:tr>
      <w:tr w:rsidR="00230DC6" w:rsidRPr="00A644F2" w14:paraId="7969A713" w14:textId="77777777" w:rsidTr="00460862">
        <w:tc>
          <w:tcPr>
            <w:tcW w:w="994" w:type="dxa"/>
          </w:tcPr>
          <w:p w14:paraId="27BCAA39" w14:textId="5D2C746D" w:rsidR="00A644F2" w:rsidRPr="00A644F2" w:rsidRDefault="009B50FD">
            <w:pPr>
              <w:rPr>
                <w:rFonts w:ascii="Calibri" w:hAnsi="Calibri" w:cs="Calibri"/>
                <w:sz w:val="20"/>
                <w:szCs w:val="21"/>
              </w:rPr>
            </w:pPr>
            <w:r>
              <w:rPr>
                <w:rFonts w:ascii="Calibri" w:hAnsi="Calibri" w:cs="Calibri"/>
                <w:sz w:val="20"/>
                <w:szCs w:val="21"/>
              </w:rPr>
              <w:t>MediaTek</w:t>
            </w:r>
          </w:p>
        </w:tc>
        <w:tc>
          <w:tcPr>
            <w:tcW w:w="888" w:type="dxa"/>
          </w:tcPr>
          <w:p w14:paraId="0BDB0834" w14:textId="2435DF3E" w:rsidR="00A644F2" w:rsidRPr="00A644F2" w:rsidRDefault="009B50FD">
            <w:pPr>
              <w:rPr>
                <w:rFonts w:ascii="Calibri" w:hAnsi="Calibri" w:cs="Calibri"/>
                <w:sz w:val="20"/>
                <w:szCs w:val="21"/>
              </w:rPr>
            </w:pPr>
            <w:r>
              <w:rPr>
                <w:rFonts w:ascii="Calibri" w:hAnsi="Calibri" w:cs="Calibri"/>
                <w:sz w:val="20"/>
                <w:szCs w:val="21"/>
              </w:rPr>
              <w:t>H659</w:t>
            </w:r>
          </w:p>
        </w:tc>
        <w:tc>
          <w:tcPr>
            <w:tcW w:w="12066" w:type="dxa"/>
          </w:tcPr>
          <w:p w14:paraId="6CD66EE8" w14:textId="5724B443" w:rsidR="00A644F2" w:rsidRPr="00A644F2" w:rsidRDefault="009B50FD">
            <w:pPr>
              <w:rPr>
                <w:rFonts w:ascii="Calibri" w:hAnsi="Calibri" w:cs="Calibri"/>
                <w:sz w:val="20"/>
                <w:szCs w:val="21"/>
              </w:rPr>
            </w:pPr>
            <w:r>
              <w:rPr>
                <w:rFonts w:ascii="Calibri" w:hAnsi="Calibri" w:cs="Calibri"/>
                <w:sz w:val="20"/>
                <w:szCs w:val="21"/>
              </w:rPr>
              <w:t>We agree with the issue given the current structure of the ASN.1, but we think the current way of triggering the UE to detect non-3GPP connections is not the best solution in the scenario where a UE supporting N3C originates an RRC connection for data that would benefit from MP.  We will bring a tdoc.</w:t>
            </w:r>
          </w:p>
        </w:tc>
      </w:tr>
      <w:tr w:rsidR="00460862" w:rsidRPr="00A644F2" w14:paraId="30B9F741" w14:textId="77777777" w:rsidTr="00460862">
        <w:tc>
          <w:tcPr>
            <w:tcW w:w="994" w:type="dxa"/>
          </w:tcPr>
          <w:p w14:paraId="653B7A36" w14:textId="267C085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lastRenderedPageBreak/>
              <w:t>S</w:t>
            </w:r>
            <w:r>
              <w:rPr>
                <w:rFonts w:ascii="Calibri" w:eastAsia="Yu Mincho" w:hAnsi="Calibri" w:cs="Calibri"/>
                <w:sz w:val="20"/>
                <w:szCs w:val="21"/>
                <w:lang w:eastAsia="ja-JP"/>
              </w:rPr>
              <w:t>harp</w:t>
            </w:r>
          </w:p>
        </w:tc>
        <w:tc>
          <w:tcPr>
            <w:tcW w:w="888" w:type="dxa"/>
          </w:tcPr>
          <w:p w14:paraId="35CC62A1" w14:textId="7F597B99"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J</w:t>
            </w:r>
            <w:r>
              <w:rPr>
                <w:rFonts w:ascii="Calibri" w:eastAsia="Yu Mincho" w:hAnsi="Calibri" w:cs="Calibri"/>
                <w:sz w:val="20"/>
                <w:szCs w:val="21"/>
                <w:lang w:eastAsia="ja-JP"/>
              </w:rPr>
              <w:t>106</w:t>
            </w:r>
          </w:p>
        </w:tc>
        <w:tc>
          <w:tcPr>
            <w:tcW w:w="12066" w:type="dxa"/>
          </w:tcPr>
          <w:p w14:paraId="1F2459BA" w14:textId="17453EDB"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[RIL]</w:t>
            </w:r>
          </w:p>
          <w:p w14:paraId="509300B2"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SIZE should start from 1 since this field is optional.</w:t>
            </w:r>
            <w:r w:rsidRPr="00460862">
              <w:rPr>
                <w:rFonts w:ascii="Calibri" w:eastAsia="Yu Mincho" w:hAnsi="Calibri" w:cs="Calibri"/>
                <w:sz w:val="20"/>
                <w:szCs w:val="21"/>
                <w:lang w:eastAsia="ja-JP"/>
              </w:rPr>
              <w:tab/>
            </w:r>
          </w:p>
          <w:p w14:paraId="328E9B7C"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[proposed change]</w:t>
            </w:r>
          </w:p>
          <w:p w14:paraId="2FD55CE5" w14:textId="34BE2618" w:rsid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N3C-RelayUE-InfoList-r18 ::= SEQUENCE (SIZE (</w:t>
            </w:r>
            <w:r w:rsidRPr="00460862">
              <w:rPr>
                <w:rFonts w:ascii="Calibri" w:eastAsia="Yu Mincho" w:hAnsi="Calibri" w:cs="Calibri"/>
                <w:color w:val="FF0000"/>
                <w:sz w:val="20"/>
                <w:szCs w:val="21"/>
                <w:lang w:eastAsia="ja-JP"/>
              </w:rPr>
              <w:t>1</w:t>
            </w:r>
            <w:r w:rsidRPr="00460862">
              <w:rPr>
                <w:rFonts w:ascii="Calibri" w:eastAsia="Yu Mincho" w:hAnsi="Calibri" w:cs="Calibri"/>
                <w:sz w:val="20"/>
                <w:szCs w:val="21"/>
                <w:lang w:eastAsia="ja-JP"/>
              </w:rPr>
              <w:t>..8)) OF N3C-RelayUE-Info-r18</w:t>
            </w:r>
          </w:p>
          <w:p w14:paraId="26E7960B" w14:textId="3D4C368C" w:rsidR="00460862" w:rsidRDefault="00460862" w:rsidP="00460862">
            <w:pPr>
              <w:rPr>
                <w:rFonts w:ascii="Calibri" w:eastAsia="Yu Mincho" w:hAnsi="Calibri" w:cs="Calibri"/>
                <w:sz w:val="20"/>
                <w:szCs w:val="21"/>
                <w:lang w:eastAsia="ja-JP"/>
              </w:rPr>
            </w:pPr>
            <w:r>
              <w:rPr>
                <w:rFonts w:ascii="Calibri" w:eastAsia="Yu Mincho" w:hAnsi="Calibri" w:cs="Calibri" w:hint="eastAsia"/>
                <w:sz w:val="20"/>
                <w:szCs w:val="21"/>
                <w:lang w:eastAsia="ja-JP"/>
              </w:rPr>
              <w:t>R</w:t>
            </w:r>
            <w:r>
              <w:rPr>
                <w:rFonts w:ascii="Calibri" w:eastAsia="Yu Mincho" w:hAnsi="Calibri" w:cs="Calibri"/>
                <w:sz w:val="20"/>
                <w:szCs w:val="21"/>
                <w:lang w:eastAsia="ja-JP"/>
              </w:rPr>
              <w:t>app’s comment is below</w:t>
            </w:r>
          </w:p>
          <w:p w14:paraId="1D73E868" w14:textId="77777777" w:rsidR="00460862" w:rsidRPr="00FA4DE9" w:rsidRDefault="00460862" w:rsidP="00460862">
            <w:pPr>
              <w:rPr>
                <w:rFonts w:ascii="Calibri" w:eastAsia="Yu Mincho" w:hAnsi="Calibri" w:cs="Calibri"/>
                <w:i/>
                <w:sz w:val="20"/>
                <w:szCs w:val="21"/>
                <w:lang w:eastAsia="ja-JP"/>
              </w:rPr>
            </w:pPr>
            <w:r w:rsidRPr="00FA4DE9">
              <w:rPr>
                <w:rFonts w:ascii="Calibri" w:eastAsia="Yu Mincho" w:hAnsi="Calibri" w:cs="Calibri"/>
                <w:i/>
                <w:sz w:val="20"/>
                <w:szCs w:val="21"/>
                <w:lang w:eastAsia="ja-JP"/>
              </w:rPr>
              <w:t>Rapp: size 0 is useful which means there is no N3C available.</w:t>
            </w:r>
          </w:p>
          <w:p w14:paraId="02A7B168" w14:textId="77777777" w:rsidR="00460862" w:rsidRDefault="00460862" w:rsidP="00460862">
            <w:pPr>
              <w:rPr>
                <w:rFonts w:ascii="Calibri" w:eastAsia="Yu Mincho" w:hAnsi="Calibri" w:cs="Calibri"/>
                <w:sz w:val="20"/>
                <w:szCs w:val="21"/>
                <w:lang w:eastAsia="ja-JP"/>
              </w:rPr>
            </w:pPr>
          </w:p>
          <w:p w14:paraId="764D8B2A"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 xml:space="preserve">gNB understand there is no N3C available when </w:t>
            </w:r>
            <w:r w:rsidRPr="00FA4DE9">
              <w:rPr>
                <w:rFonts w:ascii="Calibri" w:eastAsia="Yu Mincho" w:hAnsi="Calibri" w:cs="Calibri"/>
                <w:sz w:val="20"/>
                <w:szCs w:val="21"/>
                <w:lang w:eastAsia="ja-JP"/>
              </w:rPr>
              <w:t>n3c-RelayUE-InfoList-r18</w:t>
            </w:r>
            <w:r>
              <w:rPr>
                <w:rFonts w:ascii="Calibri" w:eastAsia="Yu Mincho" w:hAnsi="Calibri" w:cs="Calibri"/>
                <w:sz w:val="20"/>
                <w:szCs w:val="21"/>
                <w:lang w:eastAsia="ja-JP"/>
              </w:rPr>
              <w:t xml:space="preserve"> is absent in UEAssistanceInformation (gNB also understands there is no L2 U2N relay available when </w:t>
            </w:r>
            <w:r w:rsidRPr="004D0372">
              <w:rPr>
                <w:rFonts w:ascii="Calibri" w:eastAsia="Yu Mincho" w:hAnsi="Calibri" w:cs="Calibri"/>
                <w:sz w:val="20"/>
                <w:szCs w:val="21"/>
                <w:lang w:eastAsia="ja-JP"/>
              </w:rPr>
              <w:t>sl-MeasResultsCandRelay-r17</w:t>
            </w:r>
            <w:r>
              <w:rPr>
                <w:rFonts w:ascii="Calibri" w:eastAsia="Yu Mincho" w:hAnsi="Calibri" w:cs="Calibri"/>
                <w:sz w:val="20"/>
                <w:szCs w:val="21"/>
                <w:lang w:eastAsia="ja-JP"/>
              </w:rPr>
              <w:t xml:space="preserve"> is absent in measurement report). </w:t>
            </w:r>
          </w:p>
          <w:p w14:paraId="7CF07B5F" w14:textId="17E0C6CB"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W</w:t>
            </w:r>
            <w:r>
              <w:rPr>
                <w:rFonts w:ascii="Calibri" w:eastAsia="Yu Mincho" w:hAnsi="Calibri" w:cs="Calibri"/>
                <w:sz w:val="20"/>
                <w:szCs w:val="21"/>
                <w:lang w:eastAsia="ja-JP"/>
              </w:rPr>
              <w:t xml:space="preserve">hat is the difference between the case that n3c-Relay-InfoList-r18 is absent and the case that n3c-Relay-InfoList-r18 is exist but size is 0? </w:t>
            </w:r>
          </w:p>
        </w:tc>
      </w:tr>
      <w:tr w:rsidR="00460862" w:rsidRPr="00A644F2" w14:paraId="30623F21" w14:textId="77777777" w:rsidTr="00460862">
        <w:tc>
          <w:tcPr>
            <w:tcW w:w="994" w:type="dxa"/>
          </w:tcPr>
          <w:p w14:paraId="694F494F" w14:textId="25371FF5"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21BC4D98" w14:textId="4ED1B50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695</w:t>
            </w:r>
          </w:p>
        </w:tc>
        <w:tc>
          <w:tcPr>
            <w:tcW w:w="12066" w:type="dxa"/>
          </w:tcPr>
          <w:p w14:paraId="5E1B6C4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5D165867" w14:textId="77777777" w:rsidR="00460862" w:rsidRDefault="00460862" w:rsidP="00460862">
            <w:pPr>
              <w:rPr>
                <w:rFonts w:ascii="Times New Roman" w:hAnsi="Times New Roman" w:cs="Times New Roman"/>
                <w:sz w:val="20"/>
                <w:lang w:eastAsia="ja-JP"/>
              </w:rPr>
            </w:pPr>
            <w:bookmarkStart w:id="0" w:name="_Hlk157606969"/>
            <w:r>
              <w:rPr>
                <w:rFonts w:ascii="Times New Roman" w:hAnsi="Times New Roman" w:cs="Times New Roman"/>
                <w:sz w:val="20"/>
                <w:lang w:eastAsia="ja-JP"/>
              </w:rPr>
              <w:t>[Sharp] Firstly, t</w:t>
            </w:r>
            <w:r w:rsidRPr="00377633">
              <w:rPr>
                <w:rFonts w:ascii="Times New Roman" w:hAnsi="Times New Roman" w:cs="Times New Roman"/>
                <w:sz w:val="20"/>
                <w:lang w:eastAsia="ja-JP"/>
              </w:rPr>
              <w:t>here are two cases that the current stopping conditions do not cover</w:t>
            </w:r>
            <w:r>
              <w:rPr>
                <w:rFonts w:ascii="Times New Roman" w:hAnsi="Times New Roman" w:cs="Times New Roman"/>
                <w:sz w:val="20"/>
                <w:lang w:eastAsia="ja-JP"/>
              </w:rPr>
              <w:t>, i.e. non-split SRB is configured or split-SRB without duplication is configured. And Huawei’s proposal d</w:t>
            </w:r>
            <w:r w:rsidRPr="0026652D">
              <w:rPr>
                <w:rFonts w:ascii="Times New Roman" w:hAnsi="Times New Roman" w:cs="Times New Roman"/>
                <w:sz w:val="20"/>
                <w:lang w:eastAsia="ja-JP"/>
              </w:rPr>
              <w:t>oes not cover the case where non-split SRB is configured</w:t>
            </w:r>
            <w:r>
              <w:rPr>
                <w:rFonts w:ascii="Times New Roman" w:hAnsi="Times New Roman" w:cs="Times New Roman"/>
                <w:sz w:val="20"/>
                <w:lang w:eastAsia="ja-JP"/>
              </w:rPr>
              <w:t>. We suggest to modify proposed change as below:</w:t>
            </w:r>
          </w:p>
          <w:p w14:paraId="3D4A5B7B"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sz w:val="20"/>
                <w:lang w:eastAsia="ja-JP"/>
              </w:rPr>
              <w:t>Upon successfully sending RRCReconfigurationComplete message (i.e., PC5 RLC acknowledgement is received from target L2 U2N Relay UE) if split SRB1 with duplication is configured</w:t>
            </w:r>
            <w:r>
              <w:rPr>
                <w:rFonts w:ascii="Times New Roman" w:hAnsi="Times New Roman" w:cs="Times New Roman"/>
                <w:sz w:val="20"/>
                <w:lang w:eastAsia="ja-JP"/>
              </w:rPr>
              <w:t>.</w:t>
            </w:r>
          </w:p>
          <w:p w14:paraId="68A46562"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color w:val="FF0000"/>
                <w:sz w:val="20"/>
                <w:lang w:eastAsia="ja-JP"/>
              </w:rPr>
              <w:t xml:space="preserve">Upon reception of </w:t>
            </w:r>
            <w:proofErr w:type="spellStart"/>
            <w:r w:rsidRPr="0026652D">
              <w:rPr>
                <w:rFonts w:ascii="Times New Roman" w:hAnsi="Times New Roman" w:cs="Times New Roman"/>
                <w:i/>
                <w:color w:val="FF0000"/>
                <w:sz w:val="20"/>
                <w:lang w:eastAsia="ja-JP"/>
              </w:rPr>
              <w:t>RRCReconfigurationCompleteSidelink</w:t>
            </w:r>
            <w:proofErr w:type="spellEnd"/>
            <w:r w:rsidRPr="0026652D">
              <w:rPr>
                <w:rFonts w:ascii="Times New Roman" w:hAnsi="Times New Roman" w:cs="Times New Roman"/>
                <w:color w:val="FF0000"/>
                <w:sz w:val="20"/>
                <w:lang w:eastAsia="ja-JP"/>
              </w:rPr>
              <w:t xml:space="preserve"> message from target L2 U2N relay UE if non-split SRB1 or split SRB1 without duplication is configured.</w:t>
            </w:r>
          </w:p>
          <w:p w14:paraId="05D2496E" w14:textId="77777777" w:rsidR="00460862" w:rsidRDefault="00460862" w:rsidP="00460862">
            <w:pPr>
              <w:rPr>
                <w:rFonts w:ascii="Times New Roman" w:hAnsi="Times New Roman" w:cs="Times New Roman"/>
                <w:sz w:val="20"/>
                <w:lang w:eastAsia="ja-JP"/>
              </w:rPr>
            </w:pPr>
          </w:p>
          <w:p w14:paraId="6F57B8DB" w14:textId="77777777" w:rsidR="00460862" w:rsidRDefault="00460862" w:rsidP="00460862">
            <w:pPr>
              <w:rPr>
                <w:rFonts w:ascii="Times New Roman" w:hAnsi="Times New Roman" w:cs="Times New Roman"/>
                <w:sz w:val="20"/>
                <w:lang w:eastAsia="ja-JP"/>
              </w:rPr>
            </w:pPr>
            <w:r>
              <w:rPr>
                <w:rFonts w:ascii="Times New Roman" w:hAnsi="Times New Roman" w:cs="Times New Roman"/>
                <w:sz w:val="20"/>
                <w:lang w:eastAsia="ja-JP"/>
              </w:rPr>
              <w:t xml:space="preserve">Relating to this, </w:t>
            </w:r>
            <w:r w:rsidRPr="0026652D">
              <w:rPr>
                <w:rFonts w:ascii="Times New Roman" w:hAnsi="Times New Roman" w:cs="Times New Roman"/>
                <w:sz w:val="20"/>
                <w:lang w:eastAsia="ja-JP"/>
              </w:rPr>
              <w:t xml:space="preserve">RAN2 </w:t>
            </w:r>
            <w:r>
              <w:rPr>
                <w:rFonts w:ascii="Times New Roman" w:hAnsi="Times New Roman" w:cs="Times New Roman"/>
                <w:sz w:val="20"/>
                <w:lang w:eastAsia="ja-JP"/>
              </w:rPr>
              <w:t xml:space="preserve">may </w:t>
            </w:r>
            <w:r w:rsidRPr="0026652D">
              <w:rPr>
                <w:rFonts w:ascii="Times New Roman" w:hAnsi="Times New Roman" w:cs="Times New Roman"/>
                <w:sz w:val="20"/>
                <w:lang w:eastAsia="ja-JP"/>
              </w:rPr>
              <w:t>need to discuss based on the following agreement:</w:t>
            </w:r>
          </w:p>
          <w:p w14:paraId="135B96BB"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 xml:space="preserve">[RAN2#123bis] down-select next meeting from the following options for the stop condition: </w:t>
            </w:r>
          </w:p>
          <w:p w14:paraId="3BB25070"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Option 1: PC5 connection is established (i.e., PC5-S unicast link establishment procedure is complete).</w:t>
            </w:r>
          </w:p>
          <w:p w14:paraId="4FF9774A" w14:textId="42C49D9F" w:rsidR="00460862" w:rsidRPr="00A644F2" w:rsidRDefault="00460862" w:rsidP="00460862">
            <w:pPr>
              <w:rPr>
                <w:rFonts w:ascii="Calibri" w:hAnsi="Calibri" w:cs="Calibri"/>
                <w:sz w:val="20"/>
                <w:szCs w:val="21"/>
              </w:rPr>
            </w:pPr>
            <w:r w:rsidRPr="00377633">
              <w:rPr>
                <w:rFonts w:ascii="Times New Roman" w:hAnsi="Times New Roman" w:cs="Times New Roman"/>
                <w:sz w:val="20"/>
                <w:lang w:eastAsia="ja-JP"/>
              </w:rPr>
              <w:t xml:space="preserve">Option 2: upon reception of </w:t>
            </w:r>
            <w:proofErr w:type="spellStart"/>
            <w:r w:rsidRPr="00377633">
              <w:rPr>
                <w:rFonts w:ascii="Times New Roman" w:hAnsi="Times New Roman" w:cs="Times New Roman"/>
                <w:sz w:val="20"/>
                <w:lang w:eastAsia="ja-JP"/>
              </w:rPr>
              <w:t>RRCReconfigurationCompleteSidelink</w:t>
            </w:r>
            <w:proofErr w:type="spellEnd"/>
            <w:r w:rsidRPr="00377633">
              <w:rPr>
                <w:rFonts w:ascii="Times New Roman" w:hAnsi="Times New Roman" w:cs="Times New Roman"/>
                <w:sz w:val="20"/>
                <w:lang w:eastAsia="ja-JP"/>
              </w:rPr>
              <w:t>.</w:t>
            </w:r>
            <w:bookmarkEnd w:id="0"/>
          </w:p>
        </w:tc>
      </w:tr>
      <w:tr w:rsidR="00460862" w:rsidRPr="00A644F2" w14:paraId="006B544F" w14:textId="77777777" w:rsidTr="00460862">
        <w:tc>
          <w:tcPr>
            <w:tcW w:w="994" w:type="dxa"/>
          </w:tcPr>
          <w:p w14:paraId="441CA862" w14:textId="0BDFBACD"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1A7497D0" w14:textId="210DFC61"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682</w:t>
            </w:r>
          </w:p>
        </w:tc>
        <w:tc>
          <w:tcPr>
            <w:tcW w:w="12066" w:type="dxa"/>
          </w:tcPr>
          <w:p w14:paraId="3097C7A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49D3A7F6" w14:textId="77777777" w:rsidR="00460862" w:rsidRDefault="00460862" w:rsidP="00460862">
            <w:pPr>
              <w:rPr>
                <w:rFonts w:ascii="Times New Roman" w:hAnsi="Times New Roman" w:cs="Times New Roman"/>
                <w:sz w:val="20"/>
                <w:szCs w:val="20"/>
              </w:rPr>
            </w:pPr>
            <w:bookmarkStart w:id="1" w:name="_Hlk157515180"/>
            <w:r>
              <w:rPr>
                <w:rFonts w:ascii="Times New Roman" w:hAnsi="Times New Roman" w:cs="Times New Roman"/>
                <w:sz w:val="20"/>
                <w:szCs w:val="20"/>
              </w:rPr>
              <w:t xml:space="preserve">[Sharp] We agree with Huawei. And further change to support update QoS is needed as follows: </w:t>
            </w:r>
          </w:p>
          <w:p w14:paraId="57DF7516" w14:textId="77777777" w:rsidR="00460862" w:rsidRDefault="00460862" w:rsidP="00460862">
            <w:pPr>
              <w:rPr>
                <w:rFonts w:ascii="Times New Roman" w:hAnsi="Times New Roman" w:cs="Times New Roman"/>
                <w:sz w:val="20"/>
                <w:szCs w:val="20"/>
              </w:rPr>
            </w:pPr>
            <w:r w:rsidRPr="00C839EB">
              <w:rPr>
                <w:rFonts w:ascii="Times New Roman" w:eastAsia="Yu Mincho" w:hAnsi="Times New Roman" w:cs="Times New Roman"/>
                <w:sz w:val="20"/>
                <w:szCs w:val="20"/>
                <w:lang w:eastAsia="ja-JP"/>
              </w:rPr>
              <w:t>5.8.9.11.3</w:t>
            </w:r>
            <w:r w:rsidRPr="00C839EB">
              <w:rPr>
                <w:rFonts w:ascii="Times New Roman" w:eastAsia="Yu Mincho" w:hAnsi="Times New Roman" w:cs="Times New Roman"/>
                <w:sz w:val="20"/>
                <w:szCs w:val="20"/>
                <w:lang w:eastAsia="ja-JP"/>
              </w:rPr>
              <w:tab/>
              <w:t xml:space="preserve">Actions related to </w:t>
            </w:r>
            <w:r w:rsidRPr="00C839EB">
              <w:rPr>
                <w:rFonts w:ascii="Times New Roman" w:eastAsia="Yu Mincho" w:hAnsi="Times New Roman" w:cs="Times New Roman"/>
                <w:color w:val="FF0000"/>
                <w:sz w:val="20"/>
                <w:szCs w:val="20"/>
                <w:lang w:eastAsia="ja-JP"/>
              </w:rPr>
              <w:t>transmission</w:t>
            </w:r>
            <w:r w:rsidRPr="00C839EB">
              <w:rPr>
                <w:rFonts w:ascii="Times New Roman" w:eastAsia="Yu Mincho" w:hAnsi="Times New Roman" w:cs="Times New Roman"/>
                <w:sz w:val="20"/>
                <w:szCs w:val="20"/>
                <w:lang w:eastAsia="ja-JP"/>
              </w:rPr>
              <w:t xml:space="preserve"> of the </w:t>
            </w:r>
            <w:proofErr w:type="spellStart"/>
            <w:r w:rsidRPr="00C839EB">
              <w:rPr>
                <w:rFonts w:ascii="Times New Roman" w:eastAsia="Yu Mincho" w:hAnsi="Times New Roman" w:cs="Times New Roman"/>
                <w:color w:val="FF0000"/>
                <w:sz w:val="20"/>
                <w:szCs w:val="20"/>
                <w:lang w:eastAsia="ja-JP"/>
              </w:rPr>
              <w:t>UEInformationResponseSidelink</w:t>
            </w:r>
            <w:proofErr w:type="spellEnd"/>
            <w:r w:rsidRPr="00C839EB">
              <w:rPr>
                <w:rFonts w:ascii="Times New Roman" w:eastAsia="Yu Mincho" w:hAnsi="Times New Roman" w:cs="Times New Roman"/>
                <w:sz w:val="20"/>
                <w:szCs w:val="20"/>
                <w:lang w:eastAsia="ja-JP"/>
              </w:rPr>
              <w:t xml:space="preserve"> by the UE</w:t>
            </w:r>
            <w:r w:rsidRPr="00084EAC">
              <w:rPr>
                <w:rFonts w:ascii="Times New Roman" w:hAnsi="Times New Roman" w:cs="Times New Roman"/>
                <w:sz w:val="20"/>
                <w:szCs w:val="20"/>
              </w:rPr>
              <w:t xml:space="preserve"> </w:t>
            </w:r>
          </w:p>
          <w:p w14:paraId="05F0C2BC" w14:textId="329BBC56" w:rsidR="00460862" w:rsidRPr="00A644F2" w:rsidRDefault="00460862" w:rsidP="00460862">
            <w:pPr>
              <w:rPr>
                <w:rFonts w:ascii="Calibri" w:hAnsi="Calibri" w:cs="Calibri"/>
                <w:sz w:val="20"/>
                <w:szCs w:val="21"/>
              </w:rPr>
            </w:pPr>
            <w:r w:rsidRPr="00084EAC">
              <w:rPr>
                <w:rFonts w:ascii="Times New Roman" w:hAnsi="Times New Roman" w:cs="Times New Roman"/>
                <w:sz w:val="20"/>
                <w:szCs w:val="20"/>
              </w:rPr>
              <w:t xml:space="preserve">The UE shall perform the following actions upon reception of the </w:t>
            </w:r>
            <w:proofErr w:type="spellStart"/>
            <w:r w:rsidRPr="00084EAC">
              <w:rPr>
                <w:rFonts w:ascii="Times New Roman" w:hAnsi="Times New Roman" w:cs="Times New Roman"/>
                <w:i/>
                <w:sz w:val="20"/>
                <w:szCs w:val="20"/>
              </w:rPr>
              <w:t>UEInformationRequestSidelink</w:t>
            </w:r>
            <w:proofErr w:type="spellEnd"/>
            <w:r w:rsidRPr="00084EAC">
              <w:rPr>
                <w:rFonts w:ascii="Times New Roman" w:hAnsi="Times New Roman" w:cs="Times New Roman"/>
                <w:sz w:val="20"/>
                <w:szCs w:val="20"/>
              </w:rPr>
              <w:t xml:space="preserve"> </w:t>
            </w:r>
            <w:r w:rsidRPr="00084EAC">
              <w:rPr>
                <w:rFonts w:ascii="Times New Roman" w:hAnsi="Times New Roman" w:cs="Times New Roman"/>
                <w:color w:val="FF0000"/>
                <w:sz w:val="20"/>
                <w:szCs w:val="20"/>
              </w:rPr>
              <w:t xml:space="preserve">or upon change in any of the information in the </w:t>
            </w:r>
            <w:proofErr w:type="spellStart"/>
            <w:r w:rsidRPr="00084EAC">
              <w:rPr>
                <w:rFonts w:ascii="Times New Roman" w:hAnsi="Times New Roman" w:cs="Times New Roman"/>
                <w:color w:val="FF0000"/>
                <w:sz w:val="20"/>
                <w:szCs w:val="20"/>
              </w:rPr>
              <w:lastRenderedPageBreak/>
              <w:t>UEInformationResponseSidelink</w:t>
            </w:r>
            <w:proofErr w:type="spellEnd"/>
            <w:r w:rsidRPr="00084EAC">
              <w:rPr>
                <w:rFonts w:ascii="Times New Roman" w:hAnsi="Times New Roman" w:cs="Times New Roman"/>
                <w:sz w:val="20"/>
                <w:szCs w:val="20"/>
              </w:rPr>
              <w:t>:</w:t>
            </w:r>
            <w:bookmarkEnd w:id="1"/>
          </w:p>
        </w:tc>
      </w:tr>
      <w:tr w:rsidR="00460862" w:rsidRPr="00A644F2" w14:paraId="72B31598" w14:textId="77777777" w:rsidTr="00460862">
        <w:tc>
          <w:tcPr>
            <w:tcW w:w="994" w:type="dxa"/>
          </w:tcPr>
          <w:p w14:paraId="308DFC0B" w14:textId="10E2A9A9" w:rsidR="00460862" w:rsidRPr="00A644F2" w:rsidRDefault="002E1FEE" w:rsidP="00460862">
            <w:pPr>
              <w:rPr>
                <w:rFonts w:ascii="Calibri" w:hAnsi="Calibri" w:cs="Calibri"/>
                <w:sz w:val="20"/>
                <w:szCs w:val="21"/>
              </w:rPr>
            </w:pPr>
            <w:r>
              <w:rPr>
                <w:rFonts w:ascii="Calibri" w:hAnsi="Calibri" w:cs="Calibri" w:hint="eastAsia"/>
                <w:sz w:val="20"/>
                <w:szCs w:val="21"/>
              </w:rPr>
              <w:lastRenderedPageBreak/>
              <w:t>L</w:t>
            </w:r>
            <w:r>
              <w:rPr>
                <w:rFonts w:ascii="Calibri" w:hAnsi="Calibri" w:cs="Calibri"/>
                <w:sz w:val="20"/>
                <w:szCs w:val="21"/>
              </w:rPr>
              <w:t>enovo</w:t>
            </w:r>
          </w:p>
        </w:tc>
        <w:tc>
          <w:tcPr>
            <w:tcW w:w="888" w:type="dxa"/>
          </w:tcPr>
          <w:p w14:paraId="520B0551" w14:textId="703DC885" w:rsidR="00460862" w:rsidRPr="00A644F2" w:rsidRDefault="002E1FEE" w:rsidP="00460862">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108</w:t>
            </w:r>
          </w:p>
        </w:tc>
        <w:tc>
          <w:tcPr>
            <w:tcW w:w="12066" w:type="dxa"/>
          </w:tcPr>
          <w:p w14:paraId="72F63A56" w14:textId="1D71E6C1" w:rsidR="00631B6F" w:rsidRDefault="001010F5" w:rsidP="00460862">
            <w:pPr>
              <w:rPr>
                <w:rFonts w:ascii="Calibri" w:hAnsi="Calibri" w:cs="Calibri"/>
                <w:sz w:val="20"/>
                <w:szCs w:val="21"/>
              </w:rPr>
            </w:pPr>
            <w:r w:rsidRPr="001010F5">
              <w:rPr>
                <w:rFonts w:ascii="Calibri" w:hAnsi="Calibri" w:cs="Calibri"/>
                <w:sz w:val="20"/>
                <w:szCs w:val="21"/>
              </w:rPr>
              <w:t xml:space="preserve">Rapp: B108, X028 seem to discuss the same thing, i.e. whether unsolicited SIB1 forwarding would impact L2 U2N remote UE configured with MP. The </w:t>
            </w:r>
            <w:proofErr w:type="spellStart"/>
            <w:r w:rsidRPr="001010F5">
              <w:rPr>
                <w:rFonts w:ascii="Calibri" w:hAnsi="Calibri" w:cs="Calibri"/>
                <w:sz w:val="20"/>
                <w:szCs w:val="21"/>
              </w:rPr>
              <w:t>rapp</w:t>
            </w:r>
            <w:proofErr w:type="spellEnd"/>
            <w:r w:rsidRPr="001010F5">
              <w:rPr>
                <w:rFonts w:ascii="Calibri" w:hAnsi="Calibri" w:cs="Calibri"/>
                <w:sz w:val="20"/>
                <w:szCs w:val="21"/>
              </w:rPr>
              <w:t xml:space="preserve"> understands in Rel-17, only idle/inactive UE rely on relay's SIB1 forwarding, so it would be straightforward that MP remote UE will not process this unsolicited SIB1 forwarding. it is not </w:t>
            </w:r>
            <w:r w:rsidR="00766E54" w:rsidRPr="001010F5">
              <w:rPr>
                <w:rFonts w:ascii="Calibri" w:hAnsi="Calibri" w:cs="Calibri"/>
                <w:sz w:val="20"/>
                <w:szCs w:val="21"/>
              </w:rPr>
              <w:t>preferred</w:t>
            </w:r>
            <w:r w:rsidRPr="001010F5">
              <w:rPr>
                <w:rFonts w:ascii="Calibri" w:hAnsi="Calibri" w:cs="Calibri"/>
                <w:sz w:val="20"/>
                <w:szCs w:val="21"/>
              </w:rPr>
              <w:t xml:space="preserve"> to change relay UE's </w:t>
            </w:r>
            <w:r w:rsidR="00766E54" w:rsidRPr="001010F5">
              <w:rPr>
                <w:rFonts w:ascii="Calibri" w:hAnsi="Calibri" w:cs="Calibri"/>
                <w:sz w:val="20"/>
                <w:szCs w:val="21"/>
              </w:rPr>
              <w:t>behavior</w:t>
            </w:r>
            <w:r w:rsidRPr="001010F5">
              <w:rPr>
                <w:rFonts w:ascii="Calibri" w:hAnsi="Calibri" w:cs="Calibri"/>
                <w:sz w:val="20"/>
                <w:szCs w:val="21"/>
              </w:rPr>
              <w:t>, since there is no need to let relay UE differentiate Rel-17 remote UE and Rel-18 MP remote UE.</w:t>
            </w:r>
          </w:p>
          <w:p w14:paraId="0BD7D92C" w14:textId="5F7C99B3" w:rsidR="00460862" w:rsidRPr="00631B6F" w:rsidRDefault="00631B6F" w:rsidP="00460862">
            <w:pPr>
              <w:rPr>
                <w:rFonts w:ascii="Calibri" w:hAnsi="Calibri" w:cs="Calibri"/>
                <w:b/>
                <w:bCs/>
                <w:sz w:val="20"/>
                <w:szCs w:val="21"/>
              </w:rPr>
            </w:pPr>
            <w:r w:rsidRPr="00631B6F">
              <w:rPr>
                <w:rFonts w:ascii="Calibri" w:hAnsi="Calibri" w:cs="Calibri"/>
                <w:b/>
                <w:bCs/>
                <w:sz w:val="20"/>
                <w:szCs w:val="21"/>
              </w:rPr>
              <w:t>Lenovo</w:t>
            </w:r>
            <w:r>
              <w:rPr>
                <w:rFonts w:ascii="Calibri" w:hAnsi="Calibri" w:cs="Calibri"/>
                <w:b/>
                <w:bCs/>
                <w:sz w:val="20"/>
                <w:szCs w:val="21"/>
              </w:rPr>
              <w:t>(Lianhai)</w:t>
            </w:r>
            <w:r w:rsidRPr="00631B6F">
              <w:rPr>
                <w:rFonts w:ascii="Calibri" w:hAnsi="Calibri" w:cs="Calibri"/>
                <w:b/>
                <w:bCs/>
                <w:sz w:val="20"/>
                <w:szCs w:val="21"/>
              </w:rPr>
              <w:t>:</w:t>
            </w:r>
            <w:r>
              <w:rPr>
                <w:rFonts w:ascii="Calibri" w:hAnsi="Calibri" w:cs="Calibri"/>
                <w:b/>
                <w:bCs/>
                <w:sz w:val="20"/>
                <w:szCs w:val="21"/>
              </w:rPr>
              <w:t xml:space="preserve"> </w:t>
            </w:r>
            <w:r w:rsidR="006162A1" w:rsidRPr="00096871">
              <w:rPr>
                <w:rFonts w:ascii="Calibri" w:hAnsi="Calibri" w:cs="Calibri"/>
                <w:sz w:val="20"/>
                <w:szCs w:val="21"/>
              </w:rPr>
              <w:t xml:space="preserve">We are fine that </w:t>
            </w:r>
            <w:r w:rsidR="006162A1" w:rsidRPr="001010F5">
              <w:rPr>
                <w:rFonts w:ascii="Calibri" w:hAnsi="Calibri" w:cs="Calibri"/>
                <w:sz w:val="20"/>
                <w:szCs w:val="21"/>
              </w:rPr>
              <w:t>MP remote UE will not process this unsolicited SIB1 forwarding</w:t>
            </w:r>
            <w:r w:rsidR="005F43C1">
              <w:rPr>
                <w:rFonts w:ascii="Calibri" w:hAnsi="Calibri" w:cs="Calibri"/>
                <w:sz w:val="20"/>
                <w:szCs w:val="21"/>
              </w:rPr>
              <w:t xml:space="preserve"> since it will not impact </w:t>
            </w:r>
            <w:r w:rsidR="006162A1" w:rsidRPr="001010F5">
              <w:rPr>
                <w:rFonts w:ascii="Calibri" w:hAnsi="Calibri" w:cs="Calibri"/>
                <w:sz w:val="20"/>
                <w:szCs w:val="21"/>
              </w:rPr>
              <w:t xml:space="preserve">relay UE's </w:t>
            </w:r>
            <w:proofErr w:type="spellStart"/>
            <w:r w:rsidR="006162A1" w:rsidRPr="001010F5">
              <w:rPr>
                <w:rFonts w:ascii="Calibri" w:hAnsi="Calibri" w:cs="Calibri"/>
                <w:sz w:val="20"/>
                <w:szCs w:val="21"/>
              </w:rPr>
              <w:t>bebahaviour</w:t>
            </w:r>
            <w:proofErr w:type="spellEnd"/>
            <w:r w:rsidR="005F43C1">
              <w:rPr>
                <w:rFonts w:ascii="Calibri" w:hAnsi="Calibri" w:cs="Calibri"/>
                <w:sz w:val="20"/>
                <w:szCs w:val="21"/>
              </w:rPr>
              <w:t xml:space="preserve">. But our understanding is that </w:t>
            </w:r>
            <w:r w:rsidR="00A34BBF">
              <w:rPr>
                <w:rFonts w:ascii="Calibri" w:hAnsi="Calibri" w:cs="Calibri"/>
                <w:sz w:val="20"/>
                <w:szCs w:val="21"/>
              </w:rPr>
              <w:t xml:space="preserve">we need to capture ‘MP remote UE will not process this </w:t>
            </w:r>
            <w:r w:rsidR="00A34BBF" w:rsidRPr="001010F5">
              <w:rPr>
                <w:rFonts w:ascii="Calibri" w:hAnsi="Calibri" w:cs="Calibri"/>
                <w:sz w:val="20"/>
                <w:szCs w:val="21"/>
              </w:rPr>
              <w:t>unsolicited SIB1 forwarding</w:t>
            </w:r>
            <w:r w:rsidR="00A34BBF">
              <w:rPr>
                <w:rFonts w:ascii="Calibri" w:hAnsi="Calibri" w:cs="Calibri"/>
                <w:sz w:val="20"/>
                <w:szCs w:val="21"/>
              </w:rPr>
              <w:t>’ in the specification.</w:t>
            </w:r>
          </w:p>
        </w:tc>
      </w:tr>
      <w:tr w:rsidR="00460862" w:rsidRPr="00A644F2" w14:paraId="5D8DB66B" w14:textId="77777777" w:rsidTr="00460862">
        <w:tc>
          <w:tcPr>
            <w:tcW w:w="994" w:type="dxa"/>
          </w:tcPr>
          <w:p w14:paraId="5B50534A" w14:textId="77777777" w:rsidR="00460862" w:rsidRPr="00A644F2" w:rsidRDefault="00460862" w:rsidP="00460862">
            <w:pPr>
              <w:rPr>
                <w:rFonts w:ascii="Calibri" w:hAnsi="Calibri" w:cs="Calibri"/>
                <w:sz w:val="20"/>
                <w:szCs w:val="21"/>
              </w:rPr>
            </w:pPr>
          </w:p>
        </w:tc>
        <w:tc>
          <w:tcPr>
            <w:tcW w:w="888" w:type="dxa"/>
          </w:tcPr>
          <w:p w14:paraId="33982D74" w14:textId="77777777" w:rsidR="00460862" w:rsidRPr="00A644F2" w:rsidRDefault="00460862" w:rsidP="00460862">
            <w:pPr>
              <w:rPr>
                <w:rFonts w:ascii="Calibri" w:hAnsi="Calibri" w:cs="Calibri"/>
                <w:sz w:val="20"/>
                <w:szCs w:val="21"/>
              </w:rPr>
            </w:pPr>
          </w:p>
        </w:tc>
        <w:tc>
          <w:tcPr>
            <w:tcW w:w="12066" w:type="dxa"/>
          </w:tcPr>
          <w:p w14:paraId="7014805F" w14:textId="77777777" w:rsidR="00460862" w:rsidRPr="00A644F2" w:rsidRDefault="00460862" w:rsidP="00460862">
            <w:pPr>
              <w:rPr>
                <w:rFonts w:ascii="Calibri" w:hAnsi="Calibri" w:cs="Calibri"/>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371A" w14:textId="77777777" w:rsidR="009038B0" w:rsidRDefault="009038B0" w:rsidP="0079763E">
      <w:r>
        <w:separator/>
      </w:r>
    </w:p>
  </w:endnote>
  <w:endnote w:type="continuationSeparator" w:id="0">
    <w:p w14:paraId="2EEDAF4B" w14:textId="77777777" w:rsidR="009038B0" w:rsidRDefault="009038B0" w:rsidP="0079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5EA5" w14:textId="77777777" w:rsidR="009038B0" w:rsidRDefault="009038B0" w:rsidP="0079763E">
      <w:r>
        <w:separator/>
      </w:r>
    </w:p>
  </w:footnote>
  <w:footnote w:type="continuationSeparator" w:id="0">
    <w:p w14:paraId="56260BEE" w14:textId="77777777" w:rsidR="009038B0" w:rsidRDefault="009038B0" w:rsidP="0079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86F6D"/>
    <w:rsid w:val="00096871"/>
    <w:rsid w:val="001010F5"/>
    <w:rsid w:val="001609FC"/>
    <w:rsid w:val="001A261E"/>
    <w:rsid w:val="00230DC6"/>
    <w:rsid w:val="002E1FEE"/>
    <w:rsid w:val="00460862"/>
    <w:rsid w:val="00476BF7"/>
    <w:rsid w:val="005D5C46"/>
    <w:rsid w:val="005F43C1"/>
    <w:rsid w:val="006162A1"/>
    <w:rsid w:val="00631B6F"/>
    <w:rsid w:val="00766E54"/>
    <w:rsid w:val="0079763E"/>
    <w:rsid w:val="009038B0"/>
    <w:rsid w:val="009B50FD"/>
    <w:rsid w:val="00A118A9"/>
    <w:rsid w:val="00A24F25"/>
    <w:rsid w:val="00A34BBF"/>
    <w:rsid w:val="00A644F2"/>
    <w:rsid w:val="00AF4D6F"/>
    <w:rsid w:val="00BF04C6"/>
    <w:rsid w:val="00BF6E88"/>
    <w:rsid w:val="00C90393"/>
    <w:rsid w:val="00CE0EC9"/>
    <w:rsid w:val="00D14512"/>
    <w:rsid w:val="00D754B6"/>
    <w:rsid w:val="00D84F4C"/>
    <w:rsid w:val="00E6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63E"/>
    <w:pPr>
      <w:tabs>
        <w:tab w:val="center" w:pos="4320"/>
        <w:tab w:val="right" w:pos="8640"/>
      </w:tabs>
    </w:pPr>
  </w:style>
  <w:style w:type="character" w:customStyle="1" w:styleId="a5">
    <w:name w:val="页眉 字符"/>
    <w:basedOn w:val="a0"/>
    <w:link w:val="a4"/>
    <w:uiPriority w:val="99"/>
    <w:rsid w:val="0079763E"/>
  </w:style>
  <w:style w:type="paragraph" w:styleId="a6">
    <w:name w:val="footer"/>
    <w:basedOn w:val="a"/>
    <w:link w:val="a7"/>
    <w:uiPriority w:val="99"/>
    <w:unhideWhenUsed/>
    <w:rsid w:val="0079763E"/>
    <w:pPr>
      <w:tabs>
        <w:tab w:val="center" w:pos="4320"/>
        <w:tab w:val="right" w:pos="8640"/>
      </w:tabs>
    </w:pPr>
  </w:style>
  <w:style w:type="character" w:customStyle="1" w:styleId="a7">
    <w:name w:val="页脚 字符"/>
    <w:basedOn w:val="a0"/>
    <w:link w:val="a6"/>
    <w:uiPriority w:val="99"/>
    <w:rsid w:val="0079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5AA3.E78A4A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Lenovo_Lianhai</cp:lastModifiedBy>
  <cp:revision>11</cp:revision>
  <dcterms:created xsi:type="dcterms:W3CDTF">2024-02-09T05:53:00Z</dcterms:created>
  <dcterms:modified xsi:type="dcterms:W3CDTF">2024-02-10T06:47:00Z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(2)8/Zq/4/j+hpmtzkMplat8kLbXWOPP937HBxD1Py05u7K1UVAz8+So1i884DRcfi3zEFOCG6l
JCNT+9uhsMNkZZsJ6KYVxy+4Jz9bKoIuTYpCwKPU6M4nPsNh2jbQE/xnxkCoD3B/g7rhMqWy
2NuFI9ew/2ZuoELxKVLIcagv8IcSvfaR/SVpxlEfO2pRK6p5F4+44h8EnUP1g/dgHT9f4MWf
HsxPP06pyEBeiTJYeU</vt:lpwstr>
  </property>
  <property fmtid="{D5CDD505-2E9C-101B-9397-08002B2CF9AE}" pid="3" name="_2015_ms_pID_7253431">
    <vt:lpwstr>G8+nscMfvOIqj6hl9cU4uiImAxQCtnryfOL+stUpHKDeAfPRa+VDe8
/GirtF+hB68sq4wZI0kculRkZBM5GHiuUXaY7v7/PoAAuA/QTdPra8YifU/QEVp3WC0V9nSf
Ne3ftMoPSMjYvyp0Thvb5hwHqP0Q4dBRjHtWx8flT9bgr+0gHl93Mo+05CSf024MdxNg4YDH
0RVqWVftmZHOIgcb</vt:lpwstr>
  </property>
  <property fmtid="{D5CDD505-2E9C-101B-9397-08002B2CF9AE}" pid="4" name="MSIP_Label_83bcef13-7cac-433f-ba1d-47a323951816_Enabled">
    <vt:lpwstr>true</vt:lpwstr>
  </property>
  <property fmtid="{D5CDD505-2E9C-101B-9397-08002B2CF9AE}" pid="5" name="MSIP_Label_83bcef13-7cac-433f-ba1d-47a323951816_SetDate">
    <vt:lpwstr>2024-02-08T23:44:01Z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cc36f594-69ab-4792-ba18-04088af4feb2</vt:lpwstr>
  </property>
  <property fmtid="{D5CDD505-2E9C-101B-9397-08002B2CF9AE}" pid="10" name="MSIP_Label_83bcef13-7cac-433f-ba1d-47a323951816_ContentBits">
    <vt:lpwstr>0</vt:lpwstr>
  </property>
</Properties>
</file>