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4" w:author="Rapporteur (Ericsson)" w:date="2022-04-07T17:24:00Z">
        <w:r>
          <w:rPr>
            <w:rFonts w:eastAsia="SimSun"/>
            <w:sz w:val="24"/>
            <w:szCs w:val="24"/>
            <w:lang w:eastAsia="zh-CN"/>
          </w:rPr>
          <w:delText xml:space="preserve"> and Class 1 </w:delText>
        </w:r>
        <w:commentRangeStart w:id="5"/>
        <w:r>
          <w:rPr>
            <w:rFonts w:eastAsia="SimSun"/>
            <w:sz w:val="24"/>
            <w:szCs w:val="24"/>
            <w:lang w:eastAsia="zh-CN"/>
          </w:rPr>
          <w:delText>issues</w:delText>
        </w:r>
      </w:del>
      <w:commentRangeEnd w:id="5"/>
      <w:r>
        <w:rPr>
          <w:rStyle w:val="CommentReference"/>
          <w:rFonts w:ascii="Arial" w:eastAsia="–¾’©" w:hAnsi="Arial"/>
        </w:rPr>
        <w:commentReference w:id="5"/>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636"/>
        <w:gridCol w:w="666"/>
        <w:gridCol w:w="5186"/>
        <w:gridCol w:w="5614"/>
        <w:gridCol w:w="1899"/>
        <w:gridCol w:w="823"/>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6" w:name="_Hlk100326734"/>
            <w:r>
              <w:rPr>
                <w:rFonts w:eastAsia="SimSun"/>
              </w:rPr>
              <w:t>Incorrect reference, should be 9.2.101.</w:t>
            </w:r>
            <w:bookmarkEnd w:id="6"/>
          </w:p>
        </w:tc>
        <w:tc>
          <w:tcPr>
            <w:tcW w:w="639" w:type="pct"/>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ResumeCause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sl-NonRelayDiscovery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7"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DRX-ConfigS</w:t>
            </w:r>
            <w:bookmarkEnd w:id="9"/>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06818B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4AD96B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sidelink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r>
              <w:rPr>
                <w:rFonts w:eastAsia="SimSun"/>
                <w:strike/>
                <w:color w:val="FF0000"/>
                <w:highlight w:val="yellow"/>
              </w:rPr>
              <w:t>sidelink</w:t>
            </w:r>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8.2pt" o:ole="">
                  <v:imagedata r:id="rId22" o:title=""/>
                </v:shape>
                <o:OLEObject Type="Embed" ProgID="Word.Picture.8" ShapeID="_x0000_i1025" DrawAspect="Content" ObjectID="_1711212176" r:id="rId23"/>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r>
              <w:rPr>
                <w:rFonts w:ascii="Courier New" w:hAnsi="Courier New"/>
                <w:sz w:val="16"/>
                <w:highlight w:val="yellow"/>
                <w:lang w:eastAsia="en-GB"/>
              </w:rPr>
              <w:t>ntn-Config</w:t>
            </w:r>
            <w:bookmarkEnd w:id="10"/>
            <w:bookmarkEnd w:id="11"/>
            <w:bookmarkEnd w:id="12"/>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r>
              <w:rPr>
                <w:rFonts w:ascii="Courier New" w:hAnsi="Courier New"/>
                <w:sz w:val="16"/>
                <w:lang w:eastAsia="en-GB"/>
              </w:rPr>
              <w:t xml:space="preserve">ReferenceLocation-r17                           </w:t>
            </w:r>
            <w:bookmarkEnd w:id="13"/>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8"/>
            <w:bookmarkEnd w:id="19"/>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If configured by upper layers for MBS multicast reception, monitors Paging channel 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monitors a Paging channel for CN paging using 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r>
              <w:rPr>
                <w:rFonts w:eastAsia="SimSun"/>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r>
              <w:rPr>
                <w:rFonts w:eastAsia="SimSun"/>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r>
              <w:rPr>
                <w:i/>
                <w:iCs/>
              </w:rPr>
              <w:t>CarrierFreqListMBS</w:t>
            </w:r>
            <w:bookmarkEnd w:id="24"/>
            <w:bookmarkEnd w:id="25"/>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6"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05564E">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7"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05564E">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05564E">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05564E">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05564E">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ins w:id="32" w:author="Nokia(GWO)1" w:date="2022-04-07T19:09:00Z">
              <w:r>
                <w:rPr>
                  <w:bCs/>
                  <w:i/>
                  <w:szCs w:val="22"/>
                  <w:highlight w:val="yellow"/>
                  <w:lang w:eastAsia="en-GB"/>
                </w:rPr>
                <w:t>S</w:t>
              </w:r>
            </w:ins>
            <w:r>
              <w:rPr>
                <w:bCs/>
                <w:i/>
                <w:szCs w:val="22"/>
                <w:highlight w:val="yellow"/>
                <w:lang w:eastAsia="en-GB"/>
              </w:rPr>
              <w:t>liceInfo</w:t>
            </w:r>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05564E">
            <w:pPr>
              <w:spacing w:after="0" w:line="276" w:lineRule="auto"/>
              <w:rPr>
                <w:rFonts w:asciiTheme="minorHAnsi" w:eastAsia="SimSun" w:hAnsiTheme="minorHAnsi" w:cstheme="minorHAnsi"/>
                <w:lang w:eastAsia="zh-CN"/>
              </w:rPr>
            </w:pPr>
            <w:hyperlink r:id="rId3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05564E">
            <w:pPr>
              <w:spacing w:after="0" w:line="276" w:lineRule="auto"/>
              <w:rPr>
                <w:rFonts w:asciiTheme="minorHAnsi" w:eastAsia="SimSun" w:hAnsiTheme="minorHAnsi" w:cstheme="minorHAnsi"/>
                <w:lang w:eastAsia="zh-CN"/>
              </w:rPr>
            </w:pPr>
            <w:hyperlink r:id="rId3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05564E">
            <w:pPr>
              <w:spacing w:after="0" w:line="276" w:lineRule="auto"/>
              <w:rPr>
                <w:rFonts w:asciiTheme="minorHAnsi" w:eastAsia="SimSun" w:hAnsiTheme="minorHAnsi" w:cstheme="minorHAnsi"/>
                <w:lang w:eastAsia="zh-CN"/>
              </w:rPr>
            </w:pPr>
            <w:hyperlink r:id="rId3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05564E">
            <w:pPr>
              <w:spacing w:after="0" w:line="276" w:lineRule="auto"/>
              <w:rPr>
                <w:rFonts w:asciiTheme="minorHAnsi" w:eastAsia="SimSun" w:hAnsiTheme="minorHAnsi" w:cstheme="minorHAnsi"/>
                <w:lang w:eastAsia="zh-CN"/>
              </w:rPr>
            </w:pPr>
            <w:hyperlink r:id="rId3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Uu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tcPr>
          <w:p w14:paraId="3F844474" w14:textId="77777777" w:rsidR="00EE4F0C" w:rsidRDefault="0005564E">
            <w:pPr>
              <w:spacing w:after="0" w:line="276" w:lineRule="auto"/>
              <w:rPr>
                <w:rFonts w:asciiTheme="minorHAnsi" w:eastAsia="SimSun" w:hAnsiTheme="minorHAnsi" w:cstheme="minorHAnsi"/>
                <w:lang w:eastAsia="zh-CN"/>
              </w:rPr>
            </w:pPr>
            <w:hyperlink r:id="rId34"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5pt" o:ole="">
                  <v:imagedata r:id="rId35" o:title=""/>
                </v:shape>
                <o:OLEObject Type="Embed" ProgID="Visio.Drawing.15" ShapeID="_x0000_i1026" DrawAspect="Content" ObjectID="_1711212177" r:id="rId36"/>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r>
              <w:rPr>
                <w:rFonts w:asciiTheme="minorHAnsi" w:eastAsia="SimSun" w:hAnsiTheme="minorHAnsi" w:cstheme="minorHAnsi"/>
                <w:sz w:val="20"/>
                <w:lang w:eastAsia="sv-SE"/>
              </w:rPr>
              <w:t>periodicty</w:t>
            </w:r>
            <w:r>
              <w:rPr>
                <w:rFonts w:asciiTheme="minorHAnsi" w:eastAsia="SimSun"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lastRenderedPageBreak/>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sidelink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“an sidelink” should be “a sidelink”</w:t>
            </w:r>
          </w:p>
        </w:tc>
        <w:tc>
          <w:tcPr>
            <w:tcW w:w="639" w:type="pct"/>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CommentText"/>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CommentText"/>
            </w:pPr>
            <w:r>
              <w:t>Spurious capital, “Cell” should be “cell”</w:t>
            </w:r>
          </w:p>
        </w:tc>
        <w:tc>
          <w:tcPr>
            <w:tcW w:w="639" w:type="pct"/>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Section 7.1.1, Txxx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Section 7.1.1, Txxx stop condition</w:t>
            </w:r>
          </w:p>
          <w:p w14:paraId="799B6FC1" w14:textId="77777777" w:rsidR="00EE4F0C" w:rsidRDefault="00596B9F">
            <w:pPr>
              <w:pStyle w:val="CommentText"/>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Missing hyphens, should be harq-ModeA and harq-ModeB</w:t>
            </w:r>
          </w:p>
        </w:tc>
        <w:tc>
          <w:tcPr>
            <w:tcW w:w="639" w:type="pct"/>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r>
              <w:rPr>
                <w:rFonts w:eastAsia="DengXian"/>
                <w:lang w:eastAsia="zh-CN"/>
              </w:rPr>
              <w:t>Editoral correction.</w:t>
            </w:r>
          </w:p>
          <w:p w14:paraId="768474E8" w14:textId="77777777" w:rsidR="00EE4F0C" w:rsidRDefault="00596B9F">
            <w:pPr>
              <w:pStyle w:val="CommentText"/>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r>
              <w:t>sidelink</w:t>
            </w:r>
          </w:p>
          <w:p w14:paraId="1CB9D9E5" w14:textId="77777777" w:rsidR="00EE4F0C" w:rsidRDefault="00EE4F0C">
            <w:pPr>
              <w:pStyle w:val="CommentText"/>
            </w:pPr>
          </w:p>
        </w:tc>
        <w:tc>
          <w:tcPr>
            <w:tcW w:w="639" w:type="pct"/>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r>
              <w:t>sidelink</w:t>
            </w:r>
          </w:p>
          <w:p w14:paraId="3B71DC06" w14:textId="77777777" w:rsidR="00EE4F0C" w:rsidRDefault="00EE4F0C">
            <w:pPr>
              <w:pStyle w:val="CommentText"/>
            </w:pPr>
          </w:p>
        </w:tc>
        <w:tc>
          <w:tcPr>
            <w:tcW w:w="639" w:type="pct"/>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Move the field description of nonSDT-DataIndication under the description for the fields of UEAssistanceInformation</w:t>
            </w:r>
          </w:p>
          <w:p w14:paraId="2EA76BA6" w14:textId="77777777" w:rsidR="00EE4F0C" w:rsidRDefault="00EE4F0C">
            <w:pPr>
              <w:pStyle w:val="CommentText"/>
            </w:pPr>
          </w:p>
          <w:p w14:paraId="67D98E0D" w14:textId="77777777" w:rsidR="00EE4F0C" w:rsidRDefault="00596B9F">
            <w:pPr>
              <w:pStyle w:val="CommentText"/>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a sidelink DRX assistance information</w:t>
            </w:r>
            <w:r>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Default sidelink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05564E">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05564E">
            <w:pPr>
              <w:spacing w:after="0" w:line="276" w:lineRule="auto"/>
              <w:rPr>
                <w:rFonts w:asciiTheme="minorHAnsi" w:eastAsia="SimSun" w:hAnsiTheme="minorHAnsi" w:cstheme="minorHAnsi"/>
                <w:lang w:eastAsia="zh-CN"/>
              </w:rPr>
            </w:pPr>
            <w:hyperlink r:id="rId57"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05564E">
            <w:pPr>
              <w:spacing w:after="0" w:line="276" w:lineRule="auto"/>
              <w:rPr>
                <w:rFonts w:asciiTheme="minorHAnsi" w:eastAsia="SimSun" w:hAnsiTheme="minorHAnsi" w:cstheme="minorHAnsi"/>
                <w:lang w:eastAsia="zh-CN"/>
              </w:rPr>
            </w:pPr>
            <w:hyperlink r:id="rId58"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05564E">
            <w:pPr>
              <w:spacing w:after="0" w:line="276" w:lineRule="auto"/>
              <w:rPr>
                <w:rFonts w:asciiTheme="minorHAnsi" w:eastAsia="SimSun" w:hAnsiTheme="minorHAnsi" w:cstheme="minorHAnsi"/>
                <w:lang w:eastAsia="zh-CN"/>
              </w:rPr>
            </w:pPr>
            <w:hyperlink r:id="rId59"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05564E">
            <w:pPr>
              <w:spacing w:after="0" w:line="276" w:lineRule="auto"/>
              <w:rPr>
                <w:rFonts w:asciiTheme="minorHAnsi" w:eastAsia="SimSun" w:hAnsiTheme="minorHAnsi" w:cstheme="minorHAnsi"/>
                <w:lang w:eastAsia="zh-CN"/>
              </w:rPr>
            </w:pPr>
            <w:hyperlink r:id="rId60"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05564E">
            <w:pPr>
              <w:spacing w:after="0" w:line="276" w:lineRule="auto"/>
              <w:rPr>
                <w:rFonts w:asciiTheme="minorHAnsi" w:eastAsia="SimSun" w:hAnsiTheme="minorHAnsi" w:cstheme="minorHAnsi"/>
                <w:lang w:eastAsia="zh-CN"/>
              </w:rPr>
            </w:pPr>
            <w:hyperlink r:id="rId61"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and the UE 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CommentText"/>
            </w:pPr>
            <w:r>
              <w:t xml:space="preserve">According to ASN.1 format of </w:t>
            </w:r>
            <w:r>
              <w:rPr>
                <w:i/>
              </w:rPr>
              <w:t>MeasurementReportAppLayer</w:t>
            </w:r>
            <w:r>
              <w:t xml:space="preserve"> 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r>
              <w:rPr>
                <w:rFonts w:eastAsia="SimSun" w:hint="eastAsia"/>
                <w:bCs/>
                <w:iCs/>
                <w:szCs w:val="22"/>
                <w:highlight w:val="yellow"/>
                <w:lang w:val="en-US" w:eastAsia="zh-CN"/>
              </w:rPr>
              <w:t>BFDset</w:t>
            </w:r>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Default="00596B9F">
            <w:pPr>
              <w:pStyle w:val="B6"/>
            </w:pPr>
            <w:r>
              <w:t>6&gt;</w:t>
            </w:r>
            <w:r>
              <w:tab/>
              <w:t xml:space="preserve">set </w:t>
            </w:r>
            <w:r>
              <w:rPr>
                <w:i/>
              </w:rPr>
              <w:t>sl-SourceIdentity-RelayUE</w:t>
            </w:r>
            <w: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r>
              <w:rPr>
                <w:i/>
              </w:rPr>
              <w:t>sl-TxResourceReqListDis</w:t>
            </w:r>
            <w:r>
              <w:rPr>
                <w:rFonts w:eastAsia="SimSun" w:hint="eastAsia"/>
                <w:i/>
                <w:highlight w:val="yellow"/>
                <w:lang w:val="en-US" w:eastAsia="zh-CN"/>
              </w:rPr>
              <w:t>c</w:t>
            </w:r>
            <w:r>
              <w:rPr>
                <w:rFonts w:eastAsia="SimSun" w:hint="eastAsia"/>
                <w:iCs/>
                <w:lang w:val="en-US" w:eastAsia="zh-CN"/>
              </w:rPr>
              <w:t xml:space="preserve">, </w:t>
            </w:r>
            <w:r>
              <w:rPr>
                <w:i/>
              </w:rPr>
              <w:t>sl-</w:t>
            </w:r>
            <w:r>
              <w:rPr>
                <w:rFonts w:eastAsia="SimSun"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SimSun"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SL-RLC-ChannelID</w:t>
            </w:r>
          </w:p>
          <w:p w14:paraId="6FEE8A5D" w14:textId="77777777" w:rsidR="00EE4F0C" w:rsidRDefault="00596B9F">
            <w:pPr>
              <w:spacing w:after="0" w:line="276" w:lineRule="auto"/>
            </w:pPr>
            <w:r>
              <w:rPr>
                <w:rFonts w:eastAsia="SimSun"/>
              </w:rPr>
              <w:t xml:space="preserve">The IE </w:t>
            </w:r>
            <w:r>
              <w:rPr>
                <w:rFonts w:eastAsia="SimSun"/>
                <w:i/>
              </w:rPr>
              <w:t xml:space="preserve">SL-RLC-ChannelID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-Relay-RLC-ChannelID</w:t>
            </w:r>
            <w:r>
              <w:rPr>
                <w:rFonts w:eastAsia="SimSun"/>
                <w:i/>
                <w:lang w:val="en-US" w:eastAsia="zh-CN"/>
              </w:rPr>
              <w:t>”</w:t>
            </w:r>
          </w:p>
        </w:tc>
        <w:tc>
          <w:tcPr>
            <w:tcW w:w="639" w:type="pct"/>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i/>
              </w:rPr>
              <w:t>sl-MeasResult</w:t>
            </w:r>
            <w:r>
              <w:rPr>
                <w:rFonts w:eastAsia="SimSun" w:hint="eastAsia"/>
                <w:i/>
                <w:highlight w:val="yellow"/>
                <w:lang w:val="en-US" w:eastAsia="zh-CN"/>
              </w:rPr>
              <w:t>s</w:t>
            </w:r>
            <w:r>
              <w:rPr>
                <w:i/>
              </w:rPr>
              <w:t>CandRelay</w:t>
            </w:r>
            <w:r>
              <w:rPr>
                <w:rFonts w:eastAsia="SimSun"/>
                <w:i/>
                <w:lang w:val="en-US" w:eastAsia="zh-CN"/>
              </w:rPr>
              <w:t>”</w:t>
            </w:r>
          </w:p>
        </w:tc>
        <w:tc>
          <w:tcPr>
            <w:tcW w:w="639" w:type="pct"/>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r>
              <w:rPr>
                <w:rFonts w:eastAsia="SimSun"/>
                <w:highlight w:val="yellow"/>
              </w:rPr>
              <w:t>sidelink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6" w:name="_Hlk85563926"/>
            <w:r>
              <w:t>5.3.13.1b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Enty is supposed to be </w:t>
            </w:r>
            <w:r>
              <w:rPr>
                <w:rFonts w:asciiTheme="minorHAnsi" w:eastAsia="SimSun"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lastRenderedPageBreak/>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CA03B4">
            <w:pPr>
              <w:pStyle w:val="TAL"/>
              <w:spacing w:line="254" w:lineRule="auto"/>
              <w:rPr>
                <w:szCs w:val="22"/>
                <w:lang w:eastAsia="sv-SE"/>
              </w:rPr>
            </w:pPr>
            <w:r w:rsidRPr="001A2CBE">
              <w:rPr>
                <w:szCs w:val="22"/>
                <w:lang w:eastAsia="sv-SE"/>
              </w:rPr>
              <w:t>In 6.3.2:</w:t>
            </w:r>
          </w:p>
          <w:p w14:paraId="21AC3DC2" w14:textId="77777777" w:rsidR="00B22D4B" w:rsidRDefault="00B22D4B" w:rsidP="00CA03B4">
            <w:pPr>
              <w:pStyle w:val="TAL"/>
              <w:spacing w:line="254" w:lineRule="auto"/>
              <w:rPr>
                <w:b/>
                <w:szCs w:val="22"/>
                <w:lang w:eastAsia="sv-SE"/>
              </w:rPr>
            </w:pPr>
          </w:p>
          <w:p w14:paraId="67C9F120" w14:textId="77777777" w:rsidR="00B22D4B" w:rsidRPr="001A2CBE" w:rsidRDefault="00B22D4B" w:rsidP="00CA03B4">
            <w:pPr>
              <w:keepNext/>
              <w:keepLines/>
              <w:spacing w:before="120"/>
              <w:outlineLvl w:val="3"/>
              <w:rPr>
                <w:rFonts w:ascii="Arial" w:hAnsi="Arial"/>
                <w:sz w:val="24"/>
                <w:lang w:eastAsia="ja-JP"/>
              </w:rPr>
            </w:pPr>
            <w:bookmarkStart w:id="77" w:name="_Toc60777307"/>
            <w:bookmarkStart w:id="78"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7"/>
            <w:bookmarkEnd w:id="78"/>
          </w:p>
          <w:p w14:paraId="49343490" w14:textId="77777777" w:rsidR="00B22D4B" w:rsidRPr="001A2CBE" w:rsidRDefault="00B22D4B" w:rsidP="00CA0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CA03B4">
            <w:pPr>
              <w:pStyle w:val="TAL"/>
              <w:spacing w:line="254" w:lineRule="auto"/>
              <w:rPr>
                <w:b/>
                <w:szCs w:val="22"/>
                <w:lang w:eastAsia="sv-SE"/>
              </w:rPr>
            </w:pPr>
          </w:p>
          <w:p w14:paraId="628E9C3F" w14:textId="77777777" w:rsidR="00B22D4B" w:rsidRPr="001A2CBE" w:rsidRDefault="00B22D4B" w:rsidP="00CA03B4">
            <w:pPr>
              <w:pStyle w:val="TAL"/>
              <w:spacing w:line="254" w:lineRule="auto"/>
              <w:rPr>
                <w:b/>
                <w:szCs w:val="22"/>
                <w:lang w:eastAsia="sv-SE"/>
              </w:rPr>
            </w:pPr>
          </w:p>
          <w:p w14:paraId="140CF5AE" w14:textId="77777777" w:rsidR="00B22D4B" w:rsidRPr="00D73A60" w:rsidRDefault="00B22D4B" w:rsidP="00CA03B4">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SimSun" w:hAnsiTheme="minorHAnsi" w:cstheme="minorHAnsi"/>
                <w:lang w:val="en-US" w:eastAsia="zh-CN"/>
              </w:rPr>
            </w:pPr>
            <w:r>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SimSun"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Heading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415AB8">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415AB8">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SimSun"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SimSun"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SimSun"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SimSun"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Heading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SimSun"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08:24:00Z" w:initials="">
    <w:p w14:paraId="5892362B" w14:textId="77777777" w:rsidR="00EE4F0C" w:rsidRDefault="00596B9F">
      <w:pPr>
        <w:pStyle w:val="CommentText"/>
      </w:pPr>
      <w:r>
        <w:t>Left-over from Rel-16 version of the doc, and not applicable for Rel-17 review.</w:t>
      </w:r>
    </w:p>
  </w:comment>
  <w:comment w:id="61" w:author="Huawei, HiSilicon" w:date="2022-03-31T20:02:00Z" w:initials="HW">
    <w:p w14:paraId="17C078F3" w14:textId="77777777" w:rsidR="00EE4F0C" w:rsidRDefault="00EE4F0C">
      <w:pPr>
        <w:pStyle w:val="CommentText"/>
        <w:rPr>
          <w:rFonts w:eastAsia="DengXian"/>
          <w:b/>
        </w:rPr>
      </w:pPr>
    </w:p>
    <w:p w14:paraId="3006377D" w14:textId="77777777" w:rsidR="00EE4F0C" w:rsidRDefault="00EE4F0C">
      <w:pPr>
        <w:pStyle w:val="CommentText"/>
        <w:rPr>
          <w:rFonts w:eastAsia="DengXian"/>
          <w:b/>
        </w:rPr>
      </w:pPr>
    </w:p>
    <w:p w14:paraId="0BF81A9D" w14:textId="77777777" w:rsidR="00EE4F0C" w:rsidRDefault="00596B9F">
      <w:pPr>
        <w:pStyle w:val="CommentText"/>
      </w:pPr>
      <w:r>
        <w:t>[Reference]</w:t>
      </w:r>
      <w:r>
        <w:tab/>
        <w:t>Xi003</w:t>
      </w:r>
    </w:p>
    <w:p w14:paraId="1D855B75" w14:textId="77777777" w:rsidR="00EE4F0C" w:rsidRDefault="00596B9F">
      <w:pPr>
        <w:pStyle w:val="CommentText"/>
      </w:pPr>
      <w:r>
        <w:t>[Delegate]</w:t>
      </w:r>
      <w:r>
        <w:tab/>
        <w:t>Jagdeep</w:t>
      </w:r>
    </w:p>
    <w:p w14:paraId="4E6D3429" w14:textId="77777777" w:rsidR="00EE4F0C" w:rsidRDefault="00596B9F">
      <w:pPr>
        <w:pStyle w:val="CommentText"/>
      </w:pPr>
      <w:r>
        <w:t>[Cross WI]</w:t>
      </w:r>
      <w:r>
        <w:tab/>
        <w:t>No</w:t>
      </w:r>
    </w:p>
    <w:p w14:paraId="21514702" w14:textId="77777777" w:rsidR="00EE4F0C" w:rsidRDefault="00596B9F">
      <w:pPr>
        <w:pStyle w:val="CommentText"/>
      </w:pPr>
      <w:r>
        <w:t>[WIs]</w:t>
      </w:r>
      <w:r>
        <w:tab/>
      </w:r>
      <w:r>
        <w:rPr>
          <w:rFonts w:eastAsia="DengXian"/>
        </w:rPr>
        <w:t>NR_UE_pow_sav_enh-Core</w:t>
      </w:r>
    </w:p>
    <w:p w14:paraId="707437AD" w14:textId="77777777" w:rsidR="00EE4F0C" w:rsidRDefault="00596B9F">
      <w:pPr>
        <w:pStyle w:val="CommentText"/>
        <w:rPr>
          <w:rFonts w:eastAsia="DengXian"/>
        </w:rPr>
      </w:pPr>
      <w:r>
        <w:t>[Description]</w:t>
      </w:r>
      <w:r>
        <w:tab/>
        <w:t xml:space="preserve">1 ) </w:t>
      </w:r>
      <w:r>
        <w:rPr>
          <w:rFonts w:eastAsia="DengXian"/>
        </w:rPr>
        <w:t>Font Colour need to be changed to black.</w:t>
      </w:r>
    </w:p>
    <w:p w14:paraId="5F6A4F7F" w14:textId="77777777" w:rsidR="00EE4F0C" w:rsidRDefault="00596B9F">
      <w:pPr>
        <w:pStyle w:val="CommentText"/>
      </w:pPr>
      <w:r>
        <w:t>2 SIB-X can be changed to SIB-17</w:t>
      </w:r>
    </w:p>
    <w:p w14:paraId="7F430CEF" w14:textId="77777777" w:rsidR="00EE4F0C" w:rsidRDefault="00596B9F">
      <w:pPr>
        <w:pStyle w:val="CommentText"/>
      </w:pPr>
      <w:r>
        <w:t>[Proposed change]</w:t>
      </w:r>
      <w:r>
        <w:tab/>
        <w:t xml:space="preserve">. </w:t>
      </w:r>
    </w:p>
    <w:p w14:paraId="60ED3F93" w14:textId="77777777" w:rsidR="00EE4F0C" w:rsidRDefault="00596B9F">
      <w:pPr>
        <w:pStyle w:val="CommentText"/>
      </w:pPr>
      <w:r>
        <w:t xml:space="preserve">1) </w:t>
      </w:r>
      <w:r>
        <w:rPr>
          <w:rFonts w:eastAsia="DengXian"/>
        </w:rPr>
        <w:t>Please change the colour of the words in this sentence to black.</w:t>
      </w:r>
    </w:p>
    <w:p w14:paraId="6FED1D6F" w14:textId="77777777" w:rsidR="00EE4F0C" w:rsidRDefault="00596B9F">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EE4F0C" w:rsidRDefault="00596B9F">
      <w:pPr>
        <w:pStyle w:val="CommentText"/>
      </w:pPr>
      <w:r>
        <w:t>[Tdoc]</w:t>
      </w:r>
      <w:r>
        <w:tab/>
      </w:r>
      <w:r>
        <w:tab/>
        <w:t>No</w:t>
      </w:r>
    </w:p>
    <w:p w14:paraId="079461A7" w14:textId="77777777" w:rsidR="00EE4F0C" w:rsidRDefault="00596B9F">
      <w:pPr>
        <w:pStyle w:val="CommentText"/>
      </w:pPr>
      <w:r>
        <w:t>[Editorial]</w:t>
      </w:r>
      <w:r>
        <w:tab/>
      </w:r>
      <w:r>
        <w:tab/>
        <w:t>Yes</w:t>
      </w:r>
    </w:p>
    <w:p w14:paraId="2FCA1FB5" w14:textId="77777777" w:rsidR="00EE4F0C" w:rsidRDefault="00596B9F">
      <w:pPr>
        <w:pStyle w:val="CommentText"/>
        <w:rPr>
          <w:rFonts w:eastAsia="DengXian"/>
          <w:b/>
        </w:rPr>
      </w:pPr>
      <w:r>
        <w:t>[Level]</w:t>
      </w:r>
      <w:r>
        <w:tab/>
      </w:r>
      <w:r>
        <w:tab/>
        <w:t>1</w:t>
      </w:r>
    </w:p>
    <w:p w14:paraId="13D95391" w14:textId="77777777" w:rsidR="00EE4F0C" w:rsidRDefault="00596B9F">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5044" w14:textId="77777777" w:rsidR="00271345" w:rsidRDefault="00271345">
      <w:pPr>
        <w:spacing w:after="0"/>
      </w:pPr>
      <w:r>
        <w:separator/>
      </w:r>
    </w:p>
  </w:endnote>
  <w:endnote w:type="continuationSeparator" w:id="0">
    <w:p w14:paraId="7778584F" w14:textId="77777777" w:rsidR="00271345" w:rsidRDefault="00271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D39F" w14:textId="77777777" w:rsidR="00D45A08" w:rsidRDefault="00D45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BA1" w14:textId="77777777" w:rsidR="00EE4F0C" w:rsidRDefault="00596B9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0E4" w14:textId="77777777" w:rsidR="00D45A08" w:rsidRDefault="00D4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A69E" w14:textId="77777777" w:rsidR="00271345" w:rsidRDefault="00271345">
      <w:pPr>
        <w:spacing w:after="0"/>
      </w:pPr>
      <w:r>
        <w:separator/>
      </w:r>
    </w:p>
  </w:footnote>
  <w:footnote w:type="continuationSeparator" w:id="0">
    <w:p w14:paraId="042400DA" w14:textId="77777777" w:rsidR="00271345" w:rsidRDefault="002713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79BC" w14:textId="77777777" w:rsidR="00D45A08" w:rsidRDefault="00D4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36B" w14:textId="77777777" w:rsidR="00EE4F0C" w:rsidRDefault="00596B9F">
    <w:pPr>
      <w:pStyle w:val="Header"/>
      <w:framePr w:wrap="auto" w:vAnchor="text" w:hAnchor="margin" w:xAlign="center" w:y="1"/>
      <w:widowControl/>
    </w:pPr>
    <w:r>
      <w:fldChar w:fldCharType="begin"/>
    </w:r>
    <w:r>
      <w:instrText xml:space="preserve"> PAGE </w:instrText>
    </w:r>
    <w:r>
      <w:fldChar w:fldCharType="separate"/>
    </w:r>
    <w:r w:rsidR="0080408D">
      <w:rPr>
        <w:noProof/>
      </w:rPr>
      <w:t>146</w:t>
    </w:r>
    <w:r>
      <w:fldChar w:fldCharType="end"/>
    </w:r>
  </w:p>
  <w:p w14:paraId="780C95F4" w14:textId="77777777" w:rsidR="00EE4F0C" w:rsidRDefault="00EE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FDBD" w14:textId="77777777" w:rsidR="00D45A08" w:rsidRDefault="00D4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footer" Target="footer3.xml"/><Relationship Id="rId34" Type="http://schemas.openxmlformats.org/officeDocument/2006/relationships/hyperlink" Target="mailto:Min.w.wang@ericsson.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kimba@vivo.com"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kimba@vivo.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mailto:gyorgy.wolfner@nokia.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hyperlink" Target="mailto:gyorgy.wolfner@nokia.com" TargetMode="External"/><Relationship Id="rId36" Type="http://schemas.openxmlformats.org/officeDocument/2006/relationships/package" Target="embeddings/Microsoft_Visio_Drawing.vsdx"/><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61" Type="http://schemas.openxmlformats.org/officeDocument/2006/relationships/hyperlink" Target="mailto:c.khirallah@samsung.com"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hyperlink" Target="mailto:c.khirallah@samsun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1.emf"/><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image" Target="media/image3.emf"/><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hyperlink" Target="mailto:gyorgy.wolfner@nokia.com" TargetMode="External"/><Relationship Id="rId33" Type="http://schemas.openxmlformats.org/officeDocument/2006/relationships/hyperlink" Target="mailto:gyorgy.wolfner@nokia.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C17A38-864C-4B50-9FFB-5B488A9BD4F0}">
  <ds:schemaRefs>
    <ds:schemaRef ds:uri="http://schemas.openxmlformats.org/officeDocument/2006/bibliography"/>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146</Pages>
  <Words>34680</Words>
  <Characters>197677</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Intel (Ziyi)</cp:lastModifiedBy>
  <cp:revision>4</cp:revision>
  <cp:lastPrinted>2010-01-07T10:23:00Z</cp:lastPrinted>
  <dcterms:created xsi:type="dcterms:W3CDTF">2022-04-11T11:27:00Z</dcterms:created>
  <dcterms:modified xsi:type="dcterms:W3CDTF">2022-04-11T11:30:00Z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