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B3530" w14:textId="19194FA7" w:rsidR="008057FE" w:rsidRPr="0061125D" w:rsidRDefault="008057FE" w:rsidP="008057FE">
      <w:pPr>
        <w:pStyle w:val="a7"/>
        <w:rPr>
          <w:rFonts w:eastAsia="SimSun"/>
          <w:sz w:val="24"/>
          <w:lang w:val="en-US" w:eastAsia="zh-CN"/>
        </w:rPr>
      </w:pPr>
      <w:bookmarkStart w:id="0" w:name="OLE_LINK3"/>
      <w:r>
        <w:rPr>
          <w:sz w:val="24"/>
          <w:lang w:val="en-US"/>
        </w:rPr>
        <w:t xml:space="preserve">3GPP TSG RAN </w:t>
      </w:r>
      <w:r w:rsidR="009132F8" w:rsidRPr="009132F8">
        <w:rPr>
          <w:sz w:val="24"/>
          <w:lang w:val="en-US"/>
        </w:rPr>
        <w:t xml:space="preserve">WG1 </w:t>
      </w:r>
      <w:r w:rsidR="00F92765">
        <w:rPr>
          <w:sz w:val="24"/>
          <w:lang w:val="en-US"/>
        </w:rPr>
        <w:t xml:space="preserve">Meeting </w:t>
      </w:r>
      <w:r w:rsidR="00776C9B">
        <w:rPr>
          <w:sz w:val="24"/>
          <w:lang w:val="en-US"/>
        </w:rPr>
        <w:t>#90</w:t>
      </w:r>
      <w:r w:rsidR="00776C9B">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sz w:val="24"/>
          <w:lang w:val="en-US"/>
        </w:rPr>
        <w:t>R1-17</w:t>
      </w:r>
      <w:r w:rsidR="000A21BE">
        <w:rPr>
          <w:rFonts w:hint="eastAsia"/>
          <w:sz w:val="24"/>
          <w:lang w:val="en-US" w:eastAsia="ja-JP"/>
        </w:rPr>
        <w:t>13963</w:t>
      </w:r>
      <w:bookmarkStart w:id="1" w:name="_GoBack"/>
      <w:bookmarkEnd w:id="1"/>
    </w:p>
    <w:p w14:paraId="7A62EE90" w14:textId="77777777" w:rsidR="00542F0B" w:rsidRPr="00542F0B" w:rsidRDefault="00542F0B" w:rsidP="00542F0B">
      <w:pPr>
        <w:pStyle w:val="a7"/>
        <w:rPr>
          <w:sz w:val="24"/>
          <w:lang w:val="en-US"/>
        </w:rPr>
      </w:pPr>
      <w:r w:rsidRPr="00542F0B">
        <w:rPr>
          <w:sz w:val="24"/>
          <w:lang w:val="en-US"/>
        </w:rPr>
        <w:t>Prague, Czechia, 21th – 25th August 2017</w:t>
      </w:r>
    </w:p>
    <w:p w14:paraId="2E004EEA" w14:textId="77777777" w:rsidR="00A3686A" w:rsidRPr="00542F0B" w:rsidRDefault="00A3686A"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0A8B4F74"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1D25DC">
        <w:rPr>
          <w:sz w:val="24"/>
          <w:lang w:val="en-US" w:eastAsia="ja-JP"/>
        </w:rPr>
        <w:t>Scheduling/HARQ aspects for carrier aggregation</w:t>
      </w:r>
    </w:p>
    <w:bookmarkEnd w:id="2"/>
    <w:bookmarkEnd w:id="3"/>
    <w:bookmarkEnd w:id="4"/>
    <w:bookmarkEnd w:id="5"/>
    <w:p w14:paraId="02FF14B3" w14:textId="1110B81D"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776C9B">
        <w:rPr>
          <w:rFonts w:hint="eastAsia"/>
          <w:sz w:val="24"/>
          <w:lang w:val="en-US" w:eastAsia="ja-JP"/>
        </w:rPr>
        <w:t>6</w:t>
      </w:r>
      <w:r w:rsidR="006671D7">
        <w:rPr>
          <w:rFonts w:hint="eastAsia"/>
          <w:sz w:val="24"/>
          <w:lang w:val="en-US" w:eastAsia="ja-JP"/>
        </w:rPr>
        <w:t>.1.3.</w:t>
      </w:r>
      <w:r w:rsidR="001D25DC">
        <w:rPr>
          <w:sz w:val="24"/>
          <w:lang w:val="en-US" w:eastAsia="ja-JP"/>
        </w:rPr>
        <w:t>4</w:t>
      </w:r>
    </w:p>
    <w:p w14:paraId="0EC9D632" w14:textId="4D5BD778"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56E0B7BF" w14:textId="2968ED6C" w:rsidR="00EE6A6C" w:rsidRPr="00350944" w:rsidRDefault="00EE6A6C" w:rsidP="00EE6A6C">
      <w:pPr>
        <w:pStyle w:val="1"/>
        <w:numPr>
          <w:ilvl w:val="0"/>
          <w:numId w:val="6"/>
        </w:numPr>
        <w:spacing w:after="120"/>
        <w:jc w:val="both"/>
        <w:rPr>
          <w:b/>
          <w:lang w:val="en-US"/>
        </w:rPr>
      </w:pPr>
      <w:r>
        <w:rPr>
          <w:b/>
          <w:lang w:val="en-US"/>
        </w:rPr>
        <w:t>Introduction</w:t>
      </w:r>
    </w:p>
    <w:p w14:paraId="491FB5CD" w14:textId="0F625AAE" w:rsidR="00EE6A6C" w:rsidRDefault="00EE6A6C" w:rsidP="00EE6A6C">
      <w:pPr>
        <w:spacing w:afterLines="50" w:after="120"/>
        <w:jc w:val="both"/>
        <w:rPr>
          <w:rFonts w:eastAsiaTheme="minorEastAsia"/>
          <w:sz w:val="22"/>
          <w:lang w:val="en-US"/>
        </w:rPr>
      </w:pPr>
      <w:r>
        <w:rPr>
          <w:rFonts w:eastAsiaTheme="minorEastAsia" w:hint="eastAsia"/>
          <w:sz w:val="22"/>
          <w:lang w:val="en-US"/>
        </w:rPr>
        <w:t xml:space="preserve">In this contribution, </w:t>
      </w:r>
      <w:r w:rsidR="001D25DC">
        <w:rPr>
          <w:rFonts w:eastAsiaTheme="minorEastAsia"/>
          <w:sz w:val="22"/>
          <w:lang w:val="en-US"/>
        </w:rPr>
        <w:t xml:space="preserve">scheduling/HARQ for carrier aggregation </w:t>
      </w:r>
      <w:r w:rsidR="00BA5C04">
        <w:rPr>
          <w:rFonts w:eastAsiaTheme="minorEastAsia"/>
          <w:sz w:val="22"/>
          <w:lang w:val="en-US"/>
        </w:rPr>
        <w:t>is discussed. So far, following relevant agreements were achieved [1]</w:t>
      </w:r>
      <w:r w:rsidR="00E1789A">
        <w:rPr>
          <w:rFonts w:eastAsiaTheme="minorEastAsia"/>
          <w:sz w:val="22"/>
          <w:lang w:val="en-US"/>
        </w:rPr>
        <w:t>:</w:t>
      </w:r>
    </w:p>
    <w:tbl>
      <w:tblPr>
        <w:tblStyle w:val="afa"/>
        <w:tblW w:w="0" w:type="auto"/>
        <w:tblLook w:val="04A0" w:firstRow="1" w:lastRow="0" w:firstColumn="1" w:lastColumn="0" w:noHBand="0" w:noVBand="1"/>
      </w:tblPr>
      <w:tblGrid>
        <w:gridCol w:w="10170"/>
      </w:tblGrid>
      <w:tr w:rsidR="00BA5C04" w:rsidRPr="00BA5C04" w14:paraId="663DFE88" w14:textId="77777777" w:rsidTr="00BA5C04">
        <w:tc>
          <w:tcPr>
            <w:tcW w:w="10170" w:type="dxa"/>
          </w:tcPr>
          <w:p w14:paraId="5DE9E66A" w14:textId="77777777" w:rsidR="001D25DC" w:rsidRPr="00632B25" w:rsidRDefault="001D25DC" w:rsidP="001D25DC">
            <w:pPr>
              <w:spacing w:after="0"/>
              <w:rPr>
                <w:rFonts w:eastAsia="游明朝"/>
                <w:b/>
                <w:iCs/>
                <w:u w:val="single"/>
              </w:rPr>
            </w:pPr>
            <w:r w:rsidRPr="00632B25">
              <w:rPr>
                <w:rFonts w:eastAsia="游明朝" w:hint="eastAsia"/>
                <w:b/>
                <w:iCs/>
                <w:u w:val="single"/>
              </w:rPr>
              <w:t>Agreements at the email discussion after RAN1 AH#2:</w:t>
            </w:r>
          </w:p>
          <w:p w14:paraId="713950A3" w14:textId="77777777" w:rsidR="001D25DC" w:rsidRPr="00632B25" w:rsidRDefault="001D25DC" w:rsidP="001D25DC">
            <w:pPr>
              <w:spacing w:after="0"/>
              <w:ind w:left="360" w:hanging="360"/>
              <w:rPr>
                <w:iCs/>
                <w:lang w:val="en-US" w:eastAsia="zh-CN"/>
              </w:rPr>
            </w:pPr>
            <w:r w:rsidRPr="00632B25">
              <w:rPr>
                <w:rFonts w:ascii="Arial" w:hAnsi="Arial" w:cs="Arial"/>
                <w:lang w:eastAsia="zh-CN"/>
              </w:rPr>
              <w:t>•</w:t>
            </w:r>
            <w:r w:rsidRPr="00632B25">
              <w:rPr>
                <w:sz w:val="14"/>
                <w:szCs w:val="14"/>
                <w:lang w:eastAsia="zh-CN"/>
              </w:rPr>
              <w:t xml:space="preserve">      </w:t>
            </w:r>
            <w:r w:rsidRPr="00632B25">
              <w:rPr>
                <w:iCs/>
                <w:lang w:eastAsia="zh-CN"/>
              </w:rPr>
              <w:t>On the search space</w:t>
            </w:r>
          </w:p>
          <w:p w14:paraId="3ED77F24" w14:textId="77777777" w:rsidR="001D25DC" w:rsidRPr="00632B25" w:rsidRDefault="001D25DC" w:rsidP="001D25DC">
            <w:pPr>
              <w:spacing w:after="0"/>
              <w:ind w:left="1080" w:hanging="360"/>
              <w:rPr>
                <w:iCs/>
                <w:lang w:eastAsia="zh-CN"/>
              </w:rPr>
            </w:pPr>
            <w:r w:rsidRPr="00632B25">
              <w:rPr>
                <w:rFonts w:ascii="Arial" w:hAnsi="Arial" w:cs="Arial"/>
                <w:lang w:eastAsia="zh-CN"/>
              </w:rPr>
              <w:t>–</w:t>
            </w:r>
            <w:r w:rsidRPr="00632B25">
              <w:rPr>
                <w:sz w:val="14"/>
                <w:szCs w:val="14"/>
                <w:lang w:eastAsia="zh-CN"/>
              </w:rPr>
              <w:t xml:space="preserve">     </w:t>
            </w:r>
            <w:r w:rsidRPr="00632B25">
              <w:rPr>
                <w:iCs/>
                <w:lang w:eastAsia="zh-CN"/>
              </w:rPr>
              <w:t>A UE monitors PDCCH candidates in common search space(s) at least for RMSI and UE specific search space(s) on Primary Component Carrier (PCC)</w:t>
            </w:r>
          </w:p>
          <w:p w14:paraId="6C3560B7" w14:textId="77777777" w:rsidR="001D25DC" w:rsidRPr="00632B25" w:rsidRDefault="001D25DC" w:rsidP="001D25DC">
            <w:pPr>
              <w:spacing w:after="0"/>
              <w:ind w:left="1080" w:hanging="360"/>
              <w:rPr>
                <w:iCs/>
                <w:lang w:eastAsia="zh-CN"/>
              </w:rPr>
            </w:pPr>
            <w:r w:rsidRPr="00632B25">
              <w:rPr>
                <w:rFonts w:ascii="Arial" w:hAnsi="Arial" w:cs="Arial"/>
                <w:lang w:eastAsia="zh-CN"/>
              </w:rPr>
              <w:t>–</w:t>
            </w:r>
            <w:r w:rsidRPr="00632B25">
              <w:rPr>
                <w:sz w:val="14"/>
                <w:szCs w:val="14"/>
                <w:lang w:eastAsia="zh-CN"/>
              </w:rPr>
              <w:t xml:space="preserve">     </w:t>
            </w:r>
            <w:r w:rsidRPr="00632B25">
              <w:rPr>
                <w:iCs/>
                <w:lang w:eastAsia="zh-CN"/>
              </w:rPr>
              <w:t>A UE monitors PDCCH candidates at least on UE-specific search space(s) for an Secondary Component Carrier (SCC)</w:t>
            </w:r>
          </w:p>
          <w:p w14:paraId="56CC481C" w14:textId="77777777" w:rsidR="001D25DC" w:rsidRPr="00632B25" w:rsidRDefault="001D25DC" w:rsidP="001D25DC">
            <w:pPr>
              <w:spacing w:after="0"/>
              <w:ind w:left="360" w:hanging="360"/>
              <w:rPr>
                <w:iCs/>
                <w:lang w:eastAsia="zh-CN"/>
              </w:rPr>
            </w:pPr>
            <w:r w:rsidRPr="00632B25">
              <w:rPr>
                <w:rFonts w:ascii="Arial" w:hAnsi="Arial" w:cs="Arial"/>
                <w:lang w:eastAsia="zh-CN"/>
              </w:rPr>
              <w:t>•</w:t>
            </w:r>
            <w:r w:rsidRPr="00632B25">
              <w:rPr>
                <w:sz w:val="14"/>
                <w:szCs w:val="14"/>
                <w:lang w:eastAsia="zh-CN"/>
              </w:rPr>
              <w:t xml:space="preserve">      </w:t>
            </w:r>
            <w:r w:rsidRPr="00632B25">
              <w:rPr>
                <w:iCs/>
                <w:lang w:eastAsia="zh-CN"/>
              </w:rPr>
              <w:t xml:space="preserve">Support cross carrier scheduling with CIF </w:t>
            </w:r>
          </w:p>
          <w:p w14:paraId="75F74F48" w14:textId="77777777" w:rsidR="001D25DC" w:rsidRPr="00632B25" w:rsidRDefault="001D25DC" w:rsidP="001D25DC">
            <w:pPr>
              <w:spacing w:after="0"/>
              <w:ind w:left="1080" w:hanging="360"/>
              <w:rPr>
                <w:iCs/>
                <w:lang w:eastAsia="zh-CN"/>
              </w:rPr>
            </w:pPr>
            <w:r w:rsidRPr="00632B25">
              <w:rPr>
                <w:rFonts w:ascii="Arial" w:hAnsi="Arial" w:cs="Arial"/>
                <w:lang w:eastAsia="zh-CN"/>
              </w:rPr>
              <w:t>–</w:t>
            </w:r>
            <w:r w:rsidRPr="00632B25">
              <w:rPr>
                <w:sz w:val="14"/>
                <w:szCs w:val="14"/>
                <w:lang w:eastAsia="zh-CN"/>
              </w:rPr>
              <w:t xml:space="preserve">     </w:t>
            </w:r>
            <w:r w:rsidRPr="00632B25">
              <w:rPr>
                <w:iCs/>
                <w:lang w:eastAsia="zh-CN"/>
              </w:rPr>
              <w:t>NR at least support that a carrier is scheduled by one and only one carrier</w:t>
            </w:r>
          </w:p>
          <w:p w14:paraId="2BA979B0" w14:textId="77777777" w:rsidR="001D25DC" w:rsidRPr="006B5537" w:rsidRDefault="001D25DC" w:rsidP="001D25DC">
            <w:pPr>
              <w:spacing w:after="0"/>
              <w:ind w:left="1080" w:hanging="360"/>
              <w:rPr>
                <w:iCs/>
                <w:highlight w:val="yellow"/>
                <w:lang w:eastAsia="zh-CN"/>
              </w:rPr>
            </w:pPr>
            <w:r w:rsidRPr="006B5537">
              <w:rPr>
                <w:rFonts w:ascii="Arial" w:hAnsi="Arial" w:cs="Arial"/>
                <w:highlight w:val="yellow"/>
                <w:lang w:eastAsia="zh-CN"/>
              </w:rPr>
              <w:t>–</w:t>
            </w:r>
            <w:r w:rsidRPr="006B5537">
              <w:rPr>
                <w:sz w:val="14"/>
                <w:szCs w:val="14"/>
                <w:highlight w:val="yellow"/>
                <w:lang w:eastAsia="zh-CN"/>
              </w:rPr>
              <w:t xml:space="preserve">     </w:t>
            </w:r>
            <w:r w:rsidRPr="006B5537">
              <w:rPr>
                <w:iCs/>
                <w:highlight w:val="yellow"/>
                <w:lang w:eastAsia="zh-CN"/>
              </w:rPr>
              <w:t>FFS: the number of CIF bits</w:t>
            </w:r>
          </w:p>
          <w:p w14:paraId="1FAE2A95" w14:textId="77777777" w:rsidR="001D25DC" w:rsidRPr="00632B25" w:rsidRDefault="001D25DC" w:rsidP="001D25DC">
            <w:pPr>
              <w:pStyle w:val="afc"/>
              <w:spacing w:after="0"/>
              <w:ind w:left="1320" w:hanging="360"/>
              <w:jc w:val="both"/>
              <w:rPr>
                <w:iCs/>
                <w:lang w:eastAsia="zh-CN"/>
              </w:rPr>
            </w:pPr>
            <w:r w:rsidRPr="006B5537">
              <w:rPr>
                <w:rFonts w:ascii="Arial" w:hAnsi="Arial" w:cs="Arial"/>
                <w:highlight w:val="yellow"/>
                <w:lang w:eastAsia="zh-CN"/>
              </w:rPr>
              <w:t>–</w:t>
            </w:r>
            <w:r w:rsidRPr="006B5537">
              <w:rPr>
                <w:sz w:val="14"/>
                <w:szCs w:val="14"/>
                <w:highlight w:val="yellow"/>
                <w:lang w:eastAsia="zh-CN"/>
              </w:rPr>
              <w:t xml:space="preserve">     </w:t>
            </w:r>
            <w:r w:rsidRPr="006B5537">
              <w:rPr>
                <w:iCs/>
                <w:highlight w:val="yellow"/>
                <w:lang w:eastAsia="zh-CN"/>
              </w:rPr>
              <w:t>FFS: BWP aspects for cross carrier scheduling</w:t>
            </w:r>
          </w:p>
          <w:p w14:paraId="77A46134" w14:textId="77777777" w:rsidR="001D25DC" w:rsidRPr="00632B25" w:rsidRDefault="001D25DC" w:rsidP="001D25DC">
            <w:pPr>
              <w:spacing w:after="0"/>
              <w:ind w:left="360" w:hanging="360"/>
              <w:rPr>
                <w:iCs/>
                <w:lang w:eastAsia="zh-CN"/>
              </w:rPr>
            </w:pPr>
            <w:r w:rsidRPr="00632B25">
              <w:rPr>
                <w:rFonts w:ascii="Arial" w:hAnsi="Arial" w:cs="Arial"/>
                <w:lang w:eastAsia="zh-CN"/>
              </w:rPr>
              <w:t>•</w:t>
            </w:r>
            <w:r w:rsidRPr="00632B25">
              <w:rPr>
                <w:sz w:val="14"/>
                <w:szCs w:val="14"/>
                <w:lang w:eastAsia="zh-CN"/>
              </w:rPr>
              <w:t xml:space="preserve">      </w:t>
            </w:r>
            <w:r w:rsidRPr="00632B25">
              <w:rPr>
                <w:iCs/>
                <w:lang w:eastAsia="zh-CN"/>
              </w:rPr>
              <w:t>For cross-carrier scheduling,</w:t>
            </w:r>
            <w:r w:rsidRPr="00C107AB">
              <w:rPr>
                <w:lang w:eastAsia="zh-CN"/>
              </w:rPr>
              <w:t xml:space="preserve"> </w:t>
            </w:r>
            <w:r w:rsidRPr="00632B25">
              <w:rPr>
                <w:iCs/>
                <w:lang w:eastAsia="zh-CN"/>
              </w:rPr>
              <w:t>PDCCH and the scheduled PDSCH can have the same or different numerologies.</w:t>
            </w:r>
          </w:p>
          <w:p w14:paraId="7832083D" w14:textId="77777777" w:rsidR="001D25DC" w:rsidRPr="00632B25" w:rsidRDefault="001D25DC" w:rsidP="001D25DC">
            <w:pPr>
              <w:spacing w:after="0"/>
              <w:ind w:left="360" w:hanging="360"/>
              <w:rPr>
                <w:iCs/>
                <w:lang w:eastAsia="zh-CN"/>
              </w:rPr>
            </w:pPr>
            <w:r w:rsidRPr="00632B25">
              <w:rPr>
                <w:rFonts w:ascii="Arial" w:hAnsi="Arial" w:cs="Arial"/>
                <w:lang w:eastAsia="zh-CN"/>
              </w:rPr>
              <w:t>•</w:t>
            </w:r>
            <w:r w:rsidRPr="00632B25">
              <w:rPr>
                <w:sz w:val="14"/>
                <w:szCs w:val="14"/>
                <w:lang w:eastAsia="zh-CN"/>
              </w:rPr>
              <w:t xml:space="preserve">      </w:t>
            </w:r>
            <w:r w:rsidRPr="00632B25">
              <w:rPr>
                <w:iCs/>
                <w:lang w:eastAsia="zh-CN"/>
              </w:rPr>
              <w:t>For self-scheduling, PDCCH and the scheduled PDSCH have the same numerology</w:t>
            </w:r>
          </w:p>
          <w:p w14:paraId="32731235" w14:textId="77777777" w:rsidR="001D25DC" w:rsidRPr="00632B25" w:rsidRDefault="001D25DC" w:rsidP="001D25DC">
            <w:pPr>
              <w:pStyle w:val="afc"/>
              <w:spacing w:after="0"/>
              <w:ind w:left="1320" w:hanging="360"/>
              <w:rPr>
                <w:iCs/>
                <w:lang w:eastAsia="zh-CN"/>
              </w:rPr>
            </w:pPr>
            <w:r w:rsidRPr="006B5537">
              <w:rPr>
                <w:rFonts w:ascii="Arial" w:hAnsi="Arial" w:cs="Arial"/>
                <w:highlight w:val="yellow"/>
                <w:lang w:eastAsia="zh-CN"/>
              </w:rPr>
              <w:t>–</w:t>
            </w:r>
            <w:r w:rsidRPr="006B5537">
              <w:rPr>
                <w:sz w:val="14"/>
                <w:szCs w:val="14"/>
                <w:highlight w:val="yellow"/>
                <w:lang w:eastAsia="zh-CN"/>
              </w:rPr>
              <w:t xml:space="preserve">     </w:t>
            </w:r>
            <w:r w:rsidRPr="006B5537">
              <w:rPr>
                <w:iCs/>
                <w:highlight w:val="yellow"/>
                <w:lang w:eastAsia="zh-CN"/>
              </w:rPr>
              <w:t>FFS whether for self-scheduling,</w:t>
            </w:r>
            <w:r w:rsidRPr="006B5537">
              <w:rPr>
                <w:highlight w:val="yellow"/>
                <w:lang w:eastAsia="zh-CN"/>
              </w:rPr>
              <w:t xml:space="preserve"> </w:t>
            </w:r>
            <w:r w:rsidRPr="006B5537">
              <w:rPr>
                <w:iCs/>
                <w:highlight w:val="yellow"/>
                <w:lang w:eastAsia="zh-CN"/>
              </w:rPr>
              <w:t>PDCCH and the scheduled PDSCH can have different numerologies.</w:t>
            </w:r>
          </w:p>
          <w:p w14:paraId="038E5373" w14:textId="77777777" w:rsidR="001D25DC" w:rsidRPr="00632B25" w:rsidRDefault="001D25DC" w:rsidP="001D25DC">
            <w:pPr>
              <w:spacing w:after="0"/>
              <w:ind w:left="360" w:hanging="360"/>
              <w:rPr>
                <w:iCs/>
                <w:lang w:eastAsia="zh-CN"/>
              </w:rPr>
            </w:pPr>
            <w:r w:rsidRPr="00632B25">
              <w:rPr>
                <w:rFonts w:ascii="Arial" w:hAnsi="Arial" w:cs="Arial"/>
                <w:lang w:eastAsia="zh-CN"/>
              </w:rPr>
              <w:t>•</w:t>
            </w:r>
            <w:r w:rsidRPr="00632B25">
              <w:rPr>
                <w:sz w:val="14"/>
                <w:szCs w:val="14"/>
                <w:lang w:eastAsia="zh-CN"/>
              </w:rPr>
              <w:t xml:space="preserve">      </w:t>
            </w:r>
            <w:r w:rsidRPr="00632B25">
              <w:rPr>
                <w:iCs/>
                <w:lang w:eastAsia="zh-CN"/>
              </w:rPr>
              <w:t>For self and cross-carrier scheduling, PDCCH and the scheduled PUSCH can have the same or different numerologies.</w:t>
            </w:r>
          </w:p>
          <w:p w14:paraId="06240E3D" w14:textId="77777777" w:rsidR="001D25DC" w:rsidRPr="00632B25" w:rsidRDefault="001D25DC" w:rsidP="001D25DC">
            <w:pPr>
              <w:pStyle w:val="afc"/>
              <w:spacing w:after="0"/>
              <w:ind w:left="1320" w:hanging="360"/>
              <w:jc w:val="both"/>
              <w:rPr>
                <w:iCs/>
                <w:lang w:eastAsia="zh-CN"/>
              </w:rPr>
            </w:pPr>
            <w:r w:rsidRPr="00632B25">
              <w:rPr>
                <w:rFonts w:ascii="Arial" w:hAnsi="Arial" w:cs="Arial"/>
                <w:lang w:eastAsia="zh-CN"/>
              </w:rPr>
              <w:t>•</w:t>
            </w:r>
            <w:r w:rsidRPr="00632B25">
              <w:rPr>
                <w:sz w:val="14"/>
                <w:szCs w:val="14"/>
                <w:lang w:eastAsia="zh-CN"/>
              </w:rPr>
              <w:t xml:space="preserve">      </w:t>
            </w:r>
            <w:r w:rsidRPr="00632B25">
              <w:rPr>
                <w:iCs/>
                <w:lang w:eastAsia="zh-CN"/>
              </w:rPr>
              <w:t>When numerology are different between PDCCH and the scheduled transmission,</w:t>
            </w:r>
            <w:r w:rsidRPr="00C107AB">
              <w:rPr>
                <w:lang w:eastAsia="zh-CN"/>
              </w:rPr>
              <w:t xml:space="preserve"> </w:t>
            </w:r>
            <w:r w:rsidRPr="00632B25">
              <w:rPr>
                <w:iCs/>
                <w:lang w:eastAsia="zh-CN"/>
              </w:rPr>
              <w:t>the time granularity indicated in the DCI for the timing relationship between the end of PDCCH and the corresponding scheduled transmission is based on the numerology of the scheduled transmission.</w:t>
            </w:r>
          </w:p>
          <w:p w14:paraId="3042FB20" w14:textId="77777777" w:rsidR="001D25DC" w:rsidRPr="00632B25" w:rsidRDefault="001D25DC" w:rsidP="001D25DC">
            <w:pPr>
              <w:spacing w:after="0"/>
              <w:ind w:left="360" w:hanging="360"/>
              <w:rPr>
                <w:iCs/>
                <w:lang w:eastAsia="zh-CN"/>
              </w:rPr>
            </w:pPr>
            <w:r w:rsidRPr="00632B25">
              <w:rPr>
                <w:rFonts w:ascii="Arial" w:hAnsi="Arial" w:cs="Arial"/>
                <w:lang w:eastAsia="zh-CN"/>
              </w:rPr>
              <w:t>•</w:t>
            </w:r>
            <w:r w:rsidRPr="00632B25">
              <w:rPr>
                <w:sz w:val="14"/>
                <w:szCs w:val="14"/>
                <w:lang w:eastAsia="zh-CN"/>
              </w:rPr>
              <w:t xml:space="preserve">      </w:t>
            </w:r>
            <w:r w:rsidRPr="00632B25">
              <w:rPr>
                <w:iCs/>
                <w:lang w:eastAsia="zh-CN"/>
              </w:rPr>
              <w:t>For multiple timing advance groups</w:t>
            </w:r>
          </w:p>
          <w:p w14:paraId="14A8C09C" w14:textId="77777777" w:rsidR="001D25DC" w:rsidRPr="00632B25" w:rsidRDefault="001D25DC" w:rsidP="001D25DC">
            <w:pPr>
              <w:spacing w:after="0"/>
              <w:ind w:left="1080" w:hanging="360"/>
              <w:rPr>
                <w:iCs/>
                <w:lang w:eastAsia="zh-CN"/>
              </w:rPr>
            </w:pPr>
            <w:r w:rsidRPr="00632B25">
              <w:rPr>
                <w:rFonts w:ascii="Arial" w:hAnsi="Arial" w:cs="Arial"/>
                <w:lang w:eastAsia="zh-CN"/>
              </w:rPr>
              <w:t>–</w:t>
            </w:r>
            <w:r w:rsidRPr="00632B25">
              <w:rPr>
                <w:sz w:val="14"/>
                <w:szCs w:val="14"/>
                <w:lang w:eastAsia="zh-CN"/>
              </w:rPr>
              <w:t xml:space="preserve">     </w:t>
            </w:r>
            <w:r w:rsidRPr="00632B25">
              <w:rPr>
                <w:iCs/>
                <w:lang w:eastAsia="zh-CN"/>
              </w:rPr>
              <w:t>LTE timing difference requirement can be used as a starting point</w:t>
            </w:r>
          </w:p>
          <w:p w14:paraId="28F1ED2D" w14:textId="77777777" w:rsidR="001D25DC" w:rsidRPr="00632B25" w:rsidRDefault="001D25DC" w:rsidP="001D25DC">
            <w:pPr>
              <w:spacing w:after="0"/>
              <w:ind w:left="1800" w:hanging="360"/>
              <w:rPr>
                <w:iCs/>
                <w:lang w:eastAsia="zh-CN"/>
              </w:rPr>
            </w:pPr>
            <w:r w:rsidRPr="006B5537">
              <w:rPr>
                <w:rFonts w:ascii="Arial" w:hAnsi="Arial" w:cs="Arial"/>
                <w:highlight w:val="yellow"/>
                <w:lang w:eastAsia="zh-CN"/>
              </w:rPr>
              <w:t>•</w:t>
            </w:r>
            <w:r w:rsidRPr="006B5537">
              <w:rPr>
                <w:sz w:val="14"/>
                <w:szCs w:val="14"/>
                <w:highlight w:val="yellow"/>
                <w:lang w:eastAsia="zh-CN"/>
              </w:rPr>
              <w:t xml:space="preserve">      </w:t>
            </w:r>
            <w:r w:rsidRPr="006B5537">
              <w:rPr>
                <w:iCs/>
                <w:highlight w:val="yellow"/>
                <w:lang w:eastAsia="zh-CN"/>
              </w:rPr>
              <w:t>FFS factors related to this requirement.</w:t>
            </w:r>
          </w:p>
          <w:p w14:paraId="64249C48" w14:textId="77777777" w:rsidR="001D25DC" w:rsidRPr="00632B25" w:rsidRDefault="001D25DC" w:rsidP="001D25DC">
            <w:pPr>
              <w:spacing w:after="0"/>
              <w:ind w:left="1080" w:hanging="360"/>
              <w:rPr>
                <w:iCs/>
                <w:lang w:eastAsia="zh-CN"/>
              </w:rPr>
            </w:pPr>
            <w:r w:rsidRPr="00632B25">
              <w:rPr>
                <w:rFonts w:ascii="Arial" w:hAnsi="Arial" w:cs="Arial"/>
                <w:lang w:eastAsia="zh-CN"/>
              </w:rPr>
              <w:t>–</w:t>
            </w:r>
            <w:r w:rsidRPr="00632B25">
              <w:rPr>
                <w:sz w:val="14"/>
                <w:szCs w:val="14"/>
                <w:lang w:eastAsia="zh-CN"/>
              </w:rPr>
              <w:t xml:space="preserve">     </w:t>
            </w:r>
            <w:r w:rsidRPr="00632B25">
              <w:rPr>
                <w:iCs/>
                <w:lang w:eastAsia="zh-CN"/>
              </w:rPr>
              <w:t>Support PRACH transmission for timing advance acquisition on SCC</w:t>
            </w:r>
          </w:p>
          <w:p w14:paraId="6B8C5430" w14:textId="77777777" w:rsidR="001D25DC" w:rsidRPr="00632B25" w:rsidRDefault="001D25DC" w:rsidP="001D25DC">
            <w:pPr>
              <w:spacing w:after="0"/>
              <w:rPr>
                <w:rFonts w:ascii="Book Antiqua" w:hAnsi="Book Antiqua"/>
                <w:iCs/>
                <w:color w:val="003300"/>
                <w:sz w:val="22"/>
                <w:szCs w:val="22"/>
                <w:lang w:eastAsia="zh-CN"/>
              </w:rPr>
            </w:pPr>
            <w:r w:rsidRPr="00632B25">
              <w:rPr>
                <w:rFonts w:ascii="Arial" w:hAnsi="Arial" w:cs="Arial"/>
                <w:lang w:eastAsia="zh-CN"/>
              </w:rPr>
              <w:t>•</w:t>
            </w:r>
            <w:r w:rsidRPr="00632B25">
              <w:rPr>
                <w:sz w:val="14"/>
                <w:szCs w:val="14"/>
                <w:lang w:eastAsia="zh-CN"/>
              </w:rPr>
              <w:t>   </w:t>
            </w:r>
            <w:r w:rsidRPr="00632B25">
              <w:rPr>
                <w:iCs/>
                <w:lang w:eastAsia="zh-CN"/>
              </w:rPr>
              <w:t xml:space="preserve"> NR Supports 2 cell groups for PUCCH for NR DC</w:t>
            </w:r>
          </w:p>
          <w:p w14:paraId="0186B412" w14:textId="77777777" w:rsidR="001D25DC" w:rsidRPr="00632B25" w:rsidRDefault="001D25DC" w:rsidP="001D25DC">
            <w:pPr>
              <w:spacing w:after="0"/>
              <w:ind w:left="300" w:firstLine="420"/>
              <w:rPr>
                <w:iCs/>
                <w:lang w:eastAsia="zh-CN"/>
              </w:rPr>
            </w:pPr>
            <w:r w:rsidRPr="006B5537">
              <w:rPr>
                <w:rFonts w:ascii="Arial" w:hAnsi="Arial" w:cs="Arial"/>
                <w:highlight w:val="yellow"/>
                <w:lang w:eastAsia="zh-CN"/>
              </w:rPr>
              <w:t>–</w:t>
            </w:r>
            <w:r w:rsidRPr="006B5537">
              <w:rPr>
                <w:sz w:val="14"/>
                <w:szCs w:val="14"/>
                <w:highlight w:val="yellow"/>
                <w:lang w:eastAsia="zh-CN"/>
              </w:rPr>
              <w:t xml:space="preserve">     </w:t>
            </w:r>
            <w:r w:rsidRPr="006B5537">
              <w:rPr>
                <w:iCs/>
                <w:highlight w:val="yellow"/>
                <w:lang w:eastAsia="zh-CN"/>
              </w:rPr>
              <w:t>FFS: NR supports 2 cell groups for PUCCH for NR CA</w:t>
            </w:r>
          </w:p>
          <w:p w14:paraId="27B6C91E" w14:textId="77777777" w:rsidR="001D25DC" w:rsidRPr="00632B25" w:rsidRDefault="001D25DC" w:rsidP="001D25DC">
            <w:pPr>
              <w:spacing w:after="0"/>
              <w:rPr>
                <w:rFonts w:eastAsia="游明朝"/>
                <w:iCs/>
              </w:rPr>
            </w:pPr>
          </w:p>
          <w:p w14:paraId="2A4E4EAE" w14:textId="77777777" w:rsidR="001D25DC" w:rsidRPr="00632B25" w:rsidRDefault="001D25DC" w:rsidP="001D25DC">
            <w:pPr>
              <w:spacing w:after="0"/>
              <w:rPr>
                <w:rFonts w:eastAsia="游明朝"/>
                <w:b/>
                <w:iCs/>
                <w:u w:val="single"/>
              </w:rPr>
            </w:pPr>
            <w:r w:rsidRPr="00632B25">
              <w:rPr>
                <w:rFonts w:eastAsia="游明朝" w:hint="eastAsia"/>
                <w:b/>
                <w:iCs/>
                <w:u w:val="single"/>
              </w:rPr>
              <w:t>Working assumptions at the email discussion after RAN1 AH#2:</w:t>
            </w:r>
          </w:p>
          <w:p w14:paraId="192D32D5" w14:textId="77777777" w:rsidR="001D25DC" w:rsidRPr="00632B25" w:rsidRDefault="001D25DC" w:rsidP="001D25DC">
            <w:pPr>
              <w:spacing w:after="0"/>
              <w:ind w:left="360" w:hanging="360"/>
              <w:rPr>
                <w:iCs/>
                <w:lang w:val="en-US" w:eastAsia="zh-CN"/>
              </w:rPr>
            </w:pPr>
            <w:r w:rsidRPr="00632B25">
              <w:rPr>
                <w:rFonts w:ascii="Arial" w:hAnsi="Arial" w:cs="Arial"/>
                <w:lang w:eastAsia="zh-CN"/>
              </w:rPr>
              <w:t>•</w:t>
            </w:r>
            <w:r w:rsidRPr="00632B25">
              <w:rPr>
                <w:sz w:val="14"/>
                <w:szCs w:val="14"/>
                <w:lang w:eastAsia="zh-CN"/>
              </w:rPr>
              <w:t xml:space="preserve">      </w:t>
            </w:r>
            <w:r w:rsidRPr="00632B25">
              <w:rPr>
                <w:iCs/>
                <w:lang w:eastAsia="zh-CN"/>
              </w:rPr>
              <w:t>HARQ-ACK transmission related to multiple DL component carriers is supported for DL component carriers operating with the same and different numerology</w:t>
            </w:r>
          </w:p>
          <w:p w14:paraId="7603C764" w14:textId="77777777" w:rsidR="001D25DC" w:rsidRPr="00632B25" w:rsidRDefault="001D25DC" w:rsidP="001D25DC">
            <w:pPr>
              <w:spacing w:after="0"/>
              <w:ind w:left="1080" w:hanging="360"/>
              <w:rPr>
                <w:iCs/>
                <w:lang w:eastAsia="zh-CN"/>
              </w:rPr>
            </w:pPr>
            <w:r w:rsidRPr="00632B25">
              <w:rPr>
                <w:rFonts w:ascii="Arial" w:hAnsi="Arial" w:cs="Arial"/>
                <w:lang w:eastAsia="zh-CN"/>
              </w:rPr>
              <w:t>–</w:t>
            </w:r>
            <w:r w:rsidRPr="00632B25">
              <w:rPr>
                <w:sz w:val="14"/>
                <w:szCs w:val="14"/>
                <w:lang w:eastAsia="zh-CN"/>
              </w:rPr>
              <w:t>    </w:t>
            </w:r>
            <w:r w:rsidRPr="00632B25">
              <w:rPr>
                <w:iCs/>
                <w:lang w:eastAsia="zh-CN"/>
              </w:rPr>
              <w:t>The time granularity of a HARQ-ACK transmission, indicated in the DCI scheduling the PDSCH,  is based on the numerology of PUCCH transmission.</w:t>
            </w:r>
          </w:p>
          <w:p w14:paraId="6D0B5162" w14:textId="0A3993DB" w:rsidR="00BA5C04" w:rsidRPr="00BA5C04" w:rsidRDefault="00BA5C04" w:rsidP="00BA5C04">
            <w:pPr>
              <w:numPr>
                <w:ilvl w:val="1"/>
                <w:numId w:val="28"/>
              </w:numPr>
              <w:spacing w:after="0"/>
              <w:jc w:val="both"/>
              <w:rPr>
                <w:rFonts w:eastAsiaTheme="minorEastAsia"/>
                <w:iCs/>
                <w:sz w:val="22"/>
                <w:szCs w:val="22"/>
                <w:lang w:val="en-US"/>
              </w:rPr>
            </w:pPr>
          </w:p>
        </w:tc>
      </w:tr>
    </w:tbl>
    <w:p w14:paraId="3B9DC19E" w14:textId="77777777" w:rsidR="00BA5C04" w:rsidRDefault="00BA5C04" w:rsidP="00EE6A6C">
      <w:pPr>
        <w:spacing w:afterLines="50" w:after="120"/>
        <w:jc w:val="both"/>
        <w:rPr>
          <w:rFonts w:eastAsiaTheme="minorEastAsia"/>
          <w:sz w:val="22"/>
          <w:lang w:val="en-US"/>
        </w:rPr>
      </w:pPr>
    </w:p>
    <w:p w14:paraId="38110676" w14:textId="77777777" w:rsidR="00E1789A" w:rsidRDefault="00E1789A" w:rsidP="00EE6A6C">
      <w:pPr>
        <w:spacing w:afterLines="50" w:after="120"/>
        <w:jc w:val="both"/>
        <w:rPr>
          <w:rFonts w:eastAsiaTheme="minorEastAsia"/>
          <w:sz w:val="22"/>
          <w:lang w:val="en-US"/>
        </w:rPr>
      </w:pPr>
    </w:p>
    <w:p w14:paraId="2632DC21" w14:textId="656F5830" w:rsidR="000E6716" w:rsidRPr="00350944" w:rsidRDefault="008900CB" w:rsidP="00350944">
      <w:pPr>
        <w:pStyle w:val="1"/>
        <w:numPr>
          <w:ilvl w:val="0"/>
          <w:numId w:val="6"/>
        </w:numPr>
        <w:spacing w:after="120"/>
        <w:jc w:val="both"/>
        <w:rPr>
          <w:b/>
          <w:lang w:val="en-US"/>
        </w:rPr>
      </w:pPr>
      <w:r>
        <w:rPr>
          <w:b/>
          <w:lang w:val="en-US"/>
        </w:rPr>
        <w:lastRenderedPageBreak/>
        <w:t>R</w:t>
      </w:r>
      <w:r w:rsidR="006B5537">
        <w:rPr>
          <w:b/>
          <w:lang w:val="en-US"/>
        </w:rPr>
        <w:t xml:space="preserve">emaining </w:t>
      </w:r>
      <w:r w:rsidR="00360CB1">
        <w:rPr>
          <w:b/>
          <w:lang w:val="en-US"/>
        </w:rPr>
        <w:t>FFSs on scheduling for CA</w:t>
      </w:r>
    </w:p>
    <w:p w14:paraId="49540C10" w14:textId="0DB3D02F" w:rsidR="006B5537" w:rsidRDefault="006B5537" w:rsidP="00B93AEF">
      <w:pPr>
        <w:spacing w:afterLines="50" w:after="120"/>
        <w:jc w:val="both"/>
        <w:rPr>
          <w:rFonts w:eastAsiaTheme="minorEastAsia"/>
          <w:sz w:val="22"/>
          <w:lang w:val="en-US"/>
        </w:rPr>
      </w:pPr>
      <w:r>
        <w:rPr>
          <w:rFonts w:eastAsiaTheme="minorEastAsia" w:hint="eastAsia"/>
          <w:sz w:val="22"/>
          <w:lang w:val="en-US"/>
        </w:rPr>
        <w:t xml:space="preserve">On the number of CIF bits, </w:t>
      </w:r>
      <w:r>
        <w:rPr>
          <w:rFonts w:eastAsiaTheme="minorEastAsia"/>
          <w:sz w:val="22"/>
          <w:lang w:val="en-US"/>
        </w:rPr>
        <w:t xml:space="preserve">similar to Rel.13 eCA, there is no reason to </w:t>
      </w:r>
      <w:r w:rsidR="008900CB">
        <w:rPr>
          <w:rFonts w:eastAsiaTheme="minorEastAsia"/>
          <w:sz w:val="22"/>
          <w:lang w:val="en-US"/>
        </w:rPr>
        <w:t>enable</w:t>
      </w:r>
      <w:r>
        <w:rPr>
          <w:rFonts w:eastAsiaTheme="minorEastAsia"/>
          <w:sz w:val="22"/>
          <w:lang w:val="en-US"/>
        </w:rPr>
        <w:t xml:space="preserve"> huge number of </w:t>
      </w:r>
      <w:r w:rsidR="008900CB">
        <w:rPr>
          <w:rFonts w:eastAsiaTheme="minorEastAsia"/>
          <w:sz w:val="22"/>
          <w:lang w:val="en-US"/>
        </w:rPr>
        <w:t>carriers to be scheduled by one carrier</w:t>
      </w:r>
      <w:r>
        <w:rPr>
          <w:rFonts w:eastAsiaTheme="minorEastAsia"/>
          <w:sz w:val="22"/>
          <w:lang w:val="en-US"/>
        </w:rPr>
        <w:t xml:space="preserve">. </w:t>
      </w:r>
      <w:r w:rsidR="008900CB">
        <w:rPr>
          <w:rFonts w:eastAsiaTheme="minorEastAsia"/>
          <w:sz w:val="22"/>
          <w:lang w:val="en-US"/>
        </w:rPr>
        <w:t xml:space="preserve">Especially for NR, wider bandwidth compared to LTE is supported and hence, demand for multiple carrier operation for wider bandwidth scenario could be smaller than that for LTE. </w:t>
      </w:r>
      <w:r>
        <w:rPr>
          <w:rFonts w:eastAsiaTheme="minorEastAsia"/>
          <w:sz w:val="22"/>
          <w:lang w:val="en-US"/>
        </w:rPr>
        <w:t>Considering the trade-off between flexibility and signaling overhead increase, same number of bits for LTE CIF (i.e., 3 bits) would be reasonable. If a UE is configured with more than 8 carriers, more than one scheduling carriers can be used to schedule more than 8 carriers. In short, Rel.13 eCA mechanisms can directly be re-used for cross-carrier scheduling for NR CA.</w:t>
      </w:r>
    </w:p>
    <w:p w14:paraId="038E4467" w14:textId="32491CCC" w:rsidR="00D636B0" w:rsidRDefault="008900CB" w:rsidP="00D636B0">
      <w:pPr>
        <w:spacing w:afterLines="50" w:after="120"/>
        <w:jc w:val="both"/>
        <w:rPr>
          <w:rFonts w:eastAsiaTheme="minorEastAsia"/>
          <w:sz w:val="22"/>
          <w:lang w:val="en-US"/>
        </w:rPr>
      </w:pPr>
      <w:r>
        <w:rPr>
          <w:rFonts w:eastAsiaTheme="minorEastAsia"/>
          <w:sz w:val="22"/>
          <w:lang w:val="en-US"/>
        </w:rPr>
        <w:t xml:space="preserve">For NR, UE can be configured with multiple bandwidth parts (BWPs) in one carrier. </w:t>
      </w:r>
      <w:r w:rsidR="00D636B0">
        <w:rPr>
          <w:rFonts w:eastAsiaTheme="minorEastAsia"/>
          <w:sz w:val="22"/>
          <w:lang w:val="en-US"/>
        </w:rPr>
        <w:t>From scheduling/HARQ point of view, it seems almost no difference between multi-carrier operation and multi-BWP operation</w:t>
      </w:r>
      <w:r w:rsidR="007A35C8">
        <w:rPr>
          <w:rFonts w:eastAsiaTheme="minorEastAsia"/>
          <w:sz w:val="22"/>
          <w:lang w:val="en-US"/>
        </w:rPr>
        <w:t>, if there is no restriction on the number of active BWPs when the UE is configured with multiple BWPs; if the number of active BWP is limited (e.g., limited to one), the mechanisms for multi-BWP operation should take the restriction into account</w:t>
      </w:r>
      <w:r w:rsidR="00D636B0">
        <w:rPr>
          <w:rFonts w:eastAsiaTheme="minorEastAsia"/>
          <w:sz w:val="22"/>
          <w:lang w:val="en-US"/>
        </w:rPr>
        <w:t xml:space="preserve">. </w:t>
      </w:r>
      <w:r w:rsidR="007A35C8">
        <w:rPr>
          <w:rFonts w:eastAsiaTheme="minorEastAsia"/>
          <w:sz w:val="22"/>
          <w:lang w:val="en-US"/>
        </w:rPr>
        <w:t>As the starting point, RAN1 should consider designing multi-carrier operation including cross-carrier scheduling such that it can directly be applied to multi-BWP operation.</w:t>
      </w:r>
      <w:r w:rsidR="00D636B0">
        <w:rPr>
          <w:rFonts w:eastAsiaTheme="minorEastAsia"/>
          <w:sz w:val="22"/>
          <w:lang w:val="en-US"/>
        </w:rPr>
        <w:t xml:space="preserve"> </w:t>
      </w:r>
    </w:p>
    <w:p w14:paraId="1F60102A" w14:textId="5C8061FC" w:rsidR="00D636B0" w:rsidRPr="00D636B0" w:rsidRDefault="00D636B0" w:rsidP="00B93AEF">
      <w:pPr>
        <w:spacing w:afterLines="50" w:after="120"/>
        <w:jc w:val="both"/>
        <w:rPr>
          <w:rFonts w:eastAsiaTheme="minorEastAsia"/>
          <w:b/>
          <w:sz w:val="22"/>
          <w:u w:val="single"/>
          <w:lang w:val="en-US"/>
        </w:rPr>
      </w:pPr>
      <w:r w:rsidRPr="00D636B0">
        <w:rPr>
          <w:rFonts w:eastAsiaTheme="minorEastAsia"/>
          <w:b/>
          <w:sz w:val="22"/>
          <w:u w:val="single"/>
          <w:lang w:val="en-US"/>
        </w:rPr>
        <w:t>Proposal 1:</w:t>
      </w:r>
    </w:p>
    <w:p w14:paraId="443BF8A8" w14:textId="1B8BA66E" w:rsidR="00D636B0" w:rsidRPr="00D636B0" w:rsidRDefault="00D636B0" w:rsidP="00D636B0">
      <w:pPr>
        <w:pStyle w:val="afc"/>
        <w:numPr>
          <w:ilvl w:val="0"/>
          <w:numId w:val="33"/>
        </w:numPr>
        <w:spacing w:afterLines="50" w:after="120"/>
        <w:ind w:leftChars="0"/>
        <w:jc w:val="both"/>
        <w:rPr>
          <w:rFonts w:eastAsiaTheme="minorEastAsia"/>
          <w:i/>
          <w:sz w:val="22"/>
          <w:lang w:val="en-US"/>
        </w:rPr>
      </w:pPr>
      <w:r w:rsidRPr="00D636B0">
        <w:rPr>
          <w:rFonts w:eastAsiaTheme="minorEastAsia" w:hint="eastAsia"/>
          <w:i/>
          <w:sz w:val="22"/>
          <w:lang w:val="en-US"/>
        </w:rPr>
        <w:t>T</w:t>
      </w:r>
      <w:r w:rsidRPr="00D636B0">
        <w:rPr>
          <w:rFonts w:eastAsiaTheme="minorEastAsia"/>
          <w:i/>
          <w:sz w:val="22"/>
          <w:lang w:val="en-US"/>
        </w:rPr>
        <w:t>he number of CIF bits is 3.</w:t>
      </w:r>
    </w:p>
    <w:p w14:paraId="577C94D0" w14:textId="700AC18A" w:rsidR="00D636B0" w:rsidRPr="00D636B0" w:rsidRDefault="00D636B0" w:rsidP="00D636B0">
      <w:pPr>
        <w:pStyle w:val="afc"/>
        <w:numPr>
          <w:ilvl w:val="1"/>
          <w:numId w:val="33"/>
        </w:numPr>
        <w:spacing w:afterLines="50" w:after="120"/>
        <w:ind w:leftChars="0"/>
        <w:jc w:val="both"/>
        <w:rPr>
          <w:rFonts w:eastAsiaTheme="minorEastAsia"/>
          <w:i/>
          <w:sz w:val="22"/>
          <w:lang w:val="en-US"/>
        </w:rPr>
      </w:pPr>
      <w:r w:rsidRPr="00D636B0">
        <w:rPr>
          <w:rFonts w:eastAsiaTheme="minorEastAsia"/>
          <w:i/>
          <w:sz w:val="22"/>
          <w:lang w:val="en-US"/>
        </w:rPr>
        <w:t>UE is configured with the linkage between scheduling carrier and scheduled carrier.</w:t>
      </w:r>
    </w:p>
    <w:p w14:paraId="67AFB228" w14:textId="307B0C9D" w:rsidR="00D636B0" w:rsidRPr="00D636B0" w:rsidRDefault="007A35C8" w:rsidP="00D636B0">
      <w:pPr>
        <w:pStyle w:val="afc"/>
        <w:numPr>
          <w:ilvl w:val="0"/>
          <w:numId w:val="33"/>
        </w:numPr>
        <w:spacing w:afterLines="50" w:after="120"/>
        <w:ind w:leftChars="0"/>
        <w:jc w:val="both"/>
        <w:rPr>
          <w:rFonts w:eastAsiaTheme="minorEastAsia"/>
          <w:i/>
          <w:sz w:val="22"/>
          <w:lang w:val="en-US"/>
        </w:rPr>
      </w:pPr>
      <w:r>
        <w:rPr>
          <w:rFonts w:eastAsiaTheme="minorEastAsia"/>
          <w:i/>
          <w:sz w:val="22"/>
          <w:lang w:val="en-US"/>
        </w:rPr>
        <w:t>RAN1 strives for designing s</w:t>
      </w:r>
      <w:r w:rsidR="00D636B0" w:rsidRPr="00D636B0">
        <w:rPr>
          <w:rFonts w:eastAsiaTheme="minorEastAsia"/>
          <w:i/>
          <w:sz w:val="22"/>
          <w:lang w:val="en-US"/>
        </w:rPr>
        <w:t xml:space="preserve">cheduling/HARQ mechanisms for multiple-carrier operation </w:t>
      </w:r>
      <w:r>
        <w:rPr>
          <w:rFonts w:eastAsiaTheme="minorEastAsia"/>
          <w:i/>
          <w:sz w:val="22"/>
          <w:lang w:val="en-US"/>
        </w:rPr>
        <w:t>including cross-carrier scheduling such that they can be</w:t>
      </w:r>
      <w:r w:rsidR="00D636B0" w:rsidRPr="00D636B0">
        <w:rPr>
          <w:rFonts w:eastAsiaTheme="minorEastAsia"/>
          <w:i/>
          <w:sz w:val="22"/>
          <w:lang w:val="en-US"/>
        </w:rPr>
        <w:t xml:space="preserve"> re-used for multi-BWP operation</w:t>
      </w:r>
      <w:r>
        <w:rPr>
          <w:rFonts w:eastAsiaTheme="minorEastAsia"/>
          <w:i/>
          <w:sz w:val="22"/>
          <w:lang w:val="en-US"/>
        </w:rPr>
        <w:t>,</w:t>
      </w:r>
      <w:r w:rsidR="00D636B0" w:rsidRPr="00D636B0">
        <w:rPr>
          <w:rFonts w:eastAsiaTheme="minorEastAsia"/>
          <w:i/>
          <w:sz w:val="22"/>
          <w:lang w:val="en-US"/>
        </w:rPr>
        <w:t xml:space="preserve"> if multi-BWP operation is supported.</w:t>
      </w:r>
    </w:p>
    <w:p w14:paraId="3A029072" w14:textId="77777777" w:rsidR="00D636B0" w:rsidRPr="00D636B0" w:rsidRDefault="00D636B0" w:rsidP="00B93AEF">
      <w:pPr>
        <w:spacing w:afterLines="50" w:after="120"/>
        <w:jc w:val="both"/>
        <w:rPr>
          <w:rFonts w:eastAsiaTheme="minorEastAsia"/>
          <w:sz w:val="22"/>
          <w:lang w:val="en-US"/>
        </w:rPr>
      </w:pPr>
    </w:p>
    <w:p w14:paraId="6B0BBCA1" w14:textId="5F9BF7B3" w:rsidR="00360CB1" w:rsidRDefault="00360CB1" w:rsidP="00B93AEF">
      <w:pPr>
        <w:spacing w:afterLines="50" w:after="120"/>
        <w:jc w:val="both"/>
        <w:rPr>
          <w:rFonts w:eastAsiaTheme="minorEastAsia"/>
          <w:sz w:val="22"/>
          <w:lang w:val="en-US"/>
        </w:rPr>
      </w:pPr>
      <w:r>
        <w:rPr>
          <w:rFonts w:eastAsiaTheme="minorEastAsia"/>
          <w:sz w:val="22"/>
          <w:lang w:val="en-US"/>
        </w:rPr>
        <w:t xml:space="preserve">For PDSCH self-scheduling, it is FFS whether to allow having different numerologies between PDCCH and PDSCH. Since the following cases are already supported, </w:t>
      </w:r>
      <w:r w:rsidR="00782CD7">
        <w:rPr>
          <w:rFonts w:eastAsiaTheme="minorEastAsia"/>
          <w:sz w:val="22"/>
          <w:lang w:val="en-US"/>
        </w:rPr>
        <w:t xml:space="preserve">different numerologies between PDCCH and PDSCH </w:t>
      </w:r>
      <w:r w:rsidR="008900CB">
        <w:rPr>
          <w:rFonts w:eastAsiaTheme="minorEastAsia"/>
          <w:sz w:val="22"/>
          <w:lang w:val="en-US"/>
        </w:rPr>
        <w:t>can be supported with having</w:t>
      </w:r>
      <w:r w:rsidR="00782CD7">
        <w:rPr>
          <w:rFonts w:eastAsiaTheme="minorEastAsia"/>
          <w:sz w:val="22"/>
          <w:lang w:val="en-US"/>
        </w:rPr>
        <w:t xml:space="preserve"> </w:t>
      </w:r>
      <w:r w:rsidR="008900CB">
        <w:rPr>
          <w:rFonts w:eastAsiaTheme="minorEastAsia"/>
          <w:sz w:val="22"/>
          <w:lang w:val="en-US"/>
        </w:rPr>
        <w:t xml:space="preserve">no/minimal </w:t>
      </w:r>
      <w:r w:rsidR="00782CD7">
        <w:rPr>
          <w:rFonts w:eastAsiaTheme="minorEastAsia"/>
          <w:sz w:val="22"/>
          <w:lang w:val="en-US"/>
        </w:rPr>
        <w:t xml:space="preserve">specific/additional </w:t>
      </w:r>
      <w:r w:rsidR="008900CB">
        <w:rPr>
          <w:rFonts w:eastAsiaTheme="minorEastAsia"/>
          <w:sz w:val="22"/>
          <w:lang w:val="en-US"/>
        </w:rPr>
        <w:t>effort</w:t>
      </w:r>
      <w:r w:rsidR="00782CD7">
        <w:rPr>
          <w:rFonts w:eastAsiaTheme="minorEastAsia"/>
          <w:sz w:val="22"/>
          <w:lang w:val="en-US"/>
        </w:rPr>
        <w:t>.</w:t>
      </w:r>
    </w:p>
    <w:p w14:paraId="1A514478" w14:textId="77777777" w:rsidR="00360CB1" w:rsidRDefault="00360CB1" w:rsidP="00360CB1">
      <w:pPr>
        <w:pStyle w:val="afc"/>
        <w:numPr>
          <w:ilvl w:val="0"/>
          <w:numId w:val="32"/>
        </w:numPr>
        <w:spacing w:afterLines="50" w:after="120"/>
        <w:ind w:leftChars="0"/>
        <w:jc w:val="both"/>
        <w:rPr>
          <w:rFonts w:eastAsiaTheme="minorEastAsia"/>
          <w:sz w:val="22"/>
          <w:lang w:val="en-US"/>
        </w:rPr>
      </w:pPr>
      <w:r>
        <w:rPr>
          <w:rFonts w:eastAsiaTheme="minorEastAsia"/>
          <w:sz w:val="22"/>
          <w:lang w:val="en-US"/>
        </w:rPr>
        <w:t xml:space="preserve">For PDSCH cross-carrier scheduling, </w:t>
      </w:r>
      <w:r w:rsidRPr="00360CB1">
        <w:rPr>
          <w:rFonts w:eastAsiaTheme="minorEastAsia"/>
          <w:sz w:val="22"/>
          <w:lang w:val="en-US"/>
        </w:rPr>
        <w:t>different numerologies between PDCCH and PDSCH</w:t>
      </w:r>
    </w:p>
    <w:p w14:paraId="46400F69" w14:textId="6B94ECA3" w:rsidR="00360CB1" w:rsidRPr="00360CB1" w:rsidRDefault="00360CB1" w:rsidP="00360CB1">
      <w:pPr>
        <w:pStyle w:val="afc"/>
        <w:numPr>
          <w:ilvl w:val="0"/>
          <w:numId w:val="32"/>
        </w:numPr>
        <w:spacing w:afterLines="50" w:after="120"/>
        <w:ind w:leftChars="0"/>
        <w:jc w:val="both"/>
        <w:rPr>
          <w:rFonts w:eastAsiaTheme="minorEastAsia"/>
          <w:sz w:val="22"/>
          <w:lang w:val="en-US"/>
        </w:rPr>
      </w:pPr>
      <w:r>
        <w:rPr>
          <w:rFonts w:eastAsiaTheme="minorEastAsia"/>
          <w:sz w:val="22"/>
          <w:lang w:val="en-US"/>
        </w:rPr>
        <w:t>For PUSCH self-/cross-carrier scheduling,</w:t>
      </w:r>
      <w:r w:rsidRPr="00360CB1">
        <w:rPr>
          <w:rFonts w:eastAsiaTheme="minorEastAsia"/>
          <w:sz w:val="22"/>
          <w:lang w:val="en-US"/>
        </w:rPr>
        <w:t xml:space="preserve"> </w:t>
      </w:r>
      <w:r>
        <w:rPr>
          <w:rFonts w:eastAsiaTheme="minorEastAsia"/>
          <w:sz w:val="22"/>
          <w:lang w:val="en-US"/>
        </w:rPr>
        <w:t>different numerologies between PDCCH and PUSCH</w:t>
      </w:r>
      <w:r w:rsidRPr="00360CB1">
        <w:rPr>
          <w:rFonts w:eastAsiaTheme="minorEastAsia"/>
          <w:sz w:val="22"/>
          <w:lang w:val="en-US"/>
        </w:rPr>
        <w:t xml:space="preserve"> </w:t>
      </w:r>
    </w:p>
    <w:p w14:paraId="2B9D927A" w14:textId="302ABADE" w:rsidR="00360CB1" w:rsidRDefault="00782CD7" w:rsidP="00B93AEF">
      <w:pPr>
        <w:spacing w:afterLines="50" w:after="120"/>
        <w:jc w:val="both"/>
        <w:rPr>
          <w:rFonts w:eastAsiaTheme="minorEastAsia"/>
          <w:sz w:val="22"/>
          <w:lang w:val="en-US"/>
        </w:rPr>
      </w:pPr>
      <w:r>
        <w:rPr>
          <w:rFonts w:eastAsiaTheme="minorEastAsia" w:hint="eastAsia"/>
          <w:sz w:val="22"/>
          <w:lang w:val="en-US"/>
        </w:rPr>
        <w:t>Note that</w:t>
      </w:r>
      <w:r>
        <w:rPr>
          <w:rFonts w:eastAsiaTheme="minorEastAsia"/>
          <w:sz w:val="22"/>
          <w:lang w:val="en-US"/>
        </w:rPr>
        <w:t xml:space="preserve"> each DL BWP is associated with a </w:t>
      </w:r>
      <w:r w:rsidR="008900CB">
        <w:rPr>
          <w:rFonts w:eastAsiaTheme="minorEastAsia"/>
          <w:sz w:val="22"/>
          <w:lang w:val="en-US"/>
        </w:rPr>
        <w:t xml:space="preserve">specific </w:t>
      </w:r>
      <w:r>
        <w:rPr>
          <w:rFonts w:eastAsiaTheme="minorEastAsia"/>
          <w:sz w:val="22"/>
          <w:lang w:val="en-US"/>
        </w:rPr>
        <w:t xml:space="preserve">numerology. Therefore, </w:t>
      </w:r>
      <w:r w:rsidR="008900CB">
        <w:rPr>
          <w:rFonts w:eastAsiaTheme="minorEastAsia"/>
          <w:sz w:val="22"/>
          <w:lang w:val="en-US"/>
        </w:rPr>
        <w:t xml:space="preserve">for PDSCH self-scheduling with different numerologies between PDCCH and PDSCH, </w:t>
      </w:r>
      <w:r>
        <w:rPr>
          <w:rFonts w:eastAsiaTheme="minorEastAsia"/>
          <w:sz w:val="22"/>
          <w:lang w:val="en-US"/>
        </w:rPr>
        <w:t xml:space="preserve">it is necessary to configure </w:t>
      </w:r>
      <w:r w:rsidR="008900CB">
        <w:rPr>
          <w:rFonts w:eastAsiaTheme="minorEastAsia"/>
          <w:sz w:val="22"/>
          <w:lang w:val="en-US"/>
        </w:rPr>
        <w:t>different DL BWPs for PDCCH and PDSCH</w:t>
      </w:r>
      <w:r>
        <w:rPr>
          <w:rFonts w:eastAsiaTheme="minorEastAsia"/>
          <w:sz w:val="22"/>
          <w:lang w:val="en-US"/>
        </w:rPr>
        <w:t>.</w:t>
      </w:r>
      <w:r w:rsidR="008900CB">
        <w:rPr>
          <w:rFonts w:eastAsiaTheme="minorEastAsia"/>
          <w:sz w:val="22"/>
          <w:lang w:val="en-US"/>
        </w:rPr>
        <w:t xml:space="preserve"> Therefore, even though this is self-scheduling,</w:t>
      </w:r>
      <w:r w:rsidR="000A07C1">
        <w:rPr>
          <w:rFonts w:eastAsiaTheme="minorEastAsia"/>
          <w:sz w:val="22"/>
          <w:lang w:val="en-US"/>
        </w:rPr>
        <w:t xml:space="preserve"> cross-BWP scheduling mechanism </w:t>
      </w:r>
      <w:r w:rsidR="008900CB">
        <w:rPr>
          <w:rFonts w:eastAsiaTheme="minorEastAsia"/>
          <w:sz w:val="22"/>
          <w:lang w:val="en-US"/>
        </w:rPr>
        <w:t xml:space="preserve">would be necessary. </w:t>
      </w:r>
    </w:p>
    <w:p w14:paraId="1D7A86B8" w14:textId="02FA7DBA" w:rsidR="00782CD7" w:rsidRPr="00D636B0" w:rsidRDefault="00782CD7" w:rsidP="00782CD7">
      <w:pPr>
        <w:spacing w:afterLines="50" w:after="120"/>
        <w:jc w:val="both"/>
        <w:rPr>
          <w:rFonts w:eastAsiaTheme="minorEastAsia"/>
          <w:b/>
          <w:sz w:val="22"/>
          <w:u w:val="single"/>
          <w:lang w:val="en-US"/>
        </w:rPr>
      </w:pPr>
      <w:r>
        <w:rPr>
          <w:rFonts w:eastAsiaTheme="minorEastAsia"/>
          <w:b/>
          <w:sz w:val="22"/>
          <w:u w:val="single"/>
          <w:lang w:val="en-US"/>
        </w:rPr>
        <w:t>Proposal 2</w:t>
      </w:r>
      <w:r w:rsidRPr="00D636B0">
        <w:rPr>
          <w:rFonts w:eastAsiaTheme="minorEastAsia"/>
          <w:b/>
          <w:sz w:val="22"/>
          <w:u w:val="single"/>
          <w:lang w:val="en-US"/>
        </w:rPr>
        <w:t>:</w:t>
      </w:r>
    </w:p>
    <w:p w14:paraId="008F13DE" w14:textId="77A1E0F2" w:rsidR="00782CD7" w:rsidRDefault="00782CD7" w:rsidP="00782CD7">
      <w:pPr>
        <w:pStyle w:val="afc"/>
        <w:numPr>
          <w:ilvl w:val="0"/>
          <w:numId w:val="33"/>
        </w:numPr>
        <w:spacing w:afterLines="50" w:after="120"/>
        <w:ind w:leftChars="0"/>
        <w:jc w:val="both"/>
        <w:rPr>
          <w:rFonts w:eastAsiaTheme="minorEastAsia"/>
          <w:i/>
          <w:sz w:val="22"/>
          <w:lang w:val="en-US"/>
        </w:rPr>
      </w:pPr>
      <w:r>
        <w:rPr>
          <w:rFonts w:eastAsiaTheme="minorEastAsia"/>
          <w:i/>
          <w:sz w:val="22"/>
          <w:lang w:val="en-US"/>
        </w:rPr>
        <w:t>PDSCH self-scheduling with different numerologies between PDCCH and PDSCH is supported.</w:t>
      </w:r>
    </w:p>
    <w:p w14:paraId="183FA2EC" w14:textId="09B13C8E" w:rsidR="00782CD7" w:rsidRPr="00D636B0" w:rsidRDefault="00FB7280" w:rsidP="00782CD7">
      <w:pPr>
        <w:pStyle w:val="afc"/>
        <w:numPr>
          <w:ilvl w:val="1"/>
          <w:numId w:val="33"/>
        </w:numPr>
        <w:spacing w:afterLines="50" w:after="120"/>
        <w:ind w:leftChars="0"/>
        <w:jc w:val="both"/>
        <w:rPr>
          <w:rFonts w:eastAsiaTheme="minorEastAsia"/>
          <w:i/>
          <w:sz w:val="22"/>
          <w:lang w:val="en-US"/>
        </w:rPr>
      </w:pPr>
      <w:r>
        <w:rPr>
          <w:rFonts w:eastAsiaTheme="minorEastAsia"/>
          <w:i/>
          <w:sz w:val="22"/>
          <w:lang w:val="en-US"/>
        </w:rPr>
        <w:t>Note that i</w:t>
      </w:r>
      <w:r w:rsidR="00782CD7">
        <w:rPr>
          <w:rFonts w:eastAsiaTheme="minorEastAsia"/>
          <w:i/>
          <w:sz w:val="22"/>
          <w:lang w:val="en-US"/>
        </w:rPr>
        <w:t>t is necessary to configured one DL BWP for PDCCH and another DL BWP for PDSCH</w:t>
      </w:r>
      <w:r w:rsidR="00381DD9">
        <w:rPr>
          <w:rFonts w:eastAsiaTheme="minorEastAsia"/>
          <w:i/>
          <w:sz w:val="22"/>
          <w:lang w:val="en-US"/>
        </w:rPr>
        <w:t xml:space="preserve"> for this operation</w:t>
      </w:r>
      <w:r w:rsidR="00782CD7">
        <w:rPr>
          <w:rFonts w:eastAsiaTheme="minorEastAsia"/>
          <w:i/>
          <w:sz w:val="22"/>
          <w:lang w:val="en-US"/>
        </w:rPr>
        <w:t>.</w:t>
      </w:r>
    </w:p>
    <w:p w14:paraId="3753F71F" w14:textId="39F2722A" w:rsidR="00782CD7" w:rsidRDefault="00782CD7" w:rsidP="00B93AEF">
      <w:pPr>
        <w:spacing w:afterLines="50" w:after="120"/>
        <w:jc w:val="both"/>
        <w:rPr>
          <w:rFonts w:eastAsiaTheme="minorEastAsia"/>
          <w:sz w:val="22"/>
          <w:lang w:val="en-US"/>
        </w:rPr>
      </w:pPr>
    </w:p>
    <w:p w14:paraId="25129684" w14:textId="324ACD22" w:rsidR="00381DD9" w:rsidRDefault="00381DD9" w:rsidP="00B93AEF">
      <w:pPr>
        <w:spacing w:afterLines="50" w:after="120"/>
        <w:jc w:val="both"/>
        <w:rPr>
          <w:rFonts w:eastAsiaTheme="minorEastAsia"/>
          <w:sz w:val="22"/>
          <w:lang w:val="en-US"/>
        </w:rPr>
      </w:pPr>
      <w:r>
        <w:rPr>
          <w:rFonts w:eastAsiaTheme="minorEastAsia" w:hint="eastAsia"/>
          <w:sz w:val="22"/>
          <w:lang w:val="en-US"/>
        </w:rPr>
        <w:t>It was agreed to support multiple timing adva</w:t>
      </w:r>
      <w:r>
        <w:rPr>
          <w:rFonts w:eastAsiaTheme="minorEastAsia"/>
          <w:sz w:val="22"/>
          <w:lang w:val="en-US"/>
        </w:rPr>
        <w:t>n</w:t>
      </w:r>
      <w:r>
        <w:rPr>
          <w:rFonts w:eastAsiaTheme="minorEastAsia" w:hint="eastAsia"/>
          <w:sz w:val="22"/>
          <w:lang w:val="en-US"/>
        </w:rPr>
        <w:t xml:space="preserve">ces. </w:t>
      </w:r>
      <w:r>
        <w:rPr>
          <w:rFonts w:eastAsiaTheme="minorEastAsia"/>
          <w:sz w:val="22"/>
          <w:lang w:val="en-US"/>
        </w:rPr>
        <w:t>In LTE, the maximum timing difference between two TA groups is 32.47us, taking into account that the maximum DL reception timing difference between carriers at different locations is 30.26us</w:t>
      </w:r>
      <w:r w:rsidR="00F408D4">
        <w:rPr>
          <w:rFonts w:eastAsiaTheme="minorEastAsia"/>
          <w:sz w:val="22"/>
          <w:lang w:val="en-US"/>
        </w:rPr>
        <w:t xml:space="preserve"> and UE has a certain delay/error for UL transmission</w:t>
      </w:r>
      <w:r>
        <w:rPr>
          <w:rFonts w:eastAsiaTheme="minorEastAsia"/>
          <w:sz w:val="22"/>
          <w:lang w:val="en-US"/>
        </w:rPr>
        <w:t xml:space="preserve">. From operator’s point of view, it is very important to make sure that NR </w:t>
      </w:r>
      <w:r w:rsidR="00BF182B">
        <w:rPr>
          <w:rFonts w:eastAsiaTheme="minorEastAsia"/>
          <w:sz w:val="22"/>
          <w:lang w:val="en-US"/>
        </w:rPr>
        <w:t xml:space="preserve">can support the deployments that are already </w:t>
      </w:r>
      <w:r w:rsidR="00F408D4">
        <w:rPr>
          <w:rFonts w:eastAsiaTheme="minorEastAsia"/>
          <w:sz w:val="22"/>
          <w:lang w:val="en-US"/>
        </w:rPr>
        <w:t>promised</w:t>
      </w:r>
      <w:r w:rsidR="00BF182B">
        <w:rPr>
          <w:rFonts w:eastAsiaTheme="minorEastAsia"/>
          <w:sz w:val="22"/>
          <w:lang w:val="en-US"/>
        </w:rPr>
        <w:t xml:space="preserve"> by LTE, so that NR can be </w:t>
      </w:r>
      <w:r w:rsidR="00F408D4">
        <w:rPr>
          <w:rFonts w:eastAsiaTheme="minorEastAsia"/>
          <w:sz w:val="22"/>
          <w:lang w:val="en-US"/>
        </w:rPr>
        <w:t>the replacement of LTE</w:t>
      </w:r>
      <w:r w:rsidR="00BF182B">
        <w:rPr>
          <w:rFonts w:eastAsiaTheme="minorEastAsia"/>
          <w:sz w:val="22"/>
          <w:lang w:val="en-US"/>
        </w:rPr>
        <w:t>. Since multiple TA is a mandatory feature of Rel. 11 LTE for FDD UL-CA, also for NR, multiple TA with maximum timing difference between two TAGs being 32.47us should be supported</w:t>
      </w:r>
      <w:r w:rsidR="00F408D4">
        <w:rPr>
          <w:rFonts w:eastAsiaTheme="minorEastAsia"/>
          <w:sz w:val="22"/>
          <w:lang w:val="en-US"/>
        </w:rPr>
        <w:t xml:space="preserve"> at least with certain configurations</w:t>
      </w:r>
      <w:r w:rsidR="00BF182B">
        <w:rPr>
          <w:rFonts w:eastAsiaTheme="minorEastAsia"/>
          <w:sz w:val="22"/>
          <w:lang w:val="en-US"/>
        </w:rPr>
        <w:t>.</w:t>
      </w:r>
    </w:p>
    <w:p w14:paraId="1457671B" w14:textId="0F2BD430" w:rsidR="00F408D4" w:rsidRDefault="00F408D4" w:rsidP="00B93AEF">
      <w:pPr>
        <w:spacing w:afterLines="50" w:after="120"/>
        <w:jc w:val="both"/>
        <w:rPr>
          <w:rFonts w:eastAsiaTheme="minorEastAsia"/>
          <w:sz w:val="22"/>
          <w:lang w:val="en-US"/>
        </w:rPr>
      </w:pPr>
      <w:r>
        <w:rPr>
          <w:rFonts w:eastAsiaTheme="minorEastAsia"/>
          <w:sz w:val="22"/>
          <w:lang w:val="en-US"/>
        </w:rPr>
        <w:t>In case of SCS = 15kHz, NR frame structure is quite similar with LTE frame structure. Therefore, it is natural to support 32.47us TA difference for SCS = 15kHz. On the other hand,</w:t>
      </w:r>
      <w:r w:rsidR="00BF182B">
        <w:rPr>
          <w:rFonts w:eastAsiaTheme="minorEastAsia"/>
          <w:sz w:val="22"/>
          <w:lang w:val="en-US"/>
        </w:rPr>
        <w:t xml:space="preserve"> </w:t>
      </w:r>
      <w:r>
        <w:rPr>
          <w:rFonts w:eastAsiaTheme="minorEastAsia"/>
          <w:sz w:val="22"/>
          <w:lang w:val="en-US"/>
        </w:rPr>
        <w:t xml:space="preserve">from UE point of view, </w:t>
      </w:r>
      <w:r w:rsidR="00BF182B">
        <w:rPr>
          <w:rFonts w:eastAsiaTheme="minorEastAsia"/>
          <w:sz w:val="22"/>
          <w:lang w:val="en-US"/>
        </w:rPr>
        <w:t xml:space="preserve">for SCS higher than 15kHz, keeping the same TA difference would become further challenging. Therefore, </w:t>
      </w:r>
      <w:r>
        <w:rPr>
          <w:rFonts w:eastAsiaTheme="minorEastAsia"/>
          <w:sz w:val="22"/>
          <w:lang w:val="en-US"/>
        </w:rPr>
        <w:t>it should be allowed to reduce the maximum TA difference for the UE configured with SCS other than 15kHz.</w:t>
      </w:r>
      <w:r w:rsidR="00BF182B">
        <w:rPr>
          <w:rFonts w:eastAsiaTheme="minorEastAsia"/>
          <w:sz w:val="22"/>
          <w:lang w:val="en-US"/>
        </w:rPr>
        <w:t xml:space="preserve"> </w:t>
      </w:r>
      <w:r>
        <w:rPr>
          <w:rFonts w:eastAsiaTheme="minorEastAsia"/>
          <w:sz w:val="22"/>
          <w:lang w:val="en-US"/>
        </w:rPr>
        <w:t xml:space="preserve">Various cases need to be </w:t>
      </w:r>
      <w:r>
        <w:rPr>
          <w:rFonts w:eastAsiaTheme="minorEastAsia"/>
          <w:sz w:val="22"/>
          <w:lang w:val="en-US"/>
        </w:rPr>
        <w:lastRenderedPageBreak/>
        <w:t>considered, e.g., single SCS for all CCs, different SCSs between UL-CCs, different SCSs between DL-CCs and UL-CCs, etc.</w:t>
      </w:r>
    </w:p>
    <w:p w14:paraId="58DFE330" w14:textId="32DC6D40" w:rsidR="00BF182B" w:rsidRDefault="00BF182B" w:rsidP="00B93AEF">
      <w:pPr>
        <w:spacing w:afterLines="50" w:after="120"/>
        <w:jc w:val="both"/>
        <w:rPr>
          <w:rFonts w:eastAsiaTheme="minorEastAsia"/>
          <w:sz w:val="22"/>
          <w:lang w:val="en-US"/>
        </w:rPr>
      </w:pPr>
      <w:r>
        <w:rPr>
          <w:rFonts w:eastAsiaTheme="minorEastAsia"/>
          <w:sz w:val="22"/>
          <w:lang w:val="en-US"/>
        </w:rPr>
        <w:t xml:space="preserve">In RAN1, </w:t>
      </w:r>
      <w:r w:rsidR="00160A93">
        <w:rPr>
          <w:rFonts w:eastAsiaTheme="minorEastAsia"/>
          <w:sz w:val="22"/>
          <w:lang w:val="en-US"/>
        </w:rPr>
        <w:t xml:space="preserve">at first, </w:t>
      </w:r>
      <w:r>
        <w:rPr>
          <w:rFonts w:eastAsiaTheme="minorEastAsia"/>
          <w:sz w:val="22"/>
          <w:lang w:val="en-US"/>
        </w:rPr>
        <w:t xml:space="preserve">it is better to focus on necessary supportable DL reception timing difference for various scenarios with </w:t>
      </w:r>
      <w:r w:rsidR="00160A93">
        <w:rPr>
          <w:rFonts w:eastAsiaTheme="minorEastAsia"/>
          <w:sz w:val="22"/>
          <w:lang w:val="en-US"/>
        </w:rPr>
        <w:t xml:space="preserve">carrier/BWP of </w:t>
      </w:r>
      <w:r>
        <w:rPr>
          <w:rFonts w:eastAsiaTheme="minorEastAsia"/>
          <w:sz w:val="22"/>
          <w:lang w:val="en-US"/>
        </w:rPr>
        <w:t xml:space="preserve">SCS higher than 15kHz. </w:t>
      </w:r>
    </w:p>
    <w:p w14:paraId="48AC9727" w14:textId="68A9C232" w:rsidR="00381DD9" w:rsidRPr="00160A93" w:rsidRDefault="00160A93" w:rsidP="00B93AEF">
      <w:pPr>
        <w:spacing w:afterLines="50" w:after="120"/>
        <w:jc w:val="both"/>
        <w:rPr>
          <w:rFonts w:eastAsiaTheme="minorEastAsia"/>
          <w:b/>
          <w:sz w:val="22"/>
          <w:u w:val="single"/>
          <w:lang w:val="en-US"/>
        </w:rPr>
      </w:pPr>
      <w:r w:rsidRPr="00160A93">
        <w:rPr>
          <w:rFonts w:eastAsiaTheme="minorEastAsia"/>
          <w:b/>
          <w:sz w:val="22"/>
          <w:u w:val="single"/>
          <w:lang w:val="en-US"/>
        </w:rPr>
        <w:t>Proposal 3:</w:t>
      </w:r>
    </w:p>
    <w:p w14:paraId="538BF72B" w14:textId="6BB08353" w:rsidR="00160A93" w:rsidRPr="00160A93" w:rsidRDefault="00160A93" w:rsidP="00160A93">
      <w:pPr>
        <w:pStyle w:val="afc"/>
        <w:numPr>
          <w:ilvl w:val="0"/>
          <w:numId w:val="33"/>
        </w:numPr>
        <w:spacing w:afterLines="50" w:after="120"/>
        <w:ind w:leftChars="0"/>
        <w:jc w:val="both"/>
        <w:rPr>
          <w:rFonts w:eastAsiaTheme="minorEastAsia"/>
          <w:i/>
          <w:sz w:val="22"/>
          <w:lang w:val="en-US"/>
        </w:rPr>
      </w:pPr>
      <w:r>
        <w:rPr>
          <w:rFonts w:eastAsiaTheme="minorEastAsia" w:hint="eastAsia"/>
          <w:i/>
          <w:sz w:val="22"/>
          <w:lang w:val="en-US"/>
        </w:rPr>
        <w:t>At least UL-CA with SCS=</w:t>
      </w:r>
      <w:r w:rsidRPr="00160A93">
        <w:rPr>
          <w:rFonts w:eastAsiaTheme="minorEastAsia" w:hint="eastAsia"/>
          <w:i/>
          <w:sz w:val="22"/>
          <w:lang w:val="en-US"/>
        </w:rPr>
        <w:t>15kHz for all the carriers/BWPs, maximum TA difference of 32.47us is supported.</w:t>
      </w:r>
    </w:p>
    <w:p w14:paraId="78C192B8" w14:textId="6E29A21D" w:rsidR="00160A93" w:rsidRPr="00160A93" w:rsidRDefault="00160A93" w:rsidP="00160A93">
      <w:pPr>
        <w:pStyle w:val="afc"/>
        <w:numPr>
          <w:ilvl w:val="0"/>
          <w:numId w:val="33"/>
        </w:numPr>
        <w:spacing w:afterLines="50" w:after="120"/>
        <w:ind w:leftChars="0"/>
        <w:jc w:val="both"/>
        <w:rPr>
          <w:rFonts w:eastAsiaTheme="minorEastAsia"/>
          <w:i/>
          <w:sz w:val="22"/>
          <w:lang w:val="en-US"/>
        </w:rPr>
      </w:pPr>
      <w:r w:rsidRPr="00160A93">
        <w:rPr>
          <w:rFonts w:eastAsiaTheme="minorEastAsia"/>
          <w:i/>
          <w:sz w:val="22"/>
          <w:lang w:val="en-US"/>
        </w:rPr>
        <w:t>Further study is necessary for other scenarios.</w:t>
      </w:r>
    </w:p>
    <w:p w14:paraId="4E3D2E77" w14:textId="77777777" w:rsidR="00160A93" w:rsidRPr="00160A93" w:rsidRDefault="00160A93" w:rsidP="00160A93">
      <w:pPr>
        <w:spacing w:afterLines="50" w:after="120"/>
        <w:jc w:val="both"/>
        <w:rPr>
          <w:rFonts w:eastAsiaTheme="minorEastAsia"/>
          <w:sz w:val="22"/>
          <w:lang w:val="en-US"/>
        </w:rPr>
      </w:pPr>
    </w:p>
    <w:p w14:paraId="3F339079" w14:textId="746102DE" w:rsidR="006C1977" w:rsidRDefault="00160A93" w:rsidP="00CD5A2B">
      <w:pPr>
        <w:spacing w:afterLines="50" w:after="120"/>
        <w:jc w:val="both"/>
        <w:rPr>
          <w:rFonts w:eastAsiaTheme="minorEastAsia"/>
          <w:sz w:val="22"/>
          <w:lang w:val="en-US"/>
        </w:rPr>
      </w:pPr>
      <w:r>
        <w:rPr>
          <w:rFonts w:eastAsiaTheme="minorEastAsia"/>
          <w:sz w:val="22"/>
          <w:lang w:val="en-US"/>
        </w:rPr>
        <w:t>It was discussed whether to support 2 cell groups for PUCCH for NR CA. Similar to the above discussion on multiple TA, it is important to make sure that necessary LTE deployment scenarios can be supported by NR. The necessary scenarios include 2 cell groups for PUCCH for NR CA.</w:t>
      </w:r>
    </w:p>
    <w:p w14:paraId="1367324A" w14:textId="4074A32B" w:rsidR="00160A93" w:rsidRPr="00160A93" w:rsidRDefault="00160A93" w:rsidP="00160A93">
      <w:pPr>
        <w:spacing w:afterLines="50" w:after="120"/>
        <w:jc w:val="both"/>
        <w:rPr>
          <w:rFonts w:eastAsiaTheme="minorEastAsia"/>
          <w:b/>
          <w:sz w:val="22"/>
          <w:u w:val="single"/>
          <w:lang w:val="en-US"/>
        </w:rPr>
      </w:pPr>
      <w:r>
        <w:rPr>
          <w:rFonts w:eastAsiaTheme="minorEastAsia"/>
          <w:b/>
          <w:sz w:val="22"/>
          <w:u w:val="single"/>
          <w:lang w:val="en-US"/>
        </w:rPr>
        <w:t>Proposal 4</w:t>
      </w:r>
      <w:r w:rsidRPr="00160A93">
        <w:rPr>
          <w:rFonts w:eastAsiaTheme="minorEastAsia"/>
          <w:b/>
          <w:sz w:val="22"/>
          <w:u w:val="single"/>
          <w:lang w:val="en-US"/>
        </w:rPr>
        <w:t>:</w:t>
      </w:r>
    </w:p>
    <w:p w14:paraId="48B7F88E" w14:textId="0E0F84B9" w:rsidR="00160A93" w:rsidRPr="00160A93" w:rsidRDefault="00160A93" w:rsidP="00CD5A2B">
      <w:pPr>
        <w:pStyle w:val="afc"/>
        <w:numPr>
          <w:ilvl w:val="0"/>
          <w:numId w:val="33"/>
        </w:numPr>
        <w:spacing w:afterLines="50" w:after="120"/>
        <w:ind w:leftChars="0"/>
        <w:jc w:val="both"/>
        <w:rPr>
          <w:rFonts w:eastAsiaTheme="minorEastAsia"/>
          <w:i/>
          <w:sz w:val="22"/>
          <w:lang w:val="en-US"/>
        </w:rPr>
      </w:pPr>
      <w:r>
        <w:rPr>
          <w:rFonts w:eastAsiaTheme="minorEastAsia"/>
          <w:i/>
          <w:sz w:val="22"/>
          <w:lang w:val="en-US"/>
        </w:rPr>
        <w:t>NR supports 2 cell groups for PUCCH for NR CA.</w:t>
      </w:r>
    </w:p>
    <w:p w14:paraId="39B0F0E7" w14:textId="77777777" w:rsidR="00160A93" w:rsidRPr="00160A93" w:rsidRDefault="00160A93" w:rsidP="00CD5A2B">
      <w:pPr>
        <w:spacing w:afterLines="50" w:after="120"/>
        <w:jc w:val="both"/>
        <w:rPr>
          <w:rFonts w:eastAsia="ＭＳ 明朝"/>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16187278" w14:textId="13E3A4DC" w:rsidR="005D0A85" w:rsidRDefault="00352B55" w:rsidP="0077366D">
      <w:pPr>
        <w:spacing w:afterLines="50" w:after="120"/>
        <w:jc w:val="both"/>
        <w:rPr>
          <w:rFonts w:eastAsia="ＭＳ 明朝"/>
          <w:sz w:val="22"/>
          <w:lang w:val="en-US"/>
        </w:rPr>
      </w:pPr>
      <w:r>
        <w:rPr>
          <w:rFonts w:eastAsia="ＭＳ 明朝"/>
          <w:sz w:val="22"/>
          <w:lang w:val="en-US"/>
        </w:rPr>
        <w:t xml:space="preserve">In this contribution, </w:t>
      </w:r>
      <w:r w:rsidR="00160A93">
        <w:rPr>
          <w:rFonts w:eastAsia="ＭＳ 明朝"/>
          <w:sz w:val="22"/>
          <w:lang w:val="en-US"/>
        </w:rPr>
        <w:t>scheduling and HARQ aspects for CA are</w:t>
      </w:r>
      <w:r>
        <w:rPr>
          <w:rFonts w:eastAsia="ＭＳ 明朝"/>
          <w:sz w:val="22"/>
          <w:lang w:val="en-US"/>
        </w:rPr>
        <w:t xml:space="preserve"> discussed and following proposals were made.</w:t>
      </w:r>
    </w:p>
    <w:p w14:paraId="695380CE" w14:textId="77777777" w:rsidR="00160A93" w:rsidRPr="00D636B0" w:rsidRDefault="00160A93" w:rsidP="00160A93">
      <w:pPr>
        <w:spacing w:afterLines="50" w:after="120"/>
        <w:jc w:val="both"/>
        <w:rPr>
          <w:rFonts w:eastAsiaTheme="minorEastAsia"/>
          <w:b/>
          <w:sz w:val="22"/>
          <w:u w:val="single"/>
          <w:lang w:val="en-US"/>
        </w:rPr>
      </w:pPr>
      <w:r w:rsidRPr="00D636B0">
        <w:rPr>
          <w:rFonts w:eastAsiaTheme="minorEastAsia"/>
          <w:b/>
          <w:sz w:val="22"/>
          <w:u w:val="single"/>
          <w:lang w:val="en-US"/>
        </w:rPr>
        <w:t>Proposal 1:</w:t>
      </w:r>
    </w:p>
    <w:p w14:paraId="43815140" w14:textId="77777777" w:rsidR="00160A93" w:rsidRPr="00D636B0" w:rsidRDefault="00160A93" w:rsidP="00160A93">
      <w:pPr>
        <w:pStyle w:val="afc"/>
        <w:numPr>
          <w:ilvl w:val="0"/>
          <w:numId w:val="33"/>
        </w:numPr>
        <w:spacing w:afterLines="50" w:after="120"/>
        <w:ind w:leftChars="0"/>
        <w:jc w:val="both"/>
        <w:rPr>
          <w:rFonts w:eastAsiaTheme="minorEastAsia"/>
          <w:i/>
          <w:sz w:val="22"/>
          <w:lang w:val="en-US"/>
        </w:rPr>
      </w:pPr>
      <w:r w:rsidRPr="00D636B0">
        <w:rPr>
          <w:rFonts w:eastAsiaTheme="minorEastAsia" w:hint="eastAsia"/>
          <w:i/>
          <w:sz w:val="22"/>
          <w:lang w:val="en-US"/>
        </w:rPr>
        <w:t>T</w:t>
      </w:r>
      <w:r w:rsidRPr="00D636B0">
        <w:rPr>
          <w:rFonts w:eastAsiaTheme="minorEastAsia"/>
          <w:i/>
          <w:sz w:val="22"/>
          <w:lang w:val="en-US"/>
        </w:rPr>
        <w:t>he number of CIF bits is 3.</w:t>
      </w:r>
    </w:p>
    <w:p w14:paraId="5316EC1A" w14:textId="77777777" w:rsidR="00160A93" w:rsidRPr="00D636B0" w:rsidRDefault="00160A93" w:rsidP="00160A93">
      <w:pPr>
        <w:pStyle w:val="afc"/>
        <w:numPr>
          <w:ilvl w:val="1"/>
          <w:numId w:val="33"/>
        </w:numPr>
        <w:spacing w:afterLines="50" w:after="120"/>
        <w:ind w:leftChars="0"/>
        <w:jc w:val="both"/>
        <w:rPr>
          <w:rFonts w:eastAsiaTheme="minorEastAsia"/>
          <w:i/>
          <w:sz w:val="22"/>
          <w:lang w:val="en-US"/>
        </w:rPr>
      </w:pPr>
      <w:r w:rsidRPr="00D636B0">
        <w:rPr>
          <w:rFonts w:eastAsiaTheme="minorEastAsia"/>
          <w:i/>
          <w:sz w:val="22"/>
          <w:lang w:val="en-US"/>
        </w:rPr>
        <w:t>UE is configured with the linkage between scheduling carrier and scheduled carrier.</w:t>
      </w:r>
    </w:p>
    <w:p w14:paraId="316C71D8" w14:textId="77777777" w:rsidR="00160A93" w:rsidRPr="00D636B0" w:rsidRDefault="00160A93" w:rsidP="00160A93">
      <w:pPr>
        <w:pStyle w:val="afc"/>
        <w:numPr>
          <w:ilvl w:val="0"/>
          <w:numId w:val="33"/>
        </w:numPr>
        <w:spacing w:afterLines="50" w:after="120"/>
        <w:ind w:leftChars="0"/>
        <w:jc w:val="both"/>
        <w:rPr>
          <w:rFonts w:eastAsiaTheme="minorEastAsia"/>
          <w:i/>
          <w:sz w:val="22"/>
          <w:lang w:val="en-US"/>
        </w:rPr>
      </w:pPr>
      <w:r w:rsidRPr="00D636B0">
        <w:rPr>
          <w:rFonts w:eastAsiaTheme="minorEastAsia"/>
          <w:i/>
          <w:sz w:val="22"/>
          <w:lang w:val="en-US"/>
        </w:rPr>
        <w:t>Scheduling/HARQ mechanisms for multiple-carrier operation are re-used for multi-BWP operation if multi-BWP operation is supported.</w:t>
      </w:r>
    </w:p>
    <w:p w14:paraId="1D8C55F3" w14:textId="77777777" w:rsidR="00160A93" w:rsidRPr="00D636B0" w:rsidRDefault="00160A93" w:rsidP="00160A93">
      <w:pPr>
        <w:spacing w:afterLines="50" w:after="120"/>
        <w:jc w:val="both"/>
        <w:rPr>
          <w:rFonts w:eastAsiaTheme="minorEastAsia"/>
          <w:b/>
          <w:sz w:val="22"/>
          <w:u w:val="single"/>
          <w:lang w:val="en-US"/>
        </w:rPr>
      </w:pPr>
      <w:r>
        <w:rPr>
          <w:rFonts w:eastAsiaTheme="minorEastAsia"/>
          <w:b/>
          <w:sz w:val="22"/>
          <w:u w:val="single"/>
          <w:lang w:val="en-US"/>
        </w:rPr>
        <w:t>Proposal 2</w:t>
      </w:r>
      <w:r w:rsidRPr="00D636B0">
        <w:rPr>
          <w:rFonts w:eastAsiaTheme="minorEastAsia"/>
          <w:b/>
          <w:sz w:val="22"/>
          <w:u w:val="single"/>
          <w:lang w:val="en-US"/>
        </w:rPr>
        <w:t>:</w:t>
      </w:r>
    </w:p>
    <w:p w14:paraId="2BC9FD7B" w14:textId="77777777" w:rsidR="00160A93" w:rsidRDefault="00160A93" w:rsidP="00160A93">
      <w:pPr>
        <w:pStyle w:val="afc"/>
        <w:numPr>
          <w:ilvl w:val="0"/>
          <w:numId w:val="33"/>
        </w:numPr>
        <w:spacing w:afterLines="50" w:after="120"/>
        <w:ind w:leftChars="0"/>
        <w:jc w:val="both"/>
        <w:rPr>
          <w:rFonts w:eastAsiaTheme="minorEastAsia"/>
          <w:i/>
          <w:sz w:val="22"/>
          <w:lang w:val="en-US"/>
        </w:rPr>
      </w:pPr>
      <w:r>
        <w:rPr>
          <w:rFonts w:eastAsiaTheme="minorEastAsia"/>
          <w:i/>
          <w:sz w:val="22"/>
          <w:lang w:val="en-US"/>
        </w:rPr>
        <w:t>PDSCH self-scheduling with different numerologies between PDCCH and PDSCH is supported.</w:t>
      </w:r>
    </w:p>
    <w:p w14:paraId="7F0E25FB" w14:textId="77777777" w:rsidR="00160A93" w:rsidRPr="00D636B0" w:rsidRDefault="00160A93" w:rsidP="00160A93">
      <w:pPr>
        <w:pStyle w:val="afc"/>
        <w:numPr>
          <w:ilvl w:val="1"/>
          <w:numId w:val="33"/>
        </w:numPr>
        <w:spacing w:afterLines="50" w:after="120"/>
        <w:ind w:leftChars="0"/>
        <w:jc w:val="both"/>
        <w:rPr>
          <w:rFonts w:eastAsiaTheme="minorEastAsia"/>
          <w:i/>
          <w:sz w:val="22"/>
          <w:lang w:val="en-US"/>
        </w:rPr>
      </w:pPr>
      <w:r>
        <w:rPr>
          <w:rFonts w:eastAsiaTheme="minorEastAsia"/>
          <w:i/>
          <w:sz w:val="22"/>
          <w:lang w:val="en-US"/>
        </w:rPr>
        <w:t>Note that it is necessary to configured one DL BWP for PDCCH and another DL BWP for PDSCH for this operation.</w:t>
      </w:r>
    </w:p>
    <w:p w14:paraId="74D22B1C" w14:textId="77777777" w:rsidR="00160A93" w:rsidRPr="00160A93" w:rsidRDefault="00160A93" w:rsidP="00160A93">
      <w:pPr>
        <w:spacing w:afterLines="50" w:after="120"/>
        <w:jc w:val="both"/>
        <w:rPr>
          <w:rFonts w:eastAsiaTheme="minorEastAsia"/>
          <w:b/>
          <w:sz w:val="22"/>
          <w:u w:val="single"/>
          <w:lang w:val="en-US"/>
        </w:rPr>
      </w:pPr>
      <w:r w:rsidRPr="00160A93">
        <w:rPr>
          <w:rFonts w:eastAsiaTheme="minorEastAsia"/>
          <w:b/>
          <w:sz w:val="22"/>
          <w:u w:val="single"/>
          <w:lang w:val="en-US"/>
        </w:rPr>
        <w:t>Proposal 3:</w:t>
      </w:r>
    </w:p>
    <w:p w14:paraId="3DCCD499" w14:textId="77777777" w:rsidR="00160A93" w:rsidRPr="00160A93" w:rsidRDefault="00160A93" w:rsidP="00160A93">
      <w:pPr>
        <w:pStyle w:val="afc"/>
        <w:numPr>
          <w:ilvl w:val="0"/>
          <w:numId w:val="33"/>
        </w:numPr>
        <w:spacing w:afterLines="50" w:after="120"/>
        <w:ind w:leftChars="0"/>
        <w:jc w:val="both"/>
        <w:rPr>
          <w:rFonts w:eastAsiaTheme="minorEastAsia"/>
          <w:i/>
          <w:sz w:val="22"/>
          <w:lang w:val="en-US"/>
        </w:rPr>
      </w:pPr>
      <w:r>
        <w:rPr>
          <w:rFonts w:eastAsiaTheme="minorEastAsia" w:hint="eastAsia"/>
          <w:i/>
          <w:sz w:val="22"/>
          <w:lang w:val="en-US"/>
        </w:rPr>
        <w:t>At least UL-CA with SCS=</w:t>
      </w:r>
      <w:r w:rsidRPr="00160A93">
        <w:rPr>
          <w:rFonts w:eastAsiaTheme="minorEastAsia" w:hint="eastAsia"/>
          <w:i/>
          <w:sz w:val="22"/>
          <w:lang w:val="en-US"/>
        </w:rPr>
        <w:t>15kHz for all the carriers/BWPs, maximum TA difference of 32.47us is supported.</w:t>
      </w:r>
    </w:p>
    <w:p w14:paraId="7604BC22" w14:textId="77777777" w:rsidR="00160A93" w:rsidRPr="00160A93" w:rsidRDefault="00160A93" w:rsidP="00160A93">
      <w:pPr>
        <w:pStyle w:val="afc"/>
        <w:numPr>
          <w:ilvl w:val="0"/>
          <w:numId w:val="33"/>
        </w:numPr>
        <w:spacing w:afterLines="50" w:after="120"/>
        <w:ind w:leftChars="0"/>
        <w:jc w:val="both"/>
        <w:rPr>
          <w:rFonts w:eastAsiaTheme="minorEastAsia"/>
          <w:i/>
          <w:sz w:val="22"/>
          <w:lang w:val="en-US"/>
        </w:rPr>
      </w:pPr>
      <w:r w:rsidRPr="00160A93">
        <w:rPr>
          <w:rFonts w:eastAsiaTheme="minorEastAsia"/>
          <w:i/>
          <w:sz w:val="22"/>
          <w:lang w:val="en-US"/>
        </w:rPr>
        <w:t>Further study is necessary for other scenarios.</w:t>
      </w:r>
    </w:p>
    <w:p w14:paraId="1E74CD27" w14:textId="77777777" w:rsidR="00160A93" w:rsidRPr="00160A93" w:rsidRDefault="00160A93" w:rsidP="00160A93">
      <w:pPr>
        <w:spacing w:afterLines="50" w:after="120"/>
        <w:jc w:val="both"/>
        <w:rPr>
          <w:rFonts w:eastAsiaTheme="minorEastAsia"/>
          <w:b/>
          <w:sz w:val="22"/>
          <w:u w:val="single"/>
          <w:lang w:val="en-US"/>
        </w:rPr>
      </w:pPr>
      <w:r>
        <w:rPr>
          <w:rFonts w:eastAsiaTheme="minorEastAsia"/>
          <w:b/>
          <w:sz w:val="22"/>
          <w:u w:val="single"/>
          <w:lang w:val="en-US"/>
        </w:rPr>
        <w:t>Proposal 4</w:t>
      </w:r>
      <w:r w:rsidRPr="00160A93">
        <w:rPr>
          <w:rFonts w:eastAsiaTheme="minorEastAsia"/>
          <w:b/>
          <w:sz w:val="22"/>
          <w:u w:val="single"/>
          <w:lang w:val="en-US"/>
        </w:rPr>
        <w:t>:</w:t>
      </w:r>
    </w:p>
    <w:p w14:paraId="01EF228B" w14:textId="77777777" w:rsidR="00160A93" w:rsidRPr="00160A93" w:rsidRDefault="00160A93" w:rsidP="00160A93">
      <w:pPr>
        <w:pStyle w:val="afc"/>
        <w:numPr>
          <w:ilvl w:val="0"/>
          <w:numId w:val="33"/>
        </w:numPr>
        <w:spacing w:afterLines="50" w:after="120"/>
        <w:ind w:leftChars="0"/>
        <w:jc w:val="both"/>
        <w:rPr>
          <w:rFonts w:eastAsiaTheme="minorEastAsia"/>
          <w:i/>
          <w:sz w:val="22"/>
          <w:lang w:val="en-US"/>
        </w:rPr>
      </w:pPr>
      <w:r>
        <w:rPr>
          <w:rFonts w:eastAsiaTheme="minorEastAsia"/>
          <w:i/>
          <w:sz w:val="22"/>
          <w:lang w:val="en-US"/>
        </w:rPr>
        <w:t>NR supports 2 cell groups for PUCCH for NR CA.</w:t>
      </w:r>
    </w:p>
    <w:p w14:paraId="7BAFD509" w14:textId="77777777" w:rsidR="005D0A85" w:rsidRPr="00160A93" w:rsidRDefault="005D0A85" w:rsidP="005D0A85">
      <w:pPr>
        <w:spacing w:afterLines="50" w:after="120"/>
        <w:jc w:val="both"/>
        <w:rPr>
          <w:rFonts w:eastAsia="ＭＳ 明朝"/>
          <w:i/>
          <w:sz w:val="22"/>
          <w:lang w:val="en-US"/>
        </w:rPr>
      </w:pPr>
    </w:p>
    <w:p w14:paraId="48B4D528" w14:textId="77777777" w:rsidR="00D5166A" w:rsidRPr="007B3BA0" w:rsidRDefault="00D5166A" w:rsidP="00D5166A">
      <w:pPr>
        <w:pStyle w:val="1"/>
        <w:spacing w:after="120"/>
        <w:jc w:val="both"/>
        <w:rPr>
          <w:b/>
          <w:lang w:val="en-US"/>
        </w:rPr>
      </w:pPr>
      <w:r w:rsidRPr="007B3BA0">
        <w:rPr>
          <w:b/>
          <w:lang w:val="en-US"/>
        </w:rPr>
        <w:t>References</w:t>
      </w:r>
    </w:p>
    <w:p w14:paraId="1E87F02D" w14:textId="595C74A5" w:rsidR="006801D5" w:rsidRPr="00160A93" w:rsidRDefault="00160A93" w:rsidP="00160A93">
      <w:pPr>
        <w:widowControl w:val="0"/>
        <w:numPr>
          <w:ilvl w:val="0"/>
          <w:numId w:val="4"/>
        </w:numPr>
        <w:spacing w:after="120"/>
        <w:jc w:val="both"/>
        <w:rPr>
          <w:sz w:val="22"/>
          <w:szCs w:val="22"/>
          <w:lang w:val="en-US"/>
        </w:rPr>
      </w:pPr>
      <w:r>
        <w:rPr>
          <w:rFonts w:hint="eastAsia"/>
          <w:sz w:val="22"/>
          <w:szCs w:val="22"/>
          <w:lang w:val="en-US"/>
        </w:rPr>
        <w:t>Email discussion [NRAH2-10] Scheduling/HARQ aspects for CA</w:t>
      </w:r>
    </w:p>
    <w:sectPr w:rsidR="006801D5" w:rsidRPr="00160A93">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08BA5E" w14:textId="77777777" w:rsidR="00DD12F3" w:rsidRDefault="00DD12F3">
      <w:r>
        <w:separator/>
      </w:r>
    </w:p>
  </w:endnote>
  <w:endnote w:type="continuationSeparator" w:id="0">
    <w:p w14:paraId="29860A72" w14:textId="77777777" w:rsidR="00DD12F3" w:rsidRDefault="00DD12F3">
      <w:r>
        <w:continuationSeparator/>
      </w:r>
    </w:p>
  </w:endnote>
  <w:endnote w:type="continuationNotice" w:id="1">
    <w:p w14:paraId="6BFEFD0F" w14:textId="77777777" w:rsidR="00DD12F3" w:rsidRDefault="00DD12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620BCFA6" w:rsidR="007B0D2D" w:rsidRPr="00000924" w:rsidRDefault="007B0D2D">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0A21BE">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0A21BE">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E91D1E" w14:textId="77777777" w:rsidR="00DD12F3" w:rsidRDefault="00DD12F3">
      <w:r>
        <w:separator/>
      </w:r>
    </w:p>
  </w:footnote>
  <w:footnote w:type="continuationSeparator" w:id="0">
    <w:p w14:paraId="4BB7CFB0" w14:textId="77777777" w:rsidR="00DD12F3" w:rsidRDefault="00DD12F3">
      <w:r>
        <w:continuationSeparator/>
      </w:r>
    </w:p>
  </w:footnote>
  <w:footnote w:type="continuationNotice" w:id="1">
    <w:p w14:paraId="628385C8" w14:textId="77777777" w:rsidR="00DD12F3" w:rsidRDefault="00DD12F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7C8295E"/>
    <w:multiLevelType w:val="hybridMultilevel"/>
    <w:tmpl w:val="DC10D138"/>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1DACA5C2">
      <w:start w:val="3"/>
      <w:numFmt w:val="bullet"/>
      <w:lvlText w:val="-"/>
      <w:lvlJc w:val="left"/>
      <w:pPr>
        <w:ind w:left="2880" w:hanging="360"/>
      </w:pPr>
      <w:rPr>
        <w:rFonts w:ascii="Times New Roman" w:eastAsiaTheme="minorEastAsia" w:hAnsi="Times New Roman" w:cs="Times New Roman"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503142"/>
    <w:multiLevelType w:val="hybridMultilevel"/>
    <w:tmpl w:val="C13E052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537492"/>
    <w:multiLevelType w:val="hybridMultilevel"/>
    <w:tmpl w:val="05EEE20E"/>
    <w:lvl w:ilvl="0" w:tplc="5CC44B7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DDA17A4"/>
    <w:multiLevelType w:val="hybridMultilevel"/>
    <w:tmpl w:val="0FEAF91C"/>
    <w:lvl w:ilvl="0" w:tplc="04090001">
      <w:start w:val="1"/>
      <w:numFmt w:val="bullet"/>
      <w:lvlText w:val=""/>
      <w:lvlJc w:val="left"/>
      <w:pPr>
        <w:ind w:left="420" w:hanging="420"/>
      </w:pPr>
      <w:rPr>
        <w:rFonts w:ascii="Wingdings" w:hAnsi="Wingdings" w:hint="default"/>
      </w:rPr>
    </w:lvl>
    <w:lvl w:ilvl="1" w:tplc="64A0C8A2">
      <w:start w:val="1"/>
      <w:numFmt w:val="bullet"/>
      <w:lvlText w:val=""/>
      <w:lvlJc w:val="left"/>
      <w:pPr>
        <w:ind w:left="840"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A33AC0"/>
    <w:multiLevelType w:val="hybridMultilevel"/>
    <w:tmpl w:val="2D86D692"/>
    <w:lvl w:ilvl="0" w:tplc="04090001">
      <w:start w:val="1"/>
      <w:numFmt w:val="bullet"/>
      <w:lvlText w:val=""/>
      <w:lvlJc w:val="left"/>
      <w:pPr>
        <w:ind w:left="420" w:hanging="420"/>
      </w:pPr>
      <w:rPr>
        <w:rFonts w:ascii="Wingdings" w:hAnsi="Wingdings" w:hint="default"/>
        <w: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2C42CB7"/>
    <w:multiLevelType w:val="hybridMultilevel"/>
    <w:tmpl w:val="62549C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D370652"/>
    <w:multiLevelType w:val="hybridMultilevel"/>
    <w:tmpl w:val="48381F9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AF320B"/>
    <w:multiLevelType w:val="hybridMultilevel"/>
    <w:tmpl w:val="6EC865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3C27C2C"/>
    <w:multiLevelType w:val="hybridMultilevel"/>
    <w:tmpl w:val="E196BE1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3E96905"/>
    <w:multiLevelType w:val="hybridMultilevel"/>
    <w:tmpl w:val="BFB64E6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5642DBF"/>
    <w:multiLevelType w:val="hybridMultilevel"/>
    <w:tmpl w:val="76A291B0"/>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8BA25F1"/>
    <w:multiLevelType w:val="hybridMultilevel"/>
    <w:tmpl w:val="7D3E33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B6A3F28"/>
    <w:multiLevelType w:val="hybridMultilevel"/>
    <w:tmpl w:val="669273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0156437"/>
    <w:multiLevelType w:val="hybridMultilevel"/>
    <w:tmpl w:val="E7E61416"/>
    <w:lvl w:ilvl="0" w:tplc="1430CE9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132121A"/>
    <w:multiLevelType w:val="hybridMultilevel"/>
    <w:tmpl w:val="27B6D7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42B44324"/>
    <w:multiLevelType w:val="hybridMultilevel"/>
    <w:tmpl w:val="043A8D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2F338AB"/>
    <w:multiLevelType w:val="hybridMultilevel"/>
    <w:tmpl w:val="921A7CC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EB3626C"/>
    <w:multiLevelType w:val="hybridMultilevel"/>
    <w:tmpl w:val="3230A1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cs="Times New Roman" w:hint="default"/>
      </w:rPr>
    </w:lvl>
    <w:lvl w:ilvl="1" w:tplc="F274138A">
      <w:start w:val="3087"/>
      <w:numFmt w:val="bullet"/>
      <w:lvlText w:val="–"/>
      <w:lvlJc w:val="left"/>
      <w:pPr>
        <w:tabs>
          <w:tab w:val="num" w:pos="1440"/>
        </w:tabs>
        <w:ind w:left="1440" w:hanging="360"/>
      </w:pPr>
      <w:rPr>
        <w:rFonts w:ascii="Arial" w:hAnsi="Arial" w:cs="Times New Roman" w:hint="default"/>
      </w:rPr>
    </w:lvl>
    <w:lvl w:ilvl="2" w:tplc="05447AA8">
      <w:start w:val="1"/>
      <w:numFmt w:val="bullet"/>
      <w:lvlText w:val="•"/>
      <w:lvlJc w:val="left"/>
      <w:pPr>
        <w:tabs>
          <w:tab w:val="num" w:pos="2160"/>
        </w:tabs>
        <w:ind w:left="2160" w:hanging="360"/>
      </w:pPr>
      <w:rPr>
        <w:rFonts w:ascii="Arial" w:hAnsi="Arial" w:cs="Times New Roman" w:hint="default"/>
      </w:rPr>
    </w:lvl>
    <w:lvl w:ilvl="3" w:tplc="0E901110">
      <w:start w:val="1"/>
      <w:numFmt w:val="bullet"/>
      <w:lvlText w:val="•"/>
      <w:lvlJc w:val="left"/>
      <w:pPr>
        <w:tabs>
          <w:tab w:val="num" w:pos="2880"/>
        </w:tabs>
        <w:ind w:left="2880" w:hanging="360"/>
      </w:pPr>
      <w:rPr>
        <w:rFonts w:ascii="Arial" w:hAnsi="Arial" w:cs="Times New Roman" w:hint="default"/>
      </w:rPr>
    </w:lvl>
    <w:lvl w:ilvl="4" w:tplc="FA007A14">
      <w:start w:val="1"/>
      <w:numFmt w:val="bullet"/>
      <w:lvlText w:val="•"/>
      <w:lvlJc w:val="left"/>
      <w:pPr>
        <w:tabs>
          <w:tab w:val="num" w:pos="3600"/>
        </w:tabs>
        <w:ind w:left="3600" w:hanging="360"/>
      </w:pPr>
      <w:rPr>
        <w:rFonts w:ascii="Arial" w:hAnsi="Arial" w:cs="Times New Roman" w:hint="default"/>
      </w:rPr>
    </w:lvl>
    <w:lvl w:ilvl="5" w:tplc="D3B8B124">
      <w:start w:val="1"/>
      <w:numFmt w:val="bullet"/>
      <w:lvlText w:val="•"/>
      <w:lvlJc w:val="left"/>
      <w:pPr>
        <w:tabs>
          <w:tab w:val="num" w:pos="4320"/>
        </w:tabs>
        <w:ind w:left="4320" w:hanging="360"/>
      </w:pPr>
      <w:rPr>
        <w:rFonts w:ascii="Arial" w:hAnsi="Arial" w:cs="Times New Roman" w:hint="default"/>
      </w:rPr>
    </w:lvl>
    <w:lvl w:ilvl="6" w:tplc="346EE9CC">
      <w:start w:val="1"/>
      <w:numFmt w:val="bullet"/>
      <w:lvlText w:val="•"/>
      <w:lvlJc w:val="left"/>
      <w:pPr>
        <w:tabs>
          <w:tab w:val="num" w:pos="5040"/>
        </w:tabs>
        <w:ind w:left="5040" w:hanging="360"/>
      </w:pPr>
      <w:rPr>
        <w:rFonts w:ascii="Arial" w:hAnsi="Arial" w:cs="Times New Roman" w:hint="default"/>
      </w:rPr>
    </w:lvl>
    <w:lvl w:ilvl="7" w:tplc="F498259E">
      <w:start w:val="1"/>
      <w:numFmt w:val="bullet"/>
      <w:lvlText w:val="•"/>
      <w:lvlJc w:val="left"/>
      <w:pPr>
        <w:tabs>
          <w:tab w:val="num" w:pos="5760"/>
        </w:tabs>
        <w:ind w:left="5760" w:hanging="360"/>
      </w:pPr>
      <w:rPr>
        <w:rFonts w:ascii="Arial" w:hAnsi="Arial" w:cs="Times New Roman" w:hint="default"/>
      </w:rPr>
    </w:lvl>
    <w:lvl w:ilvl="8" w:tplc="7070F9F6">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79F033B"/>
    <w:multiLevelType w:val="hybridMultilevel"/>
    <w:tmpl w:val="1F5EA0F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3280626"/>
    <w:multiLevelType w:val="hybridMultilevel"/>
    <w:tmpl w:val="0144EDD2"/>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71D5DBD"/>
    <w:multiLevelType w:val="hybridMultilevel"/>
    <w:tmpl w:val="F03265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F7003C"/>
    <w:multiLevelType w:val="hybridMultilevel"/>
    <w:tmpl w:val="67162A2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6046BA"/>
    <w:multiLevelType w:val="hybridMultilevel"/>
    <w:tmpl w:val="426202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6"/>
  </w:num>
  <w:num w:numId="3">
    <w:abstractNumId w:val="18"/>
  </w:num>
  <w:num w:numId="4">
    <w:abstractNumId w:val="9"/>
  </w:num>
  <w:num w:numId="5">
    <w:abstractNumId w:val="31"/>
  </w:num>
  <w:num w:numId="6">
    <w:abstractNumId w:val="24"/>
  </w:num>
  <w:num w:numId="7">
    <w:abstractNumId w:val="11"/>
  </w:num>
  <w:num w:numId="8">
    <w:abstractNumId w:val="30"/>
  </w:num>
  <w:num w:numId="9">
    <w:abstractNumId w:val="17"/>
  </w:num>
  <w:num w:numId="10">
    <w:abstractNumId w:val="12"/>
  </w:num>
  <w:num w:numId="11">
    <w:abstractNumId w:val="7"/>
  </w:num>
  <w:num w:numId="12">
    <w:abstractNumId w:val="32"/>
  </w:num>
  <w:num w:numId="13">
    <w:abstractNumId w:val="15"/>
  </w:num>
  <w:num w:numId="14">
    <w:abstractNumId w:val="5"/>
  </w:num>
  <w:num w:numId="15">
    <w:abstractNumId w:val="2"/>
  </w:num>
  <w:num w:numId="16">
    <w:abstractNumId w:val="14"/>
  </w:num>
  <w:num w:numId="17">
    <w:abstractNumId w:val="4"/>
  </w:num>
  <w:num w:numId="18">
    <w:abstractNumId w:val="6"/>
  </w:num>
  <w:num w:numId="19">
    <w:abstractNumId w:val="27"/>
  </w:num>
  <w:num w:numId="20">
    <w:abstractNumId w:val="20"/>
  </w:num>
  <w:num w:numId="21">
    <w:abstractNumId w:val="8"/>
  </w:num>
  <w:num w:numId="22">
    <w:abstractNumId w:val="25"/>
  </w:num>
  <w:num w:numId="23">
    <w:abstractNumId w:val="16"/>
  </w:num>
  <w:num w:numId="24">
    <w:abstractNumId w:val="28"/>
  </w:num>
  <w:num w:numId="25">
    <w:abstractNumId w:val="13"/>
  </w:num>
  <w:num w:numId="26">
    <w:abstractNumId w:val="21"/>
  </w:num>
  <w:num w:numId="27">
    <w:abstractNumId w:val="22"/>
  </w:num>
  <w:num w:numId="28">
    <w:abstractNumId w:val="1"/>
  </w:num>
  <w:num w:numId="29">
    <w:abstractNumId w:val="19"/>
  </w:num>
  <w:num w:numId="30">
    <w:abstractNumId w:val="23"/>
  </w:num>
  <w:num w:numId="31">
    <w:abstractNumId w:val="29"/>
  </w:num>
  <w:num w:numId="32">
    <w:abstractNumId w:val="3"/>
  </w:num>
  <w:num w:numId="33">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9F8"/>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3D"/>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1D01"/>
    <w:rsid w:val="00022E12"/>
    <w:rsid w:val="000233B7"/>
    <w:rsid w:val="00024132"/>
    <w:rsid w:val="000243FB"/>
    <w:rsid w:val="00024474"/>
    <w:rsid w:val="0002447B"/>
    <w:rsid w:val="0002512A"/>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26"/>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510"/>
    <w:rsid w:val="00052BE7"/>
    <w:rsid w:val="00052D2F"/>
    <w:rsid w:val="00052F1A"/>
    <w:rsid w:val="00053052"/>
    <w:rsid w:val="00053095"/>
    <w:rsid w:val="0005380A"/>
    <w:rsid w:val="00053AB7"/>
    <w:rsid w:val="00054622"/>
    <w:rsid w:val="00054CED"/>
    <w:rsid w:val="00055087"/>
    <w:rsid w:val="000550B8"/>
    <w:rsid w:val="000553DE"/>
    <w:rsid w:val="00055F29"/>
    <w:rsid w:val="0005638C"/>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5C"/>
    <w:rsid w:val="000616EA"/>
    <w:rsid w:val="00062229"/>
    <w:rsid w:val="00062E39"/>
    <w:rsid w:val="00062E9D"/>
    <w:rsid w:val="00063776"/>
    <w:rsid w:val="00063798"/>
    <w:rsid w:val="00063894"/>
    <w:rsid w:val="00063997"/>
    <w:rsid w:val="00063DC3"/>
    <w:rsid w:val="00065379"/>
    <w:rsid w:val="00065E11"/>
    <w:rsid w:val="0006602B"/>
    <w:rsid w:val="000661AE"/>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C7C"/>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C1"/>
    <w:rsid w:val="000A07F6"/>
    <w:rsid w:val="000A0907"/>
    <w:rsid w:val="000A0C1E"/>
    <w:rsid w:val="000A0C59"/>
    <w:rsid w:val="000A0D90"/>
    <w:rsid w:val="000A0F1E"/>
    <w:rsid w:val="000A101B"/>
    <w:rsid w:val="000A104D"/>
    <w:rsid w:val="000A15CA"/>
    <w:rsid w:val="000A1AA0"/>
    <w:rsid w:val="000A1F07"/>
    <w:rsid w:val="000A1FAE"/>
    <w:rsid w:val="000A21BE"/>
    <w:rsid w:val="000A22AF"/>
    <w:rsid w:val="000A2306"/>
    <w:rsid w:val="000A2589"/>
    <w:rsid w:val="000A2919"/>
    <w:rsid w:val="000A2C89"/>
    <w:rsid w:val="000A2E47"/>
    <w:rsid w:val="000A35A9"/>
    <w:rsid w:val="000A3672"/>
    <w:rsid w:val="000A3C38"/>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0C33"/>
    <w:rsid w:val="000B0EBF"/>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04C"/>
    <w:rsid w:val="000B75F8"/>
    <w:rsid w:val="000B7F6F"/>
    <w:rsid w:val="000C0010"/>
    <w:rsid w:val="000C01E9"/>
    <w:rsid w:val="000C0B19"/>
    <w:rsid w:val="000C0C09"/>
    <w:rsid w:val="000C0F4D"/>
    <w:rsid w:val="000C1349"/>
    <w:rsid w:val="000C2058"/>
    <w:rsid w:val="000C21A2"/>
    <w:rsid w:val="000C259D"/>
    <w:rsid w:val="000C2AE4"/>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04E"/>
    <w:rsid w:val="000C664F"/>
    <w:rsid w:val="000C6981"/>
    <w:rsid w:val="000C735F"/>
    <w:rsid w:val="000C74A1"/>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08"/>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04B"/>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6E63"/>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5B0"/>
    <w:rsid w:val="00113B73"/>
    <w:rsid w:val="00113CA5"/>
    <w:rsid w:val="00114F13"/>
    <w:rsid w:val="001152D7"/>
    <w:rsid w:val="001153FA"/>
    <w:rsid w:val="00115471"/>
    <w:rsid w:val="00115854"/>
    <w:rsid w:val="001160A6"/>
    <w:rsid w:val="0011618B"/>
    <w:rsid w:val="0011674F"/>
    <w:rsid w:val="00116848"/>
    <w:rsid w:val="00116FA1"/>
    <w:rsid w:val="00117007"/>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1C5"/>
    <w:rsid w:val="00142540"/>
    <w:rsid w:val="00142757"/>
    <w:rsid w:val="00142D40"/>
    <w:rsid w:val="00142E78"/>
    <w:rsid w:val="001433A1"/>
    <w:rsid w:val="00143DBE"/>
    <w:rsid w:val="00144294"/>
    <w:rsid w:val="0014491B"/>
    <w:rsid w:val="00144EE2"/>
    <w:rsid w:val="0014501E"/>
    <w:rsid w:val="00145072"/>
    <w:rsid w:val="001450AD"/>
    <w:rsid w:val="00145375"/>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A93"/>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B32"/>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01"/>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41A"/>
    <w:rsid w:val="001965F0"/>
    <w:rsid w:val="00196D02"/>
    <w:rsid w:val="00196F1E"/>
    <w:rsid w:val="0019703A"/>
    <w:rsid w:val="0019736B"/>
    <w:rsid w:val="0019782D"/>
    <w:rsid w:val="00197BA5"/>
    <w:rsid w:val="00197DF9"/>
    <w:rsid w:val="00197E3A"/>
    <w:rsid w:val="00197F89"/>
    <w:rsid w:val="001A01FA"/>
    <w:rsid w:val="001A0223"/>
    <w:rsid w:val="001A0419"/>
    <w:rsid w:val="001A0732"/>
    <w:rsid w:val="001A0AA2"/>
    <w:rsid w:val="001A0B59"/>
    <w:rsid w:val="001A0D10"/>
    <w:rsid w:val="001A0F54"/>
    <w:rsid w:val="001A130B"/>
    <w:rsid w:val="001A19DB"/>
    <w:rsid w:val="001A204D"/>
    <w:rsid w:val="001A2590"/>
    <w:rsid w:val="001A2C68"/>
    <w:rsid w:val="001A2DE5"/>
    <w:rsid w:val="001A2F38"/>
    <w:rsid w:val="001A311E"/>
    <w:rsid w:val="001A386A"/>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676"/>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788"/>
    <w:rsid w:val="001C68C7"/>
    <w:rsid w:val="001C6F5A"/>
    <w:rsid w:val="001D02E1"/>
    <w:rsid w:val="001D135C"/>
    <w:rsid w:val="001D1A10"/>
    <w:rsid w:val="001D1B2D"/>
    <w:rsid w:val="001D1B4D"/>
    <w:rsid w:val="001D1D55"/>
    <w:rsid w:val="001D25DC"/>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03E"/>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7B"/>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1447"/>
    <w:rsid w:val="0022207C"/>
    <w:rsid w:val="00222A2D"/>
    <w:rsid w:val="00224402"/>
    <w:rsid w:val="002246AC"/>
    <w:rsid w:val="00224907"/>
    <w:rsid w:val="00226144"/>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157"/>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729"/>
    <w:rsid w:val="00252CB0"/>
    <w:rsid w:val="0025307B"/>
    <w:rsid w:val="0025354B"/>
    <w:rsid w:val="002536B4"/>
    <w:rsid w:val="0025376B"/>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AEB"/>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1D0"/>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815"/>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6FB"/>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7FA"/>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21"/>
    <w:rsid w:val="00305DF2"/>
    <w:rsid w:val="003072BE"/>
    <w:rsid w:val="003073D5"/>
    <w:rsid w:val="003075B3"/>
    <w:rsid w:val="00307BCE"/>
    <w:rsid w:val="00310CB5"/>
    <w:rsid w:val="0031179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6A1E"/>
    <w:rsid w:val="00337209"/>
    <w:rsid w:val="003372D4"/>
    <w:rsid w:val="00337408"/>
    <w:rsid w:val="00337549"/>
    <w:rsid w:val="003378FA"/>
    <w:rsid w:val="00337B00"/>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8D6"/>
    <w:rsid w:val="00351FD6"/>
    <w:rsid w:val="0035203D"/>
    <w:rsid w:val="0035277E"/>
    <w:rsid w:val="00352B55"/>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0CB1"/>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DD9"/>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4E42"/>
    <w:rsid w:val="003A5FEA"/>
    <w:rsid w:val="003A6356"/>
    <w:rsid w:val="003A674A"/>
    <w:rsid w:val="003A6E40"/>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5F5E"/>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173"/>
    <w:rsid w:val="003D6955"/>
    <w:rsid w:val="003D6C68"/>
    <w:rsid w:val="003D715F"/>
    <w:rsid w:val="003D72C8"/>
    <w:rsid w:val="003D74D6"/>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90B"/>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8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8BD"/>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5DD"/>
    <w:rsid w:val="00416908"/>
    <w:rsid w:val="0041733C"/>
    <w:rsid w:val="004173AB"/>
    <w:rsid w:val="004173DE"/>
    <w:rsid w:val="004177A2"/>
    <w:rsid w:val="004178C1"/>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55D"/>
    <w:rsid w:val="00464642"/>
    <w:rsid w:val="004647FC"/>
    <w:rsid w:val="0046482C"/>
    <w:rsid w:val="00464D57"/>
    <w:rsid w:val="00464FAA"/>
    <w:rsid w:val="00465969"/>
    <w:rsid w:val="00465F0A"/>
    <w:rsid w:val="00466786"/>
    <w:rsid w:val="00466D87"/>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BA"/>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5C2"/>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6C"/>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065"/>
    <w:rsid w:val="004A74F2"/>
    <w:rsid w:val="004A75AB"/>
    <w:rsid w:val="004A76FF"/>
    <w:rsid w:val="004A792D"/>
    <w:rsid w:val="004A7C9F"/>
    <w:rsid w:val="004B017C"/>
    <w:rsid w:val="004B0294"/>
    <w:rsid w:val="004B082D"/>
    <w:rsid w:val="004B100A"/>
    <w:rsid w:val="004B1770"/>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267"/>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05C"/>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2F4D"/>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E2F"/>
    <w:rsid w:val="00523E60"/>
    <w:rsid w:val="005240BC"/>
    <w:rsid w:val="0052485C"/>
    <w:rsid w:val="00524CC4"/>
    <w:rsid w:val="00524D60"/>
    <w:rsid w:val="00524F06"/>
    <w:rsid w:val="005253B3"/>
    <w:rsid w:val="00525FC2"/>
    <w:rsid w:val="00526C12"/>
    <w:rsid w:val="00526ED7"/>
    <w:rsid w:val="00526FCF"/>
    <w:rsid w:val="00527079"/>
    <w:rsid w:val="0052718A"/>
    <w:rsid w:val="00527194"/>
    <w:rsid w:val="005272A2"/>
    <w:rsid w:val="00527B3D"/>
    <w:rsid w:val="00527F83"/>
    <w:rsid w:val="00530125"/>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2F0B"/>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6E6"/>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4B9"/>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43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AF1"/>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56D"/>
    <w:rsid w:val="005F07DA"/>
    <w:rsid w:val="005F13DA"/>
    <w:rsid w:val="005F1A0E"/>
    <w:rsid w:val="005F1E27"/>
    <w:rsid w:val="005F2033"/>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554F"/>
    <w:rsid w:val="00636464"/>
    <w:rsid w:val="006364C7"/>
    <w:rsid w:val="00636A27"/>
    <w:rsid w:val="006372B6"/>
    <w:rsid w:val="006374A1"/>
    <w:rsid w:val="00637669"/>
    <w:rsid w:val="006377C8"/>
    <w:rsid w:val="00640AF2"/>
    <w:rsid w:val="0064111F"/>
    <w:rsid w:val="00641865"/>
    <w:rsid w:val="0064195D"/>
    <w:rsid w:val="00641A1E"/>
    <w:rsid w:val="00641BA5"/>
    <w:rsid w:val="00641D0C"/>
    <w:rsid w:val="0064233B"/>
    <w:rsid w:val="006426AB"/>
    <w:rsid w:val="0064276D"/>
    <w:rsid w:val="006428AF"/>
    <w:rsid w:val="0064297A"/>
    <w:rsid w:val="00642996"/>
    <w:rsid w:val="006429CC"/>
    <w:rsid w:val="006431F8"/>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BE6"/>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1D7"/>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79"/>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37"/>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977"/>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A00"/>
    <w:rsid w:val="006D2C32"/>
    <w:rsid w:val="006D3C6D"/>
    <w:rsid w:val="006D3FCB"/>
    <w:rsid w:val="006D434B"/>
    <w:rsid w:val="006D461B"/>
    <w:rsid w:val="006D4CA5"/>
    <w:rsid w:val="006D5412"/>
    <w:rsid w:val="006D5547"/>
    <w:rsid w:val="006D566C"/>
    <w:rsid w:val="006D605B"/>
    <w:rsid w:val="006D61C5"/>
    <w:rsid w:val="006D62C5"/>
    <w:rsid w:val="006D6863"/>
    <w:rsid w:val="006D70A5"/>
    <w:rsid w:val="006D7655"/>
    <w:rsid w:val="006D7969"/>
    <w:rsid w:val="006D7C0B"/>
    <w:rsid w:val="006D7D98"/>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2E94"/>
    <w:rsid w:val="0071329E"/>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41A"/>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4E6"/>
    <w:rsid w:val="00753562"/>
    <w:rsid w:val="007537BE"/>
    <w:rsid w:val="0075427B"/>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6C9B"/>
    <w:rsid w:val="007774CF"/>
    <w:rsid w:val="007776B9"/>
    <w:rsid w:val="00777A0F"/>
    <w:rsid w:val="00780445"/>
    <w:rsid w:val="007804E7"/>
    <w:rsid w:val="007808AB"/>
    <w:rsid w:val="00780B79"/>
    <w:rsid w:val="00781116"/>
    <w:rsid w:val="00781631"/>
    <w:rsid w:val="007816E7"/>
    <w:rsid w:val="00781703"/>
    <w:rsid w:val="00781988"/>
    <w:rsid w:val="00781ADE"/>
    <w:rsid w:val="0078225A"/>
    <w:rsid w:val="00782CD7"/>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5C8"/>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0D2D"/>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6EA"/>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1EA"/>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7F"/>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085"/>
    <w:rsid w:val="008043FC"/>
    <w:rsid w:val="00804A63"/>
    <w:rsid w:val="00804DCC"/>
    <w:rsid w:val="00804E53"/>
    <w:rsid w:val="00805661"/>
    <w:rsid w:val="00805700"/>
    <w:rsid w:val="008057FE"/>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EDF"/>
    <w:rsid w:val="00820FD7"/>
    <w:rsid w:val="0082100A"/>
    <w:rsid w:val="008212E4"/>
    <w:rsid w:val="0082225B"/>
    <w:rsid w:val="008227E2"/>
    <w:rsid w:val="00822961"/>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78A"/>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6FB1"/>
    <w:rsid w:val="008870AF"/>
    <w:rsid w:val="00887251"/>
    <w:rsid w:val="008872BD"/>
    <w:rsid w:val="008872C9"/>
    <w:rsid w:val="00887F51"/>
    <w:rsid w:val="008900CB"/>
    <w:rsid w:val="008906F0"/>
    <w:rsid w:val="00891026"/>
    <w:rsid w:val="008911D5"/>
    <w:rsid w:val="00891234"/>
    <w:rsid w:val="008912D7"/>
    <w:rsid w:val="00891B2F"/>
    <w:rsid w:val="008922CC"/>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337"/>
    <w:rsid w:val="008A046C"/>
    <w:rsid w:val="008A05B6"/>
    <w:rsid w:val="008A06A7"/>
    <w:rsid w:val="008A0EB2"/>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3216"/>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1750"/>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3D1"/>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343"/>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2F8"/>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89"/>
    <w:rsid w:val="009178C8"/>
    <w:rsid w:val="009202B7"/>
    <w:rsid w:val="00920527"/>
    <w:rsid w:val="009205B2"/>
    <w:rsid w:val="0092126F"/>
    <w:rsid w:val="009214FF"/>
    <w:rsid w:val="00921D3C"/>
    <w:rsid w:val="009220B7"/>
    <w:rsid w:val="0092261D"/>
    <w:rsid w:val="009226A4"/>
    <w:rsid w:val="00922876"/>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D2D"/>
    <w:rsid w:val="009403BD"/>
    <w:rsid w:val="00940CA3"/>
    <w:rsid w:val="00940D71"/>
    <w:rsid w:val="00940DC6"/>
    <w:rsid w:val="00941159"/>
    <w:rsid w:val="009411A4"/>
    <w:rsid w:val="00941687"/>
    <w:rsid w:val="00941C23"/>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194"/>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99"/>
    <w:rsid w:val="009660D4"/>
    <w:rsid w:val="009662CF"/>
    <w:rsid w:val="009666B3"/>
    <w:rsid w:val="00966B1C"/>
    <w:rsid w:val="009671DE"/>
    <w:rsid w:val="009673CD"/>
    <w:rsid w:val="009675A2"/>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620"/>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82B"/>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4D87"/>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9F9"/>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6BC5"/>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638"/>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8DA"/>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3506"/>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08"/>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86A"/>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5B42"/>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B3"/>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0BD"/>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4E0"/>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44BA"/>
    <w:rsid w:val="00AC563B"/>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E00"/>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0F48"/>
    <w:rsid w:val="00B01057"/>
    <w:rsid w:val="00B0161F"/>
    <w:rsid w:val="00B017FB"/>
    <w:rsid w:val="00B01854"/>
    <w:rsid w:val="00B01DCB"/>
    <w:rsid w:val="00B023A9"/>
    <w:rsid w:val="00B0270D"/>
    <w:rsid w:val="00B02CF5"/>
    <w:rsid w:val="00B02DA1"/>
    <w:rsid w:val="00B03233"/>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5CB"/>
    <w:rsid w:val="00B17939"/>
    <w:rsid w:val="00B17A34"/>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6F9A"/>
    <w:rsid w:val="00B276AD"/>
    <w:rsid w:val="00B276C8"/>
    <w:rsid w:val="00B2771B"/>
    <w:rsid w:val="00B277F6"/>
    <w:rsid w:val="00B2782F"/>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0F7"/>
    <w:rsid w:val="00B362BB"/>
    <w:rsid w:val="00B36586"/>
    <w:rsid w:val="00B372E7"/>
    <w:rsid w:val="00B37878"/>
    <w:rsid w:val="00B37CC1"/>
    <w:rsid w:val="00B37E64"/>
    <w:rsid w:val="00B40A5C"/>
    <w:rsid w:val="00B40F2C"/>
    <w:rsid w:val="00B41A0C"/>
    <w:rsid w:val="00B425FB"/>
    <w:rsid w:val="00B42E75"/>
    <w:rsid w:val="00B43088"/>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1C7"/>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5E5C"/>
    <w:rsid w:val="00B664A4"/>
    <w:rsid w:val="00B66861"/>
    <w:rsid w:val="00B66BE7"/>
    <w:rsid w:val="00B66D92"/>
    <w:rsid w:val="00B677AD"/>
    <w:rsid w:val="00B67F4A"/>
    <w:rsid w:val="00B7023A"/>
    <w:rsid w:val="00B70E53"/>
    <w:rsid w:val="00B71DC2"/>
    <w:rsid w:val="00B71E8C"/>
    <w:rsid w:val="00B72388"/>
    <w:rsid w:val="00B723FB"/>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4745"/>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AEF"/>
    <w:rsid w:val="00B93BFE"/>
    <w:rsid w:val="00B94228"/>
    <w:rsid w:val="00B9432A"/>
    <w:rsid w:val="00B94376"/>
    <w:rsid w:val="00B947D0"/>
    <w:rsid w:val="00B94EFA"/>
    <w:rsid w:val="00B950B5"/>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5C04"/>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182B"/>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4BD3"/>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197"/>
    <w:rsid w:val="00C304EB"/>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4EEF"/>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518"/>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1ED9"/>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A2B"/>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565"/>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2BA"/>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90D"/>
    <w:rsid w:val="00D10B2A"/>
    <w:rsid w:val="00D11104"/>
    <w:rsid w:val="00D11843"/>
    <w:rsid w:val="00D120BA"/>
    <w:rsid w:val="00D129DB"/>
    <w:rsid w:val="00D12E23"/>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203"/>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188"/>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3AF"/>
    <w:rsid w:val="00D56E4E"/>
    <w:rsid w:val="00D56F0A"/>
    <w:rsid w:val="00D57220"/>
    <w:rsid w:val="00D57B90"/>
    <w:rsid w:val="00D57DC7"/>
    <w:rsid w:val="00D60263"/>
    <w:rsid w:val="00D603B8"/>
    <w:rsid w:val="00D60C2D"/>
    <w:rsid w:val="00D60CA9"/>
    <w:rsid w:val="00D60FAC"/>
    <w:rsid w:val="00D6120F"/>
    <w:rsid w:val="00D613BE"/>
    <w:rsid w:val="00D61926"/>
    <w:rsid w:val="00D622F0"/>
    <w:rsid w:val="00D6280E"/>
    <w:rsid w:val="00D62DDC"/>
    <w:rsid w:val="00D62DFB"/>
    <w:rsid w:val="00D62E23"/>
    <w:rsid w:val="00D631AF"/>
    <w:rsid w:val="00D63595"/>
    <w:rsid w:val="00D636B0"/>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58E"/>
    <w:rsid w:val="00D70F1B"/>
    <w:rsid w:val="00D713CE"/>
    <w:rsid w:val="00D71407"/>
    <w:rsid w:val="00D71573"/>
    <w:rsid w:val="00D71778"/>
    <w:rsid w:val="00D71BAA"/>
    <w:rsid w:val="00D71E12"/>
    <w:rsid w:val="00D721D0"/>
    <w:rsid w:val="00D72522"/>
    <w:rsid w:val="00D726E9"/>
    <w:rsid w:val="00D72D0E"/>
    <w:rsid w:val="00D72EA2"/>
    <w:rsid w:val="00D73559"/>
    <w:rsid w:val="00D73891"/>
    <w:rsid w:val="00D73AD9"/>
    <w:rsid w:val="00D73E4C"/>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791"/>
    <w:rsid w:val="00D85CA1"/>
    <w:rsid w:val="00D860E1"/>
    <w:rsid w:val="00D86390"/>
    <w:rsid w:val="00D867C3"/>
    <w:rsid w:val="00D86911"/>
    <w:rsid w:val="00D86924"/>
    <w:rsid w:val="00D86D10"/>
    <w:rsid w:val="00D87183"/>
    <w:rsid w:val="00D87ADD"/>
    <w:rsid w:val="00D9093F"/>
    <w:rsid w:val="00D90D87"/>
    <w:rsid w:val="00D90E06"/>
    <w:rsid w:val="00D91097"/>
    <w:rsid w:val="00D918F2"/>
    <w:rsid w:val="00D92069"/>
    <w:rsid w:val="00D9208B"/>
    <w:rsid w:val="00D92213"/>
    <w:rsid w:val="00D92460"/>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2F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66"/>
    <w:rsid w:val="00DF1189"/>
    <w:rsid w:val="00DF125B"/>
    <w:rsid w:val="00DF1D4C"/>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308"/>
    <w:rsid w:val="00DF768E"/>
    <w:rsid w:val="00DF794B"/>
    <w:rsid w:val="00DF7AB8"/>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70"/>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D8"/>
    <w:rsid w:val="00E139F6"/>
    <w:rsid w:val="00E13D0F"/>
    <w:rsid w:val="00E13D7D"/>
    <w:rsid w:val="00E13DA2"/>
    <w:rsid w:val="00E1419B"/>
    <w:rsid w:val="00E144B4"/>
    <w:rsid w:val="00E146D5"/>
    <w:rsid w:val="00E1490E"/>
    <w:rsid w:val="00E149B4"/>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89A"/>
    <w:rsid w:val="00E17AC3"/>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3E62"/>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0F56"/>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EA3"/>
    <w:rsid w:val="00E56F01"/>
    <w:rsid w:val="00E5776B"/>
    <w:rsid w:val="00E57EE5"/>
    <w:rsid w:val="00E603F7"/>
    <w:rsid w:val="00E60889"/>
    <w:rsid w:val="00E6097B"/>
    <w:rsid w:val="00E609E0"/>
    <w:rsid w:val="00E60A77"/>
    <w:rsid w:val="00E60C1A"/>
    <w:rsid w:val="00E612C6"/>
    <w:rsid w:val="00E61EF5"/>
    <w:rsid w:val="00E61F27"/>
    <w:rsid w:val="00E62497"/>
    <w:rsid w:val="00E62C01"/>
    <w:rsid w:val="00E633F3"/>
    <w:rsid w:val="00E63526"/>
    <w:rsid w:val="00E63685"/>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3FF"/>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06"/>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0D65"/>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7E4"/>
    <w:rsid w:val="00EA0923"/>
    <w:rsid w:val="00EA0A6D"/>
    <w:rsid w:val="00EA1661"/>
    <w:rsid w:val="00EA1931"/>
    <w:rsid w:val="00EA22A9"/>
    <w:rsid w:val="00EA32DA"/>
    <w:rsid w:val="00EA3443"/>
    <w:rsid w:val="00EA3A7C"/>
    <w:rsid w:val="00EA3D31"/>
    <w:rsid w:val="00EA3D4A"/>
    <w:rsid w:val="00EA3E61"/>
    <w:rsid w:val="00EA3EFA"/>
    <w:rsid w:val="00EA3FCE"/>
    <w:rsid w:val="00EA4224"/>
    <w:rsid w:val="00EA4290"/>
    <w:rsid w:val="00EA42E6"/>
    <w:rsid w:val="00EA4361"/>
    <w:rsid w:val="00EA443D"/>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5CDD"/>
    <w:rsid w:val="00EB6245"/>
    <w:rsid w:val="00EB62E4"/>
    <w:rsid w:val="00EB630F"/>
    <w:rsid w:val="00EB64DE"/>
    <w:rsid w:val="00EB7021"/>
    <w:rsid w:val="00EB724B"/>
    <w:rsid w:val="00EB7300"/>
    <w:rsid w:val="00EB7576"/>
    <w:rsid w:val="00EB782F"/>
    <w:rsid w:val="00EC0004"/>
    <w:rsid w:val="00EC052E"/>
    <w:rsid w:val="00EC0FC6"/>
    <w:rsid w:val="00EC110F"/>
    <w:rsid w:val="00EC13C3"/>
    <w:rsid w:val="00EC17BA"/>
    <w:rsid w:val="00EC1827"/>
    <w:rsid w:val="00EC1C35"/>
    <w:rsid w:val="00EC1C39"/>
    <w:rsid w:val="00EC208E"/>
    <w:rsid w:val="00EC2575"/>
    <w:rsid w:val="00EC28A0"/>
    <w:rsid w:val="00EC339C"/>
    <w:rsid w:val="00EC3413"/>
    <w:rsid w:val="00EC3517"/>
    <w:rsid w:val="00EC3AA3"/>
    <w:rsid w:val="00EC3B3B"/>
    <w:rsid w:val="00EC4821"/>
    <w:rsid w:val="00EC48E0"/>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9F9"/>
    <w:rsid w:val="00EE3B4C"/>
    <w:rsid w:val="00EE3B88"/>
    <w:rsid w:val="00EE44D1"/>
    <w:rsid w:val="00EE4680"/>
    <w:rsid w:val="00EE48F7"/>
    <w:rsid w:val="00EE5262"/>
    <w:rsid w:val="00EE5A37"/>
    <w:rsid w:val="00EE624E"/>
    <w:rsid w:val="00EE62A1"/>
    <w:rsid w:val="00EE6825"/>
    <w:rsid w:val="00EE69C6"/>
    <w:rsid w:val="00EE6A6C"/>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EAE"/>
    <w:rsid w:val="00F04FFD"/>
    <w:rsid w:val="00F0519C"/>
    <w:rsid w:val="00F0536B"/>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0DF"/>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5122"/>
    <w:rsid w:val="00F25E2C"/>
    <w:rsid w:val="00F26A74"/>
    <w:rsid w:val="00F26CDD"/>
    <w:rsid w:val="00F277EA"/>
    <w:rsid w:val="00F27D03"/>
    <w:rsid w:val="00F30A80"/>
    <w:rsid w:val="00F30B13"/>
    <w:rsid w:val="00F30B52"/>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8D4"/>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4BF"/>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0B"/>
    <w:rsid w:val="00F634C2"/>
    <w:rsid w:val="00F635E0"/>
    <w:rsid w:val="00F650D0"/>
    <w:rsid w:val="00F65A4C"/>
    <w:rsid w:val="00F65C72"/>
    <w:rsid w:val="00F66268"/>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1FF3"/>
    <w:rsid w:val="00F8232A"/>
    <w:rsid w:val="00F82487"/>
    <w:rsid w:val="00F82626"/>
    <w:rsid w:val="00F82959"/>
    <w:rsid w:val="00F82B8E"/>
    <w:rsid w:val="00F82B9C"/>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765"/>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369"/>
    <w:rsid w:val="00FB1438"/>
    <w:rsid w:val="00FB1CEC"/>
    <w:rsid w:val="00FB1DC2"/>
    <w:rsid w:val="00FB238D"/>
    <w:rsid w:val="00FB2CF4"/>
    <w:rsid w:val="00FB3553"/>
    <w:rsid w:val="00FB3907"/>
    <w:rsid w:val="00FB3923"/>
    <w:rsid w:val="00FB3FAA"/>
    <w:rsid w:val="00FB44AD"/>
    <w:rsid w:val="00FB566E"/>
    <w:rsid w:val="00FB57C3"/>
    <w:rsid w:val="00FB5A04"/>
    <w:rsid w:val="00FB5E2A"/>
    <w:rsid w:val="00FB6878"/>
    <w:rsid w:val="00FB698D"/>
    <w:rsid w:val="00FB6D69"/>
    <w:rsid w:val="00FB706D"/>
    <w:rsid w:val="00FB71FF"/>
    <w:rsid w:val="00FB728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68E"/>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1661EC39-9077-4EA8-904F-27C2C1D8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rsid w:val="001D25DC"/>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7152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483199219">
      <w:bodyDiv w:val="1"/>
      <w:marLeft w:val="0"/>
      <w:marRight w:val="0"/>
      <w:marTop w:val="0"/>
      <w:marBottom w:val="0"/>
      <w:divBdr>
        <w:top w:val="none" w:sz="0" w:space="0" w:color="auto"/>
        <w:left w:val="none" w:sz="0" w:space="0" w:color="auto"/>
        <w:bottom w:val="none" w:sz="0" w:space="0" w:color="auto"/>
        <w:right w:val="none" w:sz="0" w:space="0" w:color="auto"/>
      </w:divBdr>
    </w:div>
    <w:div w:id="494149435">
      <w:bodyDiv w:val="1"/>
      <w:marLeft w:val="0"/>
      <w:marRight w:val="0"/>
      <w:marTop w:val="0"/>
      <w:marBottom w:val="0"/>
      <w:divBdr>
        <w:top w:val="none" w:sz="0" w:space="0" w:color="auto"/>
        <w:left w:val="none" w:sz="0" w:space="0" w:color="auto"/>
        <w:bottom w:val="none" w:sz="0" w:space="0" w:color="auto"/>
        <w:right w:val="none" w:sz="0" w:space="0" w:color="auto"/>
      </w:divBdr>
      <w:divsChild>
        <w:div w:id="1494761559">
          <w:marLeft w:val="878"/>
          <w:marRight w:val="0"/>
          <w:marTop w:val="67"/>
          <w:marBottom w:val="0"/>
          <w:divBdr>
            <w:top w:val="none" w:sz="0" w:space="0" w:color="auto"/>
            <w:left w:val="none" w:sz="0" w:space="0" w:color="auto"/>
            <w:bottom w:val="none" w:sz="0" w:space="0" w:color="auto"/>
            <w:right w:val="none" w:sz="0" w:space="0" w:color="auto"/>
          </w:divBdr>
        </w:div>
        <w:div w:id="701590893">
          <w:marLeft w:val="878"/>
          <w:marRight w:val="0"/>
          <w:marTop w:val="67"/>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755956">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7218913">
      <w:bodyDiv w:val="1"/>
      <w:marLeft w:val="0"/>
      <w:marRight w:val="0"/>
      <w:marTop w:val="0"/>
      <w:marBottom w:val="0"/>
      <w:divBdr>
        <w:top w:val="none" w:sz="0" w:space="0" w:color="auto"/>
        <w:left w:val="none" w:sz="0" w:space="0" w:color="auto"/>
        <w:bottom w:val="none" w:sz="0" w:space="0" w:color="auto"/>
        <w:right w:val="none" w:sz="0" w:space="0" w:color="auto"/>
      </w:divBdr>
      <w:divsChild>
        <w:div w:id="1507549502">
          <w:marLeft w:val="878"/>
          <w:marRight w:val="0"/>
          <w:marTop w:val="67"/>
          <w:marBottom w:val="0"/>
          <w:divBdr>
            <w:top w:val="none" w:sz="0" w:space="0" w:color="auto"/>
            <w:left w:val="none" w:sz="0" w:space="0" w:color="auto"/>
            <w:bottom w:val="none" w:sz="0" w:space="0" w:color="auto"/>
            <w:right w:val="none" w:sz="0" w:space="0" w:color="auto"/>
          </w:divBdr>
        </w:div>
        <w:div w:id="818424433">
          <w:marLeft w:val="878"/>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630444">
      <w:bodyDiv w:val="1"/>
      <w:marLeft w:val="0"/>
      <w:marRight w:val="0"/>
      <w:marTop w:val="0"/>
      <w:marBottom w:val="0"/>
      <w:divBdr>
        <w:top w:val="none" w:sz="0" w:space="0" w:color="auto"/>
        <w:left w:val="none" w:sz="0" w:space="0" w:color="auto"/>
        <w:bottom w:val="none" w:sz="0" w:space="0" w:color="auto"/>
        <w:right w:val="none" w:sz="0" w:space="0" w:color="auto"/>
      </w:divBdr>
      <w:divsChild>
        <w:div w:id="919756174">
          <w:marLeft w:val="878"/>
          <w:marRight w:val="0"/>
          <w:marTop w:val="67"/>
          <w:marBottom w:val="0"/>
          <w:divBdr>
            <w:top w:val="none" w:sz="0" w:space="0" w:color="auto"/>
            <w:left w:val="none" w:sz="0" w:space="0" w:color="auto"/>
            <w:bottom w:val="none" w:sz="0" w:space="0" w:color="auto"/>
            <w:right w:val="none" w:sz="0" w:space="0" w:color="auto"/>
          </w:divBdr>
        </w:div>
        <w:div w:id="1714116656">
          <w:marLeft w:val="878"/>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23261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74954">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8420128">
      <w:bodyDiv w:val="1"/>
      <w:marLeft w:val="0"/>
      <w:marRight w:val="0"/>
      <w:marTop w:val="0"/>
      <w:marBottom w:val="0"/>
      <w:divBdr>
        <w:top w:val="none" w:sz="0" w:space="0" w:color="auto"/>
        <w:left w:val="none" w:sz="0" w:space="0" w:color="auto"/>
        <w:bottom w:val="none" w:sz="0" w:space="0" w:color="auto"/>
        <w:right w:val="none" w:sz="0" w:space="0" w:color="auto"/>
      </w:divBdr>
      <w:divsChild>
        <w:div w:id="379211964">
          <w:marLeft w:val="878"/>
          <w:marRight w:val="0"/>
          <w:marTop w:val="67"/>
          <w:marBottom w:val="0"/>
          <w:divBdr>
            <w:top w:val="none" w:sz="0" w:space="0" w:color="auto"/>
            <w:left w:val="none" w:sz="0" w:space="0" w:color="auto"/>
            <w:bottom w:val="none" w:sz="0" w:space="0" w:color="auto"/>
            <w:right w:val="none" w:sz="0" w:space="0" w:color="auto"/>
          </w:divBdr>
        </w:div>
        <w:div w:id="776486219">
          <w:marLeft w:val="878"/>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57014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E96770-F47C-45E0-97CB-39FACC460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1164</Words>
  <Characters>6640</Characters>
  <Application>Microsoft Office Word</Application>
  <DocSecurity>0</DocSecurity>
  <Lines>55</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TAKEDA(r7)</cp:lastModifiedBy>
  <cp:revision>2</cp:revision>
  <cp:lastPrinted>2016-09-21T11:03:00Z</cp:lastPrinted>
  <dcterms:created xsi:type="dcterms:W3CDTF">2017-08-12T04:31:00Z</dcterms:created>
  <dcterms:modified xsi:type="dcterms:W3CDTF">2017-08-12T04:31:00Z</dcterms:modified>
</cp:coreProperties>
</file>